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8"/>
        <w:ind w:left="282" w:right="0" w:firstLine="0"/>
        <w:jc w:val="left"/>
        <w:rPr>
          <w:rFonts w:ascii="Times New Roman"/>
          <w:b/>
          <w:sz w:val="24"/>
        </w:rPr>
      </w:pPr>
      <w:r>
        <w:rPr>
          <w:rFonts w:ascii="Times New Roman"/>
          <w:b/>
          <w:sz w:val="24"/>
        </w:rPr>
        <w:t>International Journal of Technology Analysis, Development &amp; Strategi Management</w:t>
      </w:r>
    </w:p>
    <w:p>
      <w:pPr>
        <w:pStyle w:val="BodyText"/>
        <w:spacing w:before="227"/>
        <w:ind w:right="117" w:firstLine="276"/>
      </w:pPr>
      <w:r>
        <w:rPr/>
        <w:t>Kasus pertama memberikan perencanaan strategis untuk mengembangkan teknologi material Light Emitting Diode (LED). Kasus kedua, yang melibatkan Thin Film Transistor (TFT), menunjukkan bahwa tren perkembangan paten terkait sesuai dengan roadmap teknologi di sektor industri. Untuk mengurangi ketidakpastian penggunaan data paten semata, studi ini juga memasukkan temuan jurnal akademik dan informasi industri. Hasil yang disajikan di sini menunjukkan bahwa paten dapat berfungsi tidak hanya sebagai peta untuk melacak lintasan teknologi, tetapi juga sebagai tiang panduan untuk perencanaan dan peramalan</w:t>
      </w:r>
      <w:r>
        <w:rPr>
          <w:spacing w:val="-2"/>
        </w:rPr>
        <w:t> </w:t>
      </w:r>
      <w:r>
        <w:rPr/>
        <w:t>teknologi.</w:t>
      </w:r>
    </w:p>
    <w:p>
      <w:pPr>
        <w:pStyle w:val="BodyText"/>
      </w:pPr>
      <w:r>
        <w:rPr/>
        <w:t>(Shang-Jyh Liu, 1997)</w:t>
      </w:r>
    </w:p>
    <w:p>
      <w:pPr>
        <w:pStyle w:val="BodyText"/>
        <w:ind w:right="124" w:firstLine="276"/>
      </w:pPr>
      <w:r>
        <w:rPr/>
        <w:t>Untuk membantu mengatasi kekurangan dalam studi inovasi dan khususnya dalam konsep kemampuan inovasi, makalah ini bertujuan untuk mengidentifikasi dan menganalisis empat blok bangunan kemampuan ini: kapabilitas pengembangan teknologi, kapabilitas operasi, kapabilitas manajemen, dan kapabilitas transaksi.</w:t>
      </w:r>
    </w:p>
    <w:p>
      <w:pPr>
        <w:pStyle w:val="BodyText"/>
        <w:spacing w:line="229" w:lineRule="exact"/>
      </w:pPr>
      <w:r>
        <w:rPr/>
        <w:t>(Paulo Antônio Zawislak1, 2012)</w:t>
      </w:r>
    </w:p>
    <w:p>
      <w:pPr>
        <w:pStyle w:val="BodyText"/>
        <w:spacing w:before="1"/>
        <w:ind w:right="122" w:firstLine="276"/>
      </w:pPr>
      <w:r>
        <w:rPr/>
        <w:t>Tujuan dari proyek Antara Penemuan dan Inovasi adalah untuk mendukung desain informasi kebijakan publik mengenai kewirausahaan teknologi dan transisi dari penemuan ke inovasi dengan memberikan pemahaman yang lebih baik tentang sumber investasi ke dalam proyek pengembangan teknologi tahap awal.</w:t>
      </w:r>
    </w:p>
    <w:p>
      <w:pPr>
        <w:pStyle w:val="BodyText"/>
      </w:pPr>
      <w:r>
        <w:rPr/>
        <w:t>(Lewis Branscomb, 2002)</w:t>
      </w:r>
    </w:p>
    <w:p>
      <w:pPr>
        <w:pStyle w:val="BodyText"/>
        <w:ind w:right="120" w:firstLine="276"/>
      </w:pPr>
      <w:r>
        <w:rPr/>
        <w:t>Bertentangan dengan intuisi di atas (tetapi konsisten dengan penelitian terbaru), kami menemukan bahwa kontrak perusahaan lebih rinci dan lebih cenderung memasukkan penalti ketika terlibat dalam kesepakatan yang sering (baik dengan mitra yang sama atau berbeda). Hasil kami menunjukkan saling melengkapi antara kontrak formal dan relasional, dan memiliki implikasi untuk kontrak yang optimal, terutama di sektor teknologi tinggi.</w:t>
      </w:r>
    </w:p>
    <w:p>
      <w:pPr>
        <w:pStyle w:val="BodyText"/>
        <w:spacing w:before="2"/>
      </w:pPr>
      <w:r>
        <w:rPr/>
        <w:t>(Michaeel D.Ryall, 2009)</w:t>
      </w:r>
    </w:p>
    <w:p>
      <w:pPr>
        <w:pStyle w:val="BodyText"/>
        <w:spacing w:before="34"/>
        <w:ind w:right="117" w:firstLine="276"/>
      </w:pPr>
      <w:r>
        <w:rPr/>
        <w:t>Aliansi teknologi telah muncul dalam dekade terakhir sebagai mode penting untuk pengembangan inovasi. Penelitian ini menilai faktor-faktor yang menjelaskan apakah perusahaan akan terlibat dalam aliansi teknologi seperti itu atau memanfaatkan mode R &amp; D internal yang lebih tradisional. Hipotesis berasal dari konseptualisasi biaya transaksi.</w:t>
      </w:r>
    </w:p>
    <w:p>
      <w:pPr>
        <w:pStyle w:val="BodyText"/>
        <w:spacing w:line="229" w:lineRule="exact"/>
      </w:pPr>
      <w:r>
        <w:rPr/>
        <w:t>(Thomas S.Robertson, 1998)</w:t>
      </w:r>
    </w:p>
    <w:p>
      <w:pPr>
        <w:pStyle w:val="BodyText"/>
        <w:spacing w:before="1"/>
        <w:ind w:right="119" w:firstLine="276"/>
      </w:pPr>
      <w:r>
        <w:rPr/>
        <w:t>menyajikan model konseptual sebagai kerangka kerja baru dari proses pengembangan teknologi di LDC berdasarkan perspektif global. Model yang diusulkan terdiri dari tiga tahap pengembangan yaitu inisiasi, internalisasi, dan pembangkitan, serta beberapa proposisi yang terkait dengan level teknologi yang ditransfer, mode akuisisi teknologi, elemen teknologi yang dikuasai, dan kontributor utama perkembangan teknologi di setiap tahap</w:t>
      </w:r>
      <w:r>
        <w:rPr>
          <w:spacing w:val="-6"/>
        </w:rPr>
        <w:t> </w:t>
      </w:r>
      <w:r>
        <w:rPr/>
        <w:t>pengembangan.</w:t>
      </w:r>
    </w:p>
    <w:p>
      <w:pPr>
        <w:pStyle w:val="BodyText"/>
        <w:spacing w:before="2"/>
      </w:pPr>
      <w:r>
        <w:rPr/>
        <w:t>(Jinjoo Lee, 1988)</w:t>
      </w:r>
    </w:p>
    <w:p>
      <w:pPr>
        <w:pStyle w:val="BodyText"/>
        <w:spacing w:before="32"/>
        <w:ind w:right="260" w:firstLine="331"/>
      </w:pPr>
      <w:r>
        <w:rPr/>
        <w:t>satu bentuk pengetahuan khusus lainnya — kontribusi pengetahuan / informasi yang terkandung dalam konteks kerja — belum secara langsung atau eksplisit ditujukan pada tingkat yang sama.</w:t>
      </w:r>
    </w:p>
    <w:p>
      <w:pPr>
        <w:pStyle w:val="BodyText"/>
        <w:spacing w:before="1"/>
        <w:ind w:right="393"/>
      </w:pPr>
      <w:r>
        <w:rPr/>
        <w:t>Tetapkan bentuk pengetahuan ini — ‘pengetahuan terus menerus’ — dikatakan, memainkan peran penting namun kurang dihargai dalam pengembangan dan inovasi teknologi.</w:t>
      </w:r>
    </w:p>
    <w:p>
      <w:pPr>
        <w:pStyle w:val="BodyText"/>
        <w:spacing w:before="1"/>
      </w:pPr>
      <w:r>
        <w:rPr/>
        <w:t>(Fleck, 2007)</w:t>
      </w:r>
    </w:p>
    <w:p>
      <w:pPr>
        <w:pStyle w:val="BodyText"/>
        <w:spacing w:before="34"/>
        <w:ind w:firstLine="331"/>
        <w:jc w:val="left"/>
      </w:pPr>
      <w:r>
        <w:rPr/>
        <w:t>perkembangan teknologi yang pesat, proyek pembangkit listrik tenaga angin lepas pantai telah menjadi tren di banyak negara seperti Eropa sekarang. Oleh karena itu, makalah ini bertujuan</w:t>
      </w:r>
      <w:r>
        <w:rPr>
          <w:spacing w:val="-30"/>
        </w:rPr>
        <w:t> </w:t>
      </w:r>
      <w:r>
        <w:rPr/>
        <w:t>untuk memberikan gambaran singkat tentang status perkembangan tenaga angin lepas pantai saat ini di berbagai negara dan juga mengeksplorasi masalah teknis, ekonomi dan lingkungan di sekitar perkembangannya.</w:t>
      </w:r>
    </w:p>
    <w:p>
      <w:pPr>
        <w:pStyle w:val="BodyText"/>
        <w:spacing w:line="229" w:lineRule="exact"/>
        <w:jc w:val="left"/>
      </w:pPr>
      <w:r>
        <w:rPr/>
        <w:t>(Xiaojingsun,</w:t>
      </w:r>
      <w:r>
        <w:rPr>
          <w:spacing w:val="-9"/>
        </w:rPr>
        <w:t> </w:t>
      </w:r>
      <w:r>
        <w:rPr/>
        <w:t>2012)</w:t>
      </w:r>
    </w:p>
    <w:p>
      <w:pPr>
        <w:pStyle w:val="BodyText"/>
        <w:ind w:right="646" w:firstLine="388"/>
        <w:jc w:val="left"/>
      </w:pPr>
      <w:r>
        <w:rPr/>
        <w:t>Kajian ini akan mereview karya-karya terkait tentang kinerja inkubator bisnis sebagai alat pendukung UKM dan juga relevansinya untuk Turki dengan fokus khusus pada penilaian kinerja inkubator untuk kasus Turki. Kami akan mencoba menambahkan gambar kerangka kerja untuk menilai Inkubator Bisnis Teknologi di Turki berdasarkan konsep tahapan pengembangan. (ozdemir, 2013)</w:t>
      </w:r>
    </w:p>
    <w:p>
      <w:pPr>
        <w:pStyle w:val="BodyText"/>
        <w:spacing w:before="1"/>
        <w:ind w:right="142" w:firstLine="386"/>
        <w:jc w:val="left"/>
      </w:pPr>
      <w:r>
        <w:rPr/>
        <w:t>Ruang lingkup kebijakan pengembangan teknologi bertumpu pada kebutuhan untuk memperbaiki kegagalan ini.Pengalaman negara industri baru yang paling sukses (NIEs) menunjukkan bahwa intervensi yang dirancang dengan baik, baik selektif maupun fungsional, dibutuhkan untuk mendorong perkembangan teknologi. Pengalaman jelas menunjukkan bahaya kegagalan</w:t>
      </w:r>
      <w:r>
        <w:rPr>
          <w:spacing w:val="-22"/>
        </w:rPr>
        <w:t> </w:t>
      </w:r>
      <w:r>
        <w:rPr/>
        <w:t>pemerintah, tetapi peran besar pemerintah perlu dipertahankan jika industri ingin</w:t>
      </w:r>
      <w:r>
        <w:rPr>
          <w:spacing w:val="-9"/>
        </w:rPr>
        <w:t> </w:t>
      </w:r>
      <w:r>
        <w:rPr/>
        <w:t>berhasil.</w:t>
      </w:r>
    </w:p>
    <w:p>
      <w:pPr>
        <w:pStyle w:val="BodyText"/>
        <w:spacing w:line="230" w:lineRule="exact"/>
        <w:ind w:left="155"/>
        <w:jc w:val="left"/>
      </w:pPr>
      <w:r>
        <w:rPr/>
        <w:t>(Lall, 1993)</w:t>
      </w:r>
    </w:p>
    <w:p>
      <w:pPr>
        <w:spacing w:after="0" w:line="230" w:lineRule="exact"/>
        <w:jc w:val="left"/>
        <w:sectPr>
          <w:type w:val="continuous"/>
          <w:pgSz w:w="11910" w:h="16840"/>
          <w:pgMar w:top="1340" w:bottom="280" w:left="1340" w:right="1320"/>
        </w:sectPr>
      </w:pPr>
    </w:p>
    <w:p>
      <w:pPr>
        <w:spacing w:before="76"/>
        <w:ind w:left="3534" w:right="3554" w:firstLine="0"/>
        <w:jc w:val="center"/>
        <w:rPr>
          <w:rFonts w:ascii="Times New Roman"/>
          <w:sz w:val="24"/>
        </w:rPr>
      </w:pPr>
      <w:r>
        <w:rPr>
          <w:rFonts w:ascii="Times New Roman"/>
          <w:sz w:val="24"/>
        </w:rPr>
        <w:t>DAFTAR</w:t>
      </w:r>
      <w:r>
        <w:rPr>
          <w:rFonts w:ascii="Times New Roman"/>
          <w:spacing w:val="-5"/>
          <w:sz w:val="24"/>
        </w:rPr>
        <w:t> </w:t>
      </w:r>
      <w:r>
        <w:rPr>
          <w:rFonts w:ascii="Times New Roman"/>
          <w:sz w:val="24"/>
        </w:rPr>
        <w:t>PUSTAKA</w:t>
      </w:r>
    </w:p>
    <w:p>
      <w:pPr>
        <w:pStyle w:val="BodyText"/>
        <w:spacing w:before="7"/>
        <w:ind w:left="0"/>
        <w:jc w:val="left"/>
        <w:rPr>
          <w:rFonts w:ascii="Times New Roman"/>
          <w:sz w:val="29"/>
        </w:rPr>
      </w:pPr>
    </w:p>
    <w:p>
      <w:pPr>
        <w:spacing w:line="360" w:lineRule="auto" w:before="1"/>
        <w:ind w:left="820" w:right="297" w:hanging="720"/>
        <w:jc w:val="left"/>
        <w:rPr>
          <w:rFonts w:ascii="Calibri"/>
          <w:sz w:val="22"/>
        </w:rPr>
      </w:pPr>
      <w:r>
        <w:rPr>
          <w:rFonts w:ascii="Calibri"/>
          <w:sz w:val="22"/>
        </w:rPr>
        <w:t>Shang-Jyh Liu, J. S. (1997). International Journal of Technology Management. </w:t>
      </w:r>
      <w:r>
        <w:rPr>
          <w:rFonts w:ascii="Calibri"/>
          <w:i/>
          <w:sz w:val="22"/>
        </w:rPr>
        <w:t>Strategic planning for </w:t>
      </w:r>
      <w:r>
        <w:rPr>
          <w:rFonts w:ascii="Calibri"/>
          <w:i/>
          <w:sz w:val="22"/>
        </w:rPr>
        <w:t>technology development with patent analysis,</w:t>
      </w:r>
      <w:r>
        <w:rPr>
          <w:rFonts w:ascii="Calibri"/>
          <w:i/>
          <w:spacing w:val="-6"/>
          <w:sz w:val="22"/>
        </w:rPr>
        <w:t> </w:t>
      </w:r>
      <w:r>
        <w:rPr>
          <w:rFonts w:ascii="Calibri"/>
          <w:i/>
          <w:sz w:val="22"/>
        </w:rPr>
        <w:t>13</w:t>
      </w:r>
      <w:r>
        <w:rPr>
          <w:rFonts w:ascii="Calibri"/>
          <w:sz w:val="22"/>
        </w:rPr>
        <w:t>(5-6).</w:t>
      </w:r>
    </w:p>
    <w:p>
      <w:pPr>
        <w:spacing w:line="273" w:lineRule="auto" w:before="0"/>
        <w:ind w:left="820" w:right="236" w:hanging="670"/>
        <w:jc w:val="left"/>
        <w:rPr>
          <w:rFonts w:ascii="Calibri" w:hAnsi="Calibri"/>
          <w:sz w:val="22"/>
        </w:rPr>
      </w:pPr>
      <w:r>
        <w:rPr>
          <w:rFonts w:ascii="Calibri" w:hAnsi="Calibri"/>
          <w:sz w:val="22"/>
        </w:rPr>
        <w:t>Paulo Antônio Zawislak1, A. C.-G. (2012, Jul). Innovation Capability: From Technology Development to Transaction Capability. </w:t>
      </w:r>
      <w:r>
        <w:rPr>
          <w:rFonts w:ascii="Calibri" w:hAnsi="Calibri"/>
          <w:i/>
          <w:sz w:val="22"/>
        </w:rPr>
        <w:t>Journal of Technology Management &amp; Innovation, 7</w:t>
      </w:r>
      <w:r>
        <w:rPr>
          <w:rFonts w:ascii="Calibri" w:hAnsi="Calibri"/>
          <w:sz w:val="22"/>
        </w:rPr>
        <w:t>.</w:t>
      </w:r>
    </w:p>
    <w:p>
      <w:pPr>
        <w:spacing w:line="276" w:lineRule="auto" w:before="5"/>
        <w:ind w:left="820" w:right="141" w:hanging="670"/>
        <w:jc w:val="left"/>
        <w:rPr>
          <w:rFonts w:ascii="Calibri"/>
          <w:sz w:val="22"/>
        </w:rPr>
      </w:pPr>
      <w:r>
        <w:rPr>
          <w:rFonts w:ascii="Calibri"/>
          <w:sz w:val="22"/>
        </w:rPr>
        <w:t>Lewis Branscomb, P. E. (2002, November). </w:t>
      </w:r>
      <w:r>
        <w:rPr>
          <w:rFonts w:ascii="Calibri"/>
          <w:i/>
          <w:sz w:val="22"/>
        </w:rPr>
        <w:t>Between Invention and Innovation An Analysis of Funding </w:t>
      </w:r>
      <w:r>
        <w:rPr>
          <w:rFonts w:ascii="Calibri"/>
          <w:i/>
          <w:sz w:val="22"/>
        </w:rPr>
        <w:t>for Early-Stage Technology Development</w:t>
      </w:r>
      <w:r>
        <w:rPr>
          <w:rFonts w:ascii="Calibri"/>
          <w:sz w:val="22"/>
        </w:rPr>
        <w:t>, 153.</w:t>
      </w:r>
    </w:p>
    <w:p>
      <w:pPr>
        <w:spacing w:line="276" w:lineRule="auto" w:before="0"/>
        <w:ind w:left="820" w:right="451" w:hanging="720"/>
        <w:jc w:val="left"/>
        <w:rPr>
          <w:rFonts w:ascii="Calibri"/>
          <w:sz w:val="22"/>
        </w:rPr>
      </w:pPr>
      <w:r>
        <w:rPr>
          <w:rFonts w:ascii="Calibri"/>
          <w:sz w:val="22"/>
        </w:rPr>
        <w:t>Michaeel D.Ryall, R. C. (2009, June). MANAGEMENT SCIENCE. </w:t>
      </w:r>
      <w:r>
        <w:rPr>
          <w:rFonts w:ascii="Calibri"/>
          <w:i/>
          <w:sz w:val="22"/>
        </w:rPr>
        <w:t>Formal Contracts in the Presence of </w:t>
      </w:r>
      <w:r>
        <w:rPr>
          <w:rFonts w:ascii="Calibri"/>
          <w:i/>
          <w:sz w:val="22"/>
        </w:rPr>
        <w:t>Relational Enforcement Mechanisms: Evidence from Technology Development Projects, 55</w:t>
      </w:r>
      <w:r>
        <w:rPr>
          <w:rFonts w:ascii="Calibri"/>
          <w:sz w:val="22"/>
        </w:rPr>
        <w:t>(6).</w:t>
      </w:r>
    </w:p>
    <w:p>
      <w:pPr>
        <w:spacing w:line="278" w:lineRule="auto" w:before="0"/>
        <w:ind w:left="820" w:right="920" w:hanging="670"/>
        <w:jc w:val="left"/>
        <w:rPr>
          <w:rFonts w:ascii="Calibri"/>
          <w:sz w:val="22"/>
        </w:rPr>
      </w:pPr>
      <w:r>
        <w:rPr>
          <w:rFonts w:ascii="Calibri"/>
          <w:sz w:val="22"/>
        </w:rPr>
        <w:t>Thomas S.Robertson, H. G. (1998, June). Technology development mode: a transaction cost conceptualization. </w:t>
      </w:r>
      <w:r>
        <w:rPr>
          <w:rFonts w:ascii="Calibri"/>
          <w:i/>
          <w:sz w:val="22"/>
        </w:rPr>
        <w:t>STATEGIC MANAGEMNET JOURNAL, 19</w:t>
      </w:r>
      <w:r>
        <w:rPr>
          <w:rFonts w:ascii="Calibri"/>
          <w:sz w:val="22"/>
        </w:rPr>
        <w:t>(6), 513-531.</w:t>
      </w:r>
    </w:p>
    <w:p>
      <w:pPr>
        <w:pStyle w:val="Heading1"/>
        <w:spacing w:line="273" w:lineRule="auto"/>
        <w:ind w:right="617"/>
      </w:pPr>
      <w:r>
        <w:rPr/>
        <w:t>Jinjoo Lee, Z.-t. B.-k. (1988, July). Technology development processes: A model for a developing country with a global perspective. </w:t>
      </w:r>
      <w:r>
        <w:rPr>
          <w:i/>
        </w:rPr>
        <w:t>R&amp;D Management</w:t>
      </w:r>
      <w:r>
        <w:rPr/>
        <w:t>, 235-250.</w:t>
      </w:r>
    </w:p>
    <w:p>
      <w:pPr>
        <w:spacing w:line="276" w:lineRule="auto" w:before="0"/>
        <w:ind w:left="820" w:right="877" w:hanging="670"/>
        <w:jc w:val="left"/>
        <w:rPr>
          <w:rFonts w:ascii="Calibri"/>
          <w:sz w:val="22"/>
        </w:rPr>
      </w:pPr>
      <w:r>
        <w:rPr>
          <w:rFonts w:ascii="Calibri"/>
          <w:sz w:val="22"/>
        </w:rPr>
        <w:t>Fleck, J. (2007). Contingent knowledge and technology development. </w:t>
      </w:r>
      <w:r>
        <w:rPr>
          <w:rFonts w:ascii="Calibri"/>
          <w:i/>
          <w:sz w:val="22"/>
        </w:rPr>
        <w:t>Technology Analysis &amp; </w:t>
      </w:r>
      <w:r>
        <w:rPr>
          <w:rFonts w:ascii="Calibri"/>
          <w:i/>
          <w:sz w:val="22"/>
        </w:rPr>
        <w:t>Strategic Management, 9</w:t>
      </w:r>
      <w:r>
        <w:rPr>
          <w:rFonts w:ascii="Calibri"/>
          <w:sz w:val="22"/>
        </w:rPr>
        <w:t>(4), 383-398.</w:t>
      </w:r>
    </w:p>
    <w:p>
      <w:pPr>
        <w:pStyle w:val="Heading1"/>
        <w:spacing w:line="268" w:lineRule="exact"/>
        <w:ind w:left="100" w:firstLine="0"/>
      </w:pPr>
      <w:r>
        <w:rPr/>
        <w:t>Xiaojingsun, D. h. (2012, May). The current state of offshore wind energy technology development.</w:t>
      </w:r>
    </w:p>
    <w:p>
      <w:pPr>
        <w:spacing w:before="41"/>
        <w:ind w:left="820" w:right="0" w:firstLine="0"/>
        <w:jc w:val="left"/>
        <w:rPr>
          <w:rFonts w:ascii="Calibri"/>
          <w:sz w:val="22"/>
        </w:rPr>
      </w:pPr>
      <w:r>
        <w:rPr>
          <w:rFonts w:ascii="Calibri"/>
          <w:i/>
          <w:sz w:val="22"/>
        </w:rPr>
        <w:t>ELSEVIER, 41</w:t>
      </w:r>
      <w:r>
        <w:rPr>
          <w:rFonts w:ascii="Calibri"/>
          <w:sz w:val="22"/>
        </w:rPr>
        <w:t>(1), 298-312.</w:t>
      </w:r>
    </w:p>
    <w:p>
      <w:pPr>
        <w:pStyle w:val="Heading1"/>
        <w:spacing w:line="276" w:lineRule="auto" w:before="41"/>
        <w:ind w:right="260" w:hanging="670"/>
      </w:pPr>
      <w:r>
        <w:rPr/>
        <w:t>ozdemir, o. c. (2013, April). Assessing the Impacts of Technology Business Incubators: A framework for Technology Development Centers in Turkey</w:t>
      </w:r>
      <w:r>
        <w:rPr>
          <w:rFonts w:ascii="MS Gothic" w:hAnsi="MS Gothic"/>
        </w:rPr>
        <w:t>☆</w:t>
      </w:r>
      <w:r>
        <w:rPr/>
        <w:t>. </w:t>
      </w:r>
      <w:r>
        <w:rPr>
          <w:i/>
        </w:rPr>
        <w:t>ELSEVIER, 75</w:t>
      </w:r>
      <w:r>
        <w:rPr/>
        <w:t>, 282-291.</w:t>
      </w:r>
    </w:p>
    <w:p>
      <w:pPr>
        <w:spacing w:line="276" w:lineRule="auto" w:before="3"/>
        <w:ind w:left="820" w:right="269" w:hanging="670"/>
        <w:jc w:val="left"/>
        <w:rPr>
          <w:rFonts w:ascii="Calibri"/>
          <w:sz w:val="22"/>
        </w:rPr>
      </w:pPr>
      <w:r>
        <w:rPr>
          <w:rFonts w:ascii="Calibri"/>
          <w:sz w:val="22"/>
        </w:rPr>
        <w:t>Lall, S. (1993, October). Understanding Technology Development. </w:t>
      </w:r>
      <w:r>
        <w:rPr>
          <w:rFonts w:ascii="Calibri"/>
          <w:i/>
          <w:sz w:val="22"/>
        </w:rPr>
        <w:t>Development and Change, 24</w:t>
      </w:r>
      <w:r>
        <w:rPr>
          <w:rFonts w:ascii="Calibri"/>
          <w:sz w:val="22"/>
        </w:rPr>
        <w:t>(4), 719-753.</w:t>
      </w:r>
    </w:p>
    <w:sectPr>
      <w:pgSz w:w="11910" w:h="16840"/>
      <w:pgMar w:top="134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MS Gothic">
    <w:altName w:val="MS Gothic"/>
    <w:charset w:val="0"/>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id" w:eastAsia="id" w:bidi="id"/>
    </w:rPr>
  </w:style>
  <w:style w:styleId="BodyText" w:type="paragraph">
    <w:name w:val="Body Text"/>
    <w:basedOn w:val="Normal"/>
    <w:uiPriority w:val="1"/>
    <w:qFormat/>
    <w:pPr>
      <w:ind w:left="100"/>
      <w:jc w:val="both"/>
    </w:pPr>
    <w:rPr>
      <w:rFonts w:ascii="Arial" w:hAnsi="Arial" w:eastAsia="Arial" w:cs="Arial"/>
      <w:sz w:val="20"/>
      <w:szCs w:val="20"/>
      <w:lang w:val="id" w:eastAsia="id" w:bidi="id"/>
    </w:rPr>
  </w:style>
  <w:style w:styleId="Heading1" w:type="paragraph">
    <w:name w:val="Heading 1"/>
    <w:basedOn w:val="Normal"/>
    <w:uiPriority w:val="1"/>
    <w:qFormat/>
    <w:pPr>
      <w:ind w:left="820" w:hanging="720"/>
      <w:outlineLvl w:val="1"/>
    </w:pPr>
    <w:rPr>
      <w:rFonts w:ascii="Calibri" w:hAnsi="Calibri" w:eastAsia="Calibri" w:cs="Calibri"/>
      <w:sz w:val="22"/>
      <w:szCs w:val="22"/>
      <w:lang w:val="id" w:eastAsia="id" w:bidi="id"/>
    </w:rPr>
  </w:style>
  <w:style w:styleId="ListParagraph" w:type="paragraph">
    <w:name w:val="List Paragraph"/>
    <w:basedOn w:val="Normal"/>
    <w:uiPriority w:val="1"/>
    <w:qFormat/>
    <w:pPr/>
    <w:rPr>
      <w:lang w:val="id" w:eastAsia="id" w:bidi="id"/>
    </w:rPr>
  </w:style>
  <w:style w:styleId="TableParagraph" w:type="paragraph">
    <w:name w:val="Table Paragraph"/>
    <w:basedOn w:val="Normal"/>
    <w:uiPriority w:val="1"/>
    <w:qFormat/>
    <w:pPr/>
    <w:rPr>
      <w:lang w:val="id" w:eastAsia="id" w:bidi="id"/>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2020-12-08T02:00:48Z</dcterms:created>
  <dcterms:modified xsi:type="dcterms:W3CDTF">2020-12-08T02:00:48Z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Microsoft® Word 2010</vt:lpwstr>
  </property>
  <property fmtid="{D5CDD505-2E9C-101B-9397-08002B2CF9AE}" pid="4" name="LastSaved">
    <vt:filetime>2020-12-08T00:00:00Z</vt:filetime>
  </property>
</Properties>
</file>