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Model类：assimp网格理解，还要附加另外的处理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Camera类：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光照：shader----物体的材质，漫反射，镜面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光的三个分量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多光源----平行光，点光源，手电光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 设置深度缓存：</w:t>
      </w:r>
    </w:p>
    <w:p>
      <w:pPr>
        <w:rPr>
          <w:rFonts w:hint="default" w:ascii="Comic Sans MS" w:hAnsi="Comic Sans MS" w:eastAsia="Comic Sans MS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</w:rPr>
      </w:pPr>
      <w:r>
        <w:rPr>
          <w:rFonts w:ascii="Comic Sans MS" w:hAnsi="Comic Sans MS" w:eastAsia="Comic Sans MS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</w:rPr>
        <w:t>glClearDepth(1.0f);// 设置深度缓存  </w:t>
      </w:r>
      <w:r>
        <w:rPr>
          <w:rFonts w:hint="default" w:ascii="Comic Sans MS" w:hAnsi="Comic Sans MS" w:eastAsia="Comic Sans MS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</w:rPr>
        <w:t> </w:t>
      </w:r>
      <w:r>
        <w:rPr>
          <w:rFonts w:hint="default" w:ascii="Comic Sans MS" w:hAnsi="Comic Sans MS" w:eastAsia="Comic Sans MS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</w:rPr>
        <w:br w:type="textWrapping"/>
      </w:r>
      <w:r>
        <w:rPr>
          <w:rFonts w:hint="default" w:ascii="Comic Sans MS" w:hAnsi="Comic Sans MS" w:eastAsia="Comic Sans MS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</w:rPr>
        <w:t>glEnable(GL_DEPTH_TEST);// 启用深度测试   </w:t>
      </w:r>
      <w:r>
        <w:rPr>
          <w:rFonts w:hint="default" w:ascii="Comic Sans MS" w:hAnsi="Comic Sans MS" w:eastAsia="Comic Sans MS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</w:rPr>
        <w:br w:type="textWrapping"/>
      </w:r>
      <w:r>
        <w:rPr>
          <w:rFonts w:hint="default" w:ascii="Comic Sans MS" w:hAnsi="Comic Sans MS" w:eastAsia="Comic Sans MS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</w:rPr>
        <w:t>glDepthFunc(GL_LEQUAL);// 所作深度测试的类型  </w:t>
      </w:r>
    </w:p>
    <w:p>
      <w:pPr>
        <w:rPr>
          <w:rFonts w:hint="default" w:ascii="Comic Sans MS" w:hAnsi="Comic Sans MS" w:eastAsia="Comic Sans MS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</w:rPr>
      </w:pPr>
      <w:r>
        <w:rPr>
          <w:rFonts w:hint="eastAsia"/>
          <w:lang w:val="en-US" w:eastAsia="zh-CN"/>
        </w:rPr>
        <w:t>若有深度矛盾，采用非线性转化对应</w:t>
      </w:r>
    </w:p>
    <w:p>
      <w:pPr>
        <w:rPr>
          <w:rFonts w:hint="eastAsia" w:ascii="Comic Sans MS" w:hAnsi="Comic Sans MS" w:eastAsia="宋体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  <w:lang w:val="en-US" w:eastAsia="zh-CN"/>
        </w:rPr>
      </w:pPr>
      <w:r>
        <w:drawing>
          <wp:inline distT="0" distB="0" distL="114300" distR="114300">
            <wp:extent cx="2333625" cy="628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mic Sans MS" w:hAnsi="Comic Sans MS" w:eastAsia="Comic Sans MS" w:cs="Comic Sans MS"/>
          <w:b w:val="0"/>
          <w:i w:val="0"/>
          <w:caps w:val="0"/>
          <w:color w:val="555555"/>
          <w:spacing w:val="0"/>
          <w:sz w:val="21"/>
          <w:szCs w:val="21"/>
          <w:shd w:val="clear" w:fill="F0E8DC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 设置模板缓冲（在片段着色器之后）：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用于给物体加边框</w:t>
      </w:r>
    </w:p>
    <w:p>
      <w:r>
        <w:drawing>
          <wp:inline distT="0" distB="0" distL="114300" distR="114300">
            <wp:extent cx="5271770" cy="28130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需要一系列对模板缓冲的操作，并且需要另加一段着色器渲染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 混合（比如玻璃）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一个物体的透明度被定义为它的alpha值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</w:pPr>
      <w:r>
        <w:rPr>
          <w:rFonts w:hint="eastAsia"/>
          <w:lang w:val="en-US" w:eastAsia="zh-CN"/>
        </w:rPr>
        <w:t>一．丢弃片段：在片段着色器重，</w:t>
      </w:r>
      <w:r>
        <w:rPr>
          <w:rFonts w:ascii="Consolas" w:hAnsi="Consolas" w:eastAsia="Consolas" w:cs="Consolas"/>
          <w:b w:val="0"/>
          <w:i w:val="0"/>
          <w:caps w:val="0"/>
          <w:color w:val="6679CC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(texColor.a &lt; 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0.1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) discard;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二．混合----渲染半透明纹理（无需丢弃片段了）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04165"/>
            <wp:effectExtent l="0" t="0" r="825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注意：深度测试不关系片段的透明度，故需要考虑绘制顺序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IV. 面剔除（片段着色器很昂贵）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</w:rPr>
        <w:t>默认情况下，</w:t>
      </w:r>
      <w:r>
        <w:rPr>
          <w:rStyle w:val="4"/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</w:rPr>
        <w:t>逆时针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</w:rPr>
        <w:t>的顶点连接顺序被定义为三角形的</w:t>
      </w:r>
      <w:r>
        <w:rPr>
          <w:rStyle w:val="4"/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</w:rPr>
        <w:t>正面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</w:rPr>
        <w:t>。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</w:pPr>
      <w:r>
        <w:rPr>
          <w:rFonts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glEnable(GL_CULL_FACE);</w:t>
      </w:r>
    </w:p>
    <w:p>
      <w:pPr>
        <w:numPr>
          <w:ilvl w:val="0"/>
          <w:numId w:val="0"/>
        </w:numPr>
        <w:rPr>
          <w:rStyle w:val="4"/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4"/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</w:rPr>
        <w:t>正</w:t>
      </w:r>
      <w:r>
        <w:rPr>
          <w:rStyle w:val="4"/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但这只对封闭形状有效，比如草就两面都要能看到</w:t>
      </w:r>
    </w:p>
    <w:p>
      <w:pPr>
        <w:numPr>
          <w:ilvl w:val="0"/>
          <w:numId w:val="0"/>
        </w:numPr>
        <w:rPr>
          <w:rStyle w:val="4"/>
          <w:rFonts w:hint="eastAsia" w:ascii="宋体" w:hAnsi="宋体" w:eastAsia="宋体" w:cs="宋体"/>
          <w:b w:val="0"/>
          <w:bCs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V. 帧缓冲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帧缓冲由于不会对屏幕产生影响，故被称为离屏渲染，需要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glBindFramebuffer(GL_FRAMEBUFFER, 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0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)</w:t>
      </w:r>
      <w:r>
        <w:rPr>
          <w:rFonts w:hint="eastAsia"/>
          <w:lang w:val="en-US" w:eastAsia="zh-CN"/>
        </w:rPr>
        <w:t>才能激活默认缓冲来对主窗口产生影响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注意：1.必须往里面加入至少一个附件（颜色，深度，模板缓冲）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2.其中至少有一个是颜色附件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纹理附件：当把一个纹理附件添加到一个帧缓冲上的时候，所有渲染命令会写入到纹理上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渲染缓冲对象：存储数据、像素等，与深度和模板相关联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通常的规则是，如果你永远都不需要从特定的缓冲中进行采样，渲染缓冲对象对特定缓冲是更明智的选择。如果哪天需要从比如颜色或深度值这样的特定缓冲采样数据的话，你最好还是使用纹理附件。从执行效率角度考虑，它不会对效率有太大影响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781300" cy="196786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58" w:afterAutospacing="0" w:line="40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所以，为把场景绘制到一个单独的纹理，我们必须以下面步骤来做：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45" w:afterAutospacing="0" w:line="405" w:lineRule="atLeast"/>
        <w:ind w:left="720" w:hanging="36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使用新的绑定为激活帧缓冲的帧缓冲，像往常那样渲染场景。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45" w:afterAutospacing="0" w:line="405" w:lineRule="atLeast"/>
        <w:ind w:left="720" w:hanging="36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绑定到默认帧缓冲。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45" w:afterAutospacing="0" w:line="405" w:lineRule="atLeast"/>
        <w:ind w:left="720" w:hanging="36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绘制一个四边形，让它平铺到整个屏幕上，用新的帧缓冲的颜色缓冲作为他的纹理。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VI. 天空盒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要第一个绘制以作为背景（写入时关闭深度测试）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方便之处，可以通过反射向量对其进行采样，从而制造出物体的反射折射效果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制作水波效果（考虑反射+折射+顶点的移动）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动态环境映射： 需要先从各个面进行渲染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VII. 高级数据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</w:t>
      </w:r>
      <w:r>
        <w:rPr>
          <w:rFonts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glBufferSubData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，将位置，法向量，纹理坐标等信息分开存储。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（实现基，方便调用）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VIII. 高级GLSL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gl_FrontFacing:用于片段着色器中，给正面背面加上不同纹理（这样就要关闭面剔除）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gl_FragCoord：读得当前片段的窗口坐标和深度值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gl_FragDepth: 设置当前片段的深度值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如果把深度条件定义为greater或less，OpenGL会假定你只写入比当前的像素深度值的深度值大或小的。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接口块：如果从顶点着色器向片段着色器传递struct或数组之类：out VS_OUT      in VS_OUT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Uniform缓冲对象</w:t>
      </w: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（比如每个都要设置灯的参数方便化）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layout (std140) uniform Matrices { mat4 projection; mat4 view; };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layout(std140)</w:t>
      </w: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意思</w:t>
      </w: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是说当前定义的uniform块为它的内容使用特定的内存布局，这个声明实际上是设置uniform块布局(uniform block layout)。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</w:pPr>
      <w:r>
        <w:rPr>
          <w:rFonts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GLuint lights_index = glGetUniformBlockIndex(shaderA.Program, </w:t>
      </w:r>
      <w:r>
        <w:rPr>
          <w:rFonts w:hint="default" w:ascii="Consolas" w:hAnsi="Consolas" w:eastAsia="Consolas" w:cs="Consolas"/>
          <w:b w:val="0"/>
          <w:i w:val="0"/>
          <w:caps w:val="0"/>
          <w:color w:val="AC9739"/>
          <w:spacing w:val="0"/>
          <w:sz w:val="21"/>
          <w:szCs w:val="21"/>
        </w:rPr>
        <w:t>"Lights"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); glUniformBlockBinding(shaderA.Program, lights_index, 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2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</w:pPr>
    </w:p>
    <w:p>
      <w:pPr>
        <w:numPr>
          <w:ilvl w:val="0"/>
          <w:numId w:val="0"/>
        </w:numPr>
        <w:jc w:val="left"/>
        <w:rPr>
          <w:rFonts w:hint="eastAsia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IX.几何着色器（对输入的点，三角形处理，达到多简单图形、爆炸等效果）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对顶点着色器传入的每个点进行处理，将之拓展，放大等等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X.实例化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13"/>
          <w:szCs w:val="13"/>
          <w:shd w:val="clear" w:fill="FFFFFF"/>
        </w:rPr>
      </w:pPr>
      <w:r>
        <w:rPr>
          <w:rStyle w:val="5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3"/>
          <w:szCs w:val="13"/>
          <w:bdr w:val="single" w:color="CCCCCC" w:sz="6" w:space="0"/>
          <w:shd w:val="clear" w:fill="F8F8F8"/>
        </w:rPr>
        <w:t>glDrawArrays</w:t>
      </w: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13"/>
          <w:szCs w:val="13"/>
          <w:shd w:val="clear" w:fill="FFFFFF"/>
        </w:rPr>
        <w:t>或</w:t>
      </w:r>
      <w:r>
        <w:rPr>
          <w:rStyle w:val="5"/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3"/>
          <w:szCs w:val="13"/>
          <w:bdr w:val="single" w:color="CCCCCC" w:sz="6" w:space="0"/>
          <w:shd w:val="clear" w:fill="F8F8F8"/>
        </w:rPr>
        <w:t>glDrawElements</w:t>
      </w: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13"/>
          <w:szCs w:val="13"/>
          <w:shd w:val="clear" w:fill="FFFFFF"/>
        </w:rPr>
        <w:t>这样的函数(Draw call)过多。这样渲染顶点数据，会明显降低执行效率，这是因为OpenGL在它可以绘制你的顶点数据之前必须做一些准备工作(比如告诉GPU从哪个缓冲读取数据，以及在哪里找到顶点属性，所有这些都会使CPU到GPU的总线变慢)。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</w:pPr>
      <w:r>
        <w:rPr>
          <w:rFonts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glDrawArraysInstanced(GL_TRIANGLES, 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0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, 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6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, 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100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);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那么可以在顶点着色器中使用gl_InstanceID来使用不同位置（在程序中生成并传入）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问题：会遇到uniform数据数量上限，方案：实例化数组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还要使用</w:t>
      </w:r>
      <w:r>
        <w:rPr>
          <w:rFonts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glVertexAttribDivisor(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2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, 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1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</w:pPr>
    </w:p>
    <w:p>
      <w:pPr>
        <w:numPr>
          <w:ilvl w:val="0"/>
          <w:numId w:val="0"/>
        </w:numPr>
        <w:jc w:val="left"/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i w:val="0"/>
          <w:caps w:val="0"/>
          <w:color w:val="222222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222222"/>
          <w:spacing w:val="0"/>
          <w:sz w:val="32"/>
          <w:szCs w:val="32"/>
          <w:shd w:val="clear" w:fill="FFFFFF"/>
          <w:lang w:val="en-US" w:eastAsia="zh-CN"/>
        </w:rPr>
        <w:t>高级光照效果：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I. Blinn-Phong模型：稍微改进，使用半程向量计算specu light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II.Gamma校正：在片段着色器最后一行加上gamma校正计算</w:t>
      </w:r>
    </w:p>
    <w:p>
      <w:pPr>
        <w:numPr>
          <w:ilvl w:val="0"/>
          <w:numId w:val="0"/>
        </w:numPr>
        <w:jc w:val="left"/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</w:pPr>
      <w:r>
        <w:rPr>
          <w:rFonts w:ascii="Consolas" w:hAnsi="Consolas" w:eastAsia="Consolas" w:cs="Consolas"/>
          <w:b w:val="0"/>
          <w:i w:val="0"/>
          <w:caps w:val="0"/>
          <w:color w:val="6679CC"/>
          <w:spacing w:val="0"/>
          <w:sz w:val="21"/>
          <w:szCs w:val="21"/>
        </w:rPr>
        <w:t>float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 gamma = 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2.2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;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 xml:space="preserve">fragColor.rgb = 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pow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(fragColor.rgb, vec3(</w:t>
      </w:r>
      <w:r>
        <w:rPr>
          <w:rFonts w:hint="default" w:ascii="Consolas" w:hAnsi="Consolas" w:eastAsia="Consolas" w:cs="Consolas"/>
          <w:b w:val="0"/>
          <w:i w:val="0"/>
          <w:caps w:val="0"/>
          <w:color w:val="C76B29"/>
          <w:spacing w:val="0"/>
          <w:sz w:val="21"/>
          <w:szCs w:val="21"/>
        </w:rPr>
        <w:t>1.0</w:t>
      </w:r>
      <w:r>
        <w:rPr>
          <w:rFonts w:hint="default" w:ascii="Consolas" w:hAnsi="Consolas" w:eastAsia="Consolas" w:cs="Consolas"/>
          <w:b w:val="0"/>
          <w:i w:val="0"/>
          <w:caps w:val="0"/>
          <w:color w:val="5E6687"/>
          <w:spacing w:val="0"/>
          <w:sz w:val="21"/>
          <w:szCs w:val="21"/>
          <w:shd w:val="clear" w:fill="F5F7FF"/>
        </w:rPr>
        <w:t>/gamma));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642735" cy="2299335"/>
            <wp:effectExtent l="0" t="0" r="5715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III.阴影：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使用深度贴图，渲染两次（第二次要调整视口）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一个是平行光，另一个是一定区域内点光源照射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IV. 法线贴图！（用PS制作法线贴图）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7235" cy="1804670"/>
            <wp:effectExtent l="0" t="0" r="5715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同时对应多面物体，需要用到切线空间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对于模型应用法线贴图（assimp里面自带函数）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V. 深度贴图（视差贴图）+多次取样提供准确度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2745740" cy="2136775"/>
            <wp:effectExtent l="0" t="0" r="1651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0160" cy="1686560"/>
            <wp:effectExtent l="0" t="0" r="2540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VI. HDR颜色映射：将大色彩范围映射至0.0-1.0（人眼自带HDR功能）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9230" cy="13900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399790" cy="714375"/>
            <wp:effectExtent l="0" t="0" r="1016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需要帧缓冲，将颜色映射到纹理quad上再输出到屏幕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VII.泛光（以HDR为基础）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1557020"/>
            <wp:effectExtent l="0" t="0" r="254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需要创建两个帧缓冲，然后将horizontal和vertical不断混合最后叠加到原图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IX. G缓冲（延迟着色法）：适用于成百上千光源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需要先将法线，反射系数等信息记录到帧缓冲二维纹理中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（若需要将光源加入，则需要结合正向渲染与延迟渲染）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094355" cy="2419985"/>
            <wp:effectExtent l="0" t="0" r="10795" b="184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X. SSAO：环境光遮蔽（较为麻烦，从点的周围采样）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XI.粒子效果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071245" cy="720090"/>
            <wp:effectExtent l="0" t="0" r="14605" b="38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创造一些有趣的效果比如火焰,青烟,烟雾,魔法效果,炮火残渣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1"/>
          <w:szCs w:val="21"/>
          <w:shd w:val="clear" w:fill="F5F7FF"/>
          <w:lang w:val="en-US" w:eastAsia="zh-CN"/>
          <w14:textFill>
            <w14:solidFill>
              <w14:schemeClr w14:val="tx1"/>
            </w14:solidFill>
          </w14:textFill>
        </w:rPr>
        <w:t>顶点着色器：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1"/>
          <w:szCs w:val="21"/>
          <w:shd w:val="clear" w:fill="F5F7FF"/>
          <w14:textFill>
            <w14:solidFill>
              <w14:schemeClr w14:val="tx1"/>
            </w14:solidFill>
          </w14:textFill>
        </w:rPr>
        <w:t xml:space="preserve">gl_Position = projection * vec4((vertex.xy * scale) + offset, 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0.0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1"/>
          <w:szCs w:val="21"/>
          <w:shd w:val="clear" w:fill="F5F7FF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1.0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1"/>
          <w:szCs w:val="21"/>
          <w:shd w:val="clear" w:fill="F5F7FF"/>
          <w14:textFill>
            <w14:solidFill>
              <w14:schemeClr w14:val="tx1"/>
            </w14:solidFill>
          </w14:textFill>
        </w:rPr>
        <w:t>);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22222"/>
          <w:spacing w:val="0"/>
          <w:sz w:val="22"/>
          <w:szCs w:val="22"/>
          <w:shd w:val="clear" w:fill="FFFFFF"/>
        </w:rPr>
        <w:t>游戏类封装了一个初始化函数、一个更新函数、一个处理输入函数以及一个渲染函数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725160" cy="2475230"/>
            <wp:effectExtent l="0" t="0" r="8890" b="127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mic Sans MS">
    <w:panose1 w:val="030F0702030302020204"/>
    <w:charset w:val="00"/>
    <w:family w:val="auto"/>
    <w:pitch w:val="default"/>
    <w:sig w:usb0="00000287" w:usb1="40000013" w:usb2="00000000" w:usb3="00000000" w:csb0="200000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6DB8F"/>
    <w:multiLevelType w:val="multilevel"/>
    <w:tmpl w:val="57C6DB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33608"/>
    <w:rsid w:val="0F2E3D68"/>
    <w:rsid w:val="13130F0D"/>
    <w:rsid w:val="1EB63CC1"/>
    <w:rsid w:val="3C0B057E"/>
    <w:rsid w:val="48243A7A"/>
    <w:rsid w:val="49DB3CC5"/>
    <w:rsid w:val="4AED2FF6"/>
    <w:rsid w:val="537E020D"/>
    <w:rsid w:val="54E93FCA"/>
    <w:rsid w:val="573877E2"/>
    <w:rsid w:val="5E092984"/>
    <w:rsid w:val="75860526"/>
    <w:rsid w:val="7D9C5A2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2016-09-06T15:15:57Z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