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55555"/>
          <w:sz w:val="22"/>
          <w:szCs w:val="22"/>
        </w:rPr>
        <w:t xml:space="preserve">Meridian Tech Solutions Ltd</w:t>
      </w:r>
    </w:p>
    <w:p>
      <w:pPr>
        <w:pStyle w:val="Title"/>
        <w:spacing w:after="60"/>
      </w:pPr>
      <w:r>
        <w:rPr>
          <w:rFonts w:ascii="Arial" w:cs="Arial" w:eastAsia="Arial" w:hAnsi="Arial"/>
          <w:b/>
          <w:bCs/>
          <w:color w:val="1F3864"/>
          <w:sz w:val="44"/>
          <w:szCs w:val="44"/>
        </w:rPr>
        <w:t xml:space="preserve">Management Commentary - Q2 2025</w:t>
      </w:r>
    </w:p>
    <w:p>
      <w:pPr>
        <w:pBdr>
          <w:bottom w:val="single" w:color="1F3864" w:sz="6" w:space="6"/>
        </w:pBdr>
        <w:spacing w:after="200"/>
      </w:pPr>
      <w:r>
        <w:rPr>
          <w:rFonts w:ascii="Arial" w:cs="Arial" w:eastAsia="Arial" w:hAnsi="Arial"/>
          <w:color w:val="555555"/>
          <w:sz w:val="20"/>
          <w:szCs w:val="20"/>
        </w:rPr>
        <w:t xml:space="preserve">Quarter ended June 30, 2025 | Prepared by Finance | Reviewed by Daniel Okafor, Chief Financial Officer | July 21, 2025 | Unaudited</w:t>
      </w:r>
    </w:p>
    <w:p>
      <w:pPr>
        <w:spacing w:after="100" w:before="100"/>
      </w:pPr>
      <w:r>
        <w:rPr>
          <w:rFonts w:ascii="Arial" w:cs="Arial" w:eastAsia="Arial" w:hAnsi="Arial"/>
          <w:b/>
          <w:bCs/>
          <w:color w:val="1F3864"/>
          <w:sz w:val="24"/>
          <w:szCs w:val="24"/>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Metric (USD)</w:t>
            </w:r>
          </w:p>
        </w:tc>
        <w:tc>
          <w:tcPr>
            <w:tcW w:type="dxa" w:w="20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pPr>
              <w:jc w:val="right"/>
            </w:pPr>
            <w:r>
              <w:rPr>
                <w:rFonts w:ascii="Arial" w:cs="Arial" w:eastAsia="Arial" w:hAnsi="Arial"/>
                <w:b/>
                <w:bCs/>
                <w:color w:val="FFFFFF"/>
                <w:sz w:val="19"/>
                <w:szCs w:val="19"/>
              </w:rPr>
              <w:t xml:space="preserve">Q1 2025</w:t>
            </w:r>
          </w:p>
        </w:tc>
        <w:tc>
          <w:tcPr>
            <w:tcW w:type="dxa" w:w="200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pPr>
              <w:jc w:val="right"/>
            </w:pPr>
            <w:r>
              <w:rPr>
                <w:rFonts w:ascii="Arial" w:cs="Arial" w:eastAsia="Arial" w:hAnsi="Arial"/>
                <w:b/>
                <w:bCs/>
                <w:color w:val="FFFFFF"/>
                <w:sz w:val="19"/>
                <w:szCs w:val="19"/>
              </w:rPr>
              <w:t xml:space="preserve">Q2 2025</w:t>
            </w:r>
          </w:p>
        </w:tc>
        <w:tc>
          <w:tcPr>
            <w:tcW w:type="dxa" w:w="216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pPr>
              <w:jc w:val="right"/>
            </w:pPr>
            <w:r>
              <w:rPr>
                <w:rFonts w:ascii="Arial" w:cs="Arial" w:eastAsia="Arial" w:hAnsi="Arial"/>
                <w:b/>
                <w:bCs/>
                <w:color w:val="FFFFFF"/>
                <w:sz w:val="19"/>
                <w:szCs w:val="19"/>
              </w:rPr>
              <w:t xml:space="preserve">Change</w:t>
            </w:r>
          </w:p>
        </w:tc>
      </w:tr>
      <w:tr>
        <w:trPr>
          <w:tblHeader w:val="false"/>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Total revenue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rFonts w:ascii="Arial" w:cs="Arial" w:eastAsia="Arial" w:hAnsi="Arial"/>
                <w:b w:val="false"/>
                <w:bCs w:val="false"/>
                <w:color w:val="000000"/>
                <w:sz w:val="19"/>
                <w:szCs w:val="19"/>
              </w:rPr>
              <w:t xml:space="preserve">$1,600,000</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rFonts w:ascii="Arial" w:cs="Arial" w:eastAsia="Arial" w:hAnsi="Arial"/>
                <w:b w:val="false"/>
                <w:bCs w:val="false"/>
                <w:color w:val="000000"/>
                <w:sz w:val="19"/>
                <w:szCs w:val="19"/>
              </w:rPr>
              <w:t xml:space="preserve">$1,800,000</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rFonts w:ascii="Arial" w:cs="Arial" w:eastAsia="Arial" w:hAnsi="Arial"/>
                <w:b w:val="false"/>
                <w:bCs w:val="false"/>
                <w:color w:val="000000"/>
                <w:sz w:val="19"/>
                <w:szCs w:val="19"/>
              </w:rPr>
              <w:t xml:space="preserve">+12.5%</w:t>
            </w:r>
          </w:p>
        </w:tc>
      </w:tr>
      <w:tr>
        <w:trPr>
          <w:tblHeader w:val="false"/>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Gross profit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rFonts w:ascii="Arial" w:cs="Arial" w:eastAsia="Arial" w:hAnsi="Arial"/>
                <w:b w:val="false"/>
                <w:bCs w:val="false"/>
                <w:color w:val="000000"/>
                <w:sz w:val="19"/>
                <w:szCs w:val="19"/>
              </w:rPr>
              <w:t xml:space="preserve">$1,240,000</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rFonts w:ascii="Arial" w:cs="Arial" w:eastAsia="Arial" w:hAnsi="Arial"/>
                <w:b w:val="false"/>
                <w:bCs w:val="false"/>
                <w:color w:val="000000"/>
                <w:sz w:val="19"/>
                <w:szCs w:val="19"/>
              </w:rPr>
              <w:t xml:space="preserve">$1,400,000</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rFonts w:ascii="Arial" w:cs="Arial" w:eastAsia="Arial" w:hAnsi="Arial"/>
                <w:b w:val="false"/>
                <w:bCs w:val="false"/>
                <w:color w:val="000000"/>
                <w:sz w:val="19"/>
                <w:szCs w:val="19"/>
              </w:rPr>
              <w:t xml:space="preserve">+12.9%</w:t>
            </w:r>
          </w:p>
        </w:tc>
      </w:tr>
      <w:tr>
        <w:trPr>
          <w:tblHeader w:val="false"/>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Operating expenses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rFonts w:ascii="Arial" w:cs="Arial" w:eastAsia="Arial" w:hAnsi="Arial"/>
                <w:b w:val="false"/>
                <w:bCs w:val="false"/>
                <w:color w:val="000000"/>
                <w:sz w:val="19"/>
                <w:szCs w:val="19"/>
              </w:rPr>
              <w:t xml:space="preserve">$935,000</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rFonts w:ascii="Arial" w:cs="Arial" w:eastAsia="Arial" w:hAnsi="Arial"/>
                <w:b w:val="false"/>
                <w:bCs w:val="false"/>
                <w:color w:val="000000"/>
                <w:sz w:val="19"/>
                <w:szCs w:val="19"/>
              </w:rPr>
              <w:t xml:space="preserve">$1,045,000</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rFonts w:ascii="Arial" w:cs="Arial" w:eastAsia="Arial" w:hAnsi="Arial"/>
                <w:b w:val="false"/>
                <w:bCs w:val="false"/>
                <w:color w:val="000000"/>
                <w:sz w:val="19"/>
                <w:szCs w:val="19"/>
              </w:rPr>
              <w:t xml:space="preserve">+11.8%</w:t>
            </w:r>
          </w:p>
        </w:tc>
      </w:tr>
      <w:tr>
        <w:trPr>
          <w:tblHeader w:val="false"/>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Operating income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rFonts w:ascii="Arial" w:cs="Arial" w:eastAsia="Arial" w:hAnsi="Arial"/>
                <w:b w:val="false"/>
                <w:bCs w:val="false"/>
                <w:color w:val="000000"/>
                <w:sz w:val="19"/>
                <w:szCs w:val="19"/>
              </w:rPr>
              <w:t xml:space="preserve">$305,000</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rFonts w:ascii="Arial" w:cs="Arial" w:eastAsia="Arial" w:hAnsi="Arial"/>
                <w:b w:val="false"/>
                <w:bCs w:val="false"/>
                <w:color w:val="000000"/>
                <w:sz w:val="19"/>
                <w:szCs w:val="19"/>
              </w:rPr>
              <w:t xml:space="preserve">$355,000</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rFonts w:ascii="Arial" w:cs="Arial" w:eastAsia="Arial" w:hAnsi="Arial"/>
                <w:b w:val="false"/>
                <w:bCs w:val="false"/>
                <w:color w:val="000000"/>
                <w:sz w:val="19"/>
                <w:szCs w:val="19"/>
              </w:rPr>
              <w:t xml:space="preserve">+16.4%</w:t>
            </w:r>
          </w:p>
        </w:tc>
      </w:tr>
      <w:tr>
        <w:trPr>
          <w:tblHeader w:val="false"/>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Net income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rFonts w:ascii="Arial" w:cs="Arial" w:eastAsia="Arial" w:hAnsi="Arial"/>
                <w:b w:val="false"/>
                <w:bCs w:val="false"/>
                <w:color w:val="000000"/>
                <w:sz w:val="19"/>
                <w:szCs w:val="19"/>
              </w:rPr>
              <w:t xml:space="preserve">$217,500</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rFonts w:ascii="Arial" w:cs="Arial" w:eastAsia="Arial" w:hAnsi="Arial"/>
                <w:b w:val="false"/>
                <w:bCs w:val="false"/>
                <w:color w:val="000000"/>
                <w:sz w:val="19"/>
                <w:szCs w:val="19"/>
              </w:rPr>
              <w:t xml:space="preserve">$255,000</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rFonts w:ascii="Arial" w:cs="Arial" w:eastAsia="Arial" w:hAnsi="Arial"/>
                <w:b w:val="false"/>
                <w:bCs w:val="false"/>
                <w:color w:val="000000"/>
                <w:sz w:val="19"/>
                <w:szCs w:val="19"/>
              </w:rPr>
              <w:t xml:space="preserve">+17.2%</w:t>
            </w:r>
          </w:p>
        </w:tc>
      </w:tr>
    </w:tbl>
    <w:p>
      <w:pPr>
        <w:spacing w:after="120"/>
      </w:pPr>
    </w:p>
    <w:p>
      <w:pPr>
        <w:pStyle w:val="Heading1"/>
        <w:spacing w:after="100" w:before="240"/>
      </w:pPr>
      <w:r>
        <w:rPr>
          <w:rFonts w:ascii="Arial" w:cs="Arial" w:eastAsia="Arial" w:hAnsi="Arial"/>
          <w:b/>
          <w:bCs/>
          <w:color w:val="1F3864"/>
          <w:sz w:val="28"/>
          <w:szCs w:val="28"/>
        </w:rPr>
        <w:t xml:space="preserve">1. Overview</w:t>
      </w:r>
    </w:p>
    <w:p>
      <w:pPr>
        <w:spacing w:after="120" w:line="300"/>
      </w:pPr>
      <w:r>
        <w:rPr>
          <w:rFonts w:ascii="Arial" w:cs="Arial" w:eastAsia="Arial" w:hAnsi="Arial"/>
          <w:sz w:val="21"/>
          <w:szCs w:val="21"/>
        </w:rPr>
        <w:t xml:space="preserve">Q2 2025 was our strongest quarter of the year so far. Revenue grew 12.5% sequentially to $1,800,000 and net income rose 17.2% to $255,000. Growth was driven by the May release of Meridian Insights 3.0 and by new enterprise customers signed in the quarter. Operating expenses grew faster than we planned because of the launch itself, one-off legal work and audit preparation, so operating income of $355,000 was $10,000 below the budget of $365,000 even though revenue was $50,000 ahead of plan.</w:t>
      </w:r>
    </w:p>
    <w:p>
      <w:pPr>
        <w:pStyle w:val="Heading1"/>
        <w:spacing w:after="100" w:before="240"/>
      </w:pPr>
      <w:r>
        <w:rPr>
          <w:rFonts w:ascii="Arial" w:cs="Arial" w:eastAsia="Arial" w:hAnsi="Arial"/>
          <w:b/>
          <w:bCs/>
          <w:color w:val="1F3864"/>
          <w:sz w:val="28"/>
          <w:szCs w:val="28"/>
        </w:rPr>
        <w:t xml:space="preserve">2. Revenue Performance</w:t>
      </w:r>
    </w:p>
    <w:p>
      <w:pPr>
        <w:spacing w:after="120" w:line="300"/>
      </w:pPr>
      <w:r>
        <w:rPr>
          <w:rFonts w:ascii="Arial" w:cs="Arial" w:eastAsia="Arial" w:hAnsi="Arial"/>
          <w:sz w:val="21"/>
          <w:szCs w:val="21"/>
        </w:rPr>
        <w:t xml:space="preserve">Product revenue was $1,350,000, up $150,000 (12.5%) from Q1 and $40,000 above budget. This was our largest positive variance of the quarter. New subscriptions from the launch of Meridian Insights 3.0 and upsells to existing enterprise accounts explain most of the increase.</w:t>
      </w:r>
    </w:p>
    <w:p>
      <w:pPr>
        <w:spacing w:after="120" w:line="300"/>
      </w:pPr>
      <w:r>
        <w:rPr>
          <w:rFonts w:ascii="Arial" w:cs="Arial" w:eastAsia="Arial" w:hAnsi="Arial"/>
          <w:sz w:val="21"/>
          <w:szCs w:val="21"/>
        </w:rPr>
        <w:t xml:space="preserve">Services revenue was $450,000, up $50,000 (12.5%) and $10,000 above budget, reflecting implementation and onboarding work for the new customers.</w:t>
      </w:r>
    </w:p>
    <w:p>
      <w:pPr>
        <w:pStyle w:val="Heading1"/>
        <w:spacing w:after="100" w:before="240"/>
      </w:pPr>
      <w:r>
        <w:rPr>
          <w:rFonts w:ascii="Arial" w:cs="Arial" w:eastAsia="Arial" w:hAnsi="Arial"/>
          <w:b/>
          <w:bCs/>
          <w:color w:val="1F3864"/>
          <w:sz w:val="28"/>
          <w:szCs w:val="28"/>
        </w:rPr>
        <w:t xml:space="preserve">3. Gross Margin</w:t>
      </w:r>
    </w:p>
    <w:p>
      <w:pPr>
        <w:spacing w:after="120" w:line="300"/>
      </w:pPr>
      <w:r>
        <w:rPr>
          <w:rFonts w:ascii="Arial" w:cs="Arial" w:eastAsia="Arial" w:hAnsi="Arial"/>
          <w:sz w:val="21"/>
          <w:szCs w:val="21"/>
        </w:rPr>
        <w:t xml:space="preserve">Gross profit was $1,400,000 (77.8% of revenue) compared with $1,240,000 (77.5%) in Q1. Cloud hosting rose 11.9% to $235,000, slightly slower than revenue, which supported the margin improvement. Support costs were $165,000, up 10.0%. Both cost lines finished $5,000 above budget.</w:t>
      </w:r>
    </w:p>
    <w:p>
      <w:pPr>
        <w:pStyle w:val="Heading1"/>
        <w:spacing w:after="100" w:before="240"/>
      </w:pPr>
      <w:r>
        <w:rPr>
          <w:rFonts w:ascii="Arial" w:cs="Arial" w:eastAsia="Arial" w:hAnsi="Arial"/>
          <w:b/>
          <w:bCs/>
          <w:color w:val="1F3864"/>
          <w:sz w:val="28"/>
          <w:szCs w:val="28"/>
        </w:rPr>
        <w:t xml:space="preserve">4. Operating Expenses</w:t>
      </w:r>
    </w:p>
    <w:p>
      <w:pPr>
        <w:spacing w:after="120" w:line="300"/>
      </w:pPr>
      <w:r>
        <w:rPr>
          <w:rFonts w:ascii="Arial" w:cs="Arial" w:eastAsia="Arial" w:hAnsi="Arial"/>
          <w:sz w:val="21"/>
          <w:szCs w:val="21"/>
        </w:rPr>
        <w:t xml:space="preserve">Operating expenses were $1,045,000, an increase of $110,000 (11.8%) on Q1 and $50,000 above the budget of $995,000. The main movements were:</w:t>
      </w:r>
    </w:p>
    <w:p>
      <w:pPr>
        <w:pStyle w:val="ListParagraph"/>
        <w:numPr>
          <w:ilvl w:val="0"/>
          <w:numId w:val="2"/>
        </w:numPr>
        <w:spacing w:after="80" w:line="290"/>
      </w:pPr>
      <w:r>
        <w:rPr>
          <w:rFonts w:ascii="Arial" w:cs="Arial" w:eastAsia="Arial" w:hAnsi="Arial"/>
          <w:b/>
          <w:bCs/>
          <w:sz w:val="21"/>
          <w:szCs w:val="21"/>
        </w:rPr>
        <w:t xml:space="preserve">Marketing:</w:t>
      </w:r>
      <w:r>
        <w:rPr>
          <w:rFonts w:ascii="Arial" w:cs="Arial" w:eastAsia="Arial" w:hAnsi="Arial"/>
          <w:sz w:val="21"/>
          <w:szCs w:val="21"/>
        </w:rPr>
        <w:t xml:space="preserve"> up $40,000 to $150,000, and $30,000 (25%) over budget. The product launch event run by Summit Events Ltd cost $50,000 across two invoices, and BrightWave Media campaign spend increased by $10,000. This was the largest dollar overrun of the quarter.</w:t>
      </w:r>
    </w:p>
    <w:p>
      <w:pPr>
        <w:pStyle w:val="ListParagraph"/>
        <w:numPr>
          <w:ilvl w:val="0"/>
          <w:numId w:val="2"/>
        </w:numPr>
        <w:spacing w:after="80" w:line="290"/>
      </w:pPr>
      <w:r>
        <w:rPr>
          <w:rFonts w:ascii="Arial" w:cs="Arial" w:eastAsia="Arial" w:hAnsi="Arial"/>
          <w:b/>
          <w:bCs/>
          <w:sz w:val="21"/>
          <w:szCs w:val="21"/>
        </w:rPr>
        <w:t xml:space="preserve">Professional fees:</w:t>
      </w:r>
      <w:r>
        <w:rPr>
          <w:rFonts w:ascii="Arial" w:cs="Arial" w:eastAsia="Arial" w:hAnsi="Arial"/>
          <w:sz w:val="21"/>
          <w:szCs w:val="21"/>
        </w:rPr>
        <w:t xml:space="preserve"> up $22,000 to $62,000, and $17,000 (37.8%) over budget, the largest overrun in percentage terms. Harlow &amp; Finch LLP billed $34,000, including $25,000 for a patent filing and licensing agreement negotiation, and Pemberton Advisory billed $28,000 for audit-readiness work. We expect neither to recur at this level.</w:t>
      </w:r>
    </w:p>
    <w:p>
      <w:pPr>
        <w:pStyle w:val="ListParagraph"/>
        <w:numPr>
          <w:ilvl w:val="0"/>
          <w:numId w:val="2"/>
        </w:numPr>
        <w:spacing w:after="80" w:line="290"/>
      </w:pPr>
      <w:r>
        <w:rPr>
          <w:rFonts w:ascii="Arial" w:cs="Arial" w:eastAsia="Arial" w:hAnsi="Arial"/>
          <w:b/>
          <w:bCs/>
          <w:sz w:val="21"/>
          <w:szCs w:val="21"/>
        </w:rPr>
        <w:t xml:space="preserve">Software and licences:</w:t>
      </w:r>
      <w:r>
        <w:rPr>
          <w:rFonts w:ascii="Arial" w:cs="Arial" w:eastAsia="Arial" w:hAnsi="Arial"/>
          <w:sz w:val="21"/>
          <w:szCs w:val="21"/>
        </w:rPr>
        <w:t xml:space="preserve"> up $18,000 to $78,000 ($8,000 over budget) as we added seats and modules with CloudSuite Software, DataLens Analytics and SecureNet Systems.</w:t>
      </w:r>
    </w:p>
    <w:p>
      <w:pPr>
        <w:pStyle w:val="ListParagraph"/>
        <w:numPr>
          <w:ilvl w:val="0"/>
          <w:numId w:val="2"/>
        </w:numPr>
        <w:spacing w:after="80" w:line="290"/>
      </w:pPr>
      <w:r>
        <w:rPr>
          <w:rFonts w:ascii="Arial" w:cs="Arial" w:eastAsia="Arial" w:hAnsi="Arial"/>
          <w:b/>
          <w:bCs/>
          <w:sz w:val="21"/>
          <w:szCs w:val="21"/>
        </w:rPr>
        <w:t xml:space="preserve">Salaries and benefits:</w:t>
      </w:r>
      <w:r>
        <w:rPr>
          <w:rFonts w:ascii="Arial" w:cs="Arial" w:eastAsia="Arial" w:hAnsi="Arial"/>
          <w:sz w:val="21"/>
          <w:szCs w:val="21"/>
        </w:rPr>
        <w:t xml:space="preserve"> up $20,000 to $640,000 after two engineering hires; the line was $10,000 under budget because one planned hire started later than expected.</w:t>
      </w:r>
    </w:p>
    <w:p>
      <w:pPr>
        <w:pStyle w:val="ListParagraph"/>
        <w:numPr>
          <w:ilvl w:val="0"/>
          <w:numId w:val="2"/>
        </w:numPr>
        <w:spacing w:after="80" w:line="290"/>
      </w:pPr>
      <w:r>
        <w:rPr>
          <w:rFonts w:ascii="Arial" w:cs="Arial" w:eastAsia="Arial" w:hAnsi="Arial"/>
          <w:b/>
          <w:bCs/>
          <w:sz w:val="21"/>
          <w:szCs w:val="21"/>
        </w:rPr>
        <w:t xml:space="preserve">Travel and entertainment:</w:t>
      </w:r>
      <w:r>
        <w:rPr>
          <w:rFonts w:ascii="Arial" w:cs="Arial" w:eastAsia="Arial" w:hAnsi="Arial"/>
          <w:sz w:val="21"/>
          <w:szCs w:val="21"/>
        </w:rPr>
        <w:t xml:space="preserve"> up $10,000 to $35,000 for customer visits around the launch, $5,000 over budget.</w:t>
      </w:r>
    </w:p>
    <w:p>
      <w:pPr>
        <w:spacing w:after="120" w:line="300"/>
      </w:pPr>
      <w:r>
        <w:rPr>
          <w:rFonts w:ascii="Arial" w:cs="Arial" w:eastAsia="Arial" w:hAnsi="Arial"/>
          <w:sz w:val="21"/>
          <w:szCs w:val="21"/>
        </w:rPr>
        <w:t xml:space="preserve">Rent and utilities ($60,000) and depreciation ($20,000) were unchanged and on budget. Marketing and professional fees each exceeded their budgets by more than 10%, so both were reviewed with the CFO in the monthly variance review as required by the Expense Approval Policy.</w:t>
      </w:r>
    </w:p>
    <w:p>
      <w:pPr>
        <w:pStyle w:val="Heading1"/>
        <w:spacing w:after="100" w:before="240"/>
      </w:pPr>
      <w:r>
        <w:rPr>
          <w:rFonts w:ascii="Arial" w:cs="Arial" w:eastAsia="Arial" w:hAnsi="Arial"/>
          <w:b/>
          <w:bCs/>
          <w:color w:val="1F3864"/>
          <w:sz w:val="28"/>
          <w:szCs w:val="28"/>
        </w:rPr>
        <w:t xml:space="preserve">5. Profitability</w:t>
      </w:r>
    </w:p>
    <w:p>
      <w:pPr>
        <w:spacing w:after="120" w:line="300"/>
      </w:pPr>
      <w:r>
        <w:rPr>
          <w:rFonts w:ascii="Arial" w:cs="Arial" w:eastAsia="Arial" w:hAnsi="Arial"/>
          <w:sz w:val="21"/>
          <w:szCs w:val="21"/>
        </w:rPr>
        <w:t xml:space="preserve">Operating income was $355,000, up $50,000 (16.4%) from $305,000 in Q1. After interest expense of $15,000 and income tax of $85,000 at 25%, net income was $255,000, up $37,500 (17.2%) from $217,500. Net margin improved to 14.2% from 13.6%.</w:t>
      </w:r>
    </w:p>
    <w:p>
      <w:pPr>
        <w:pStyle w:val="Heading1"/>
        <w:spacing w:after="100" w:before="240"/>
      </w:pPr>
      <w:r>
        <w:rPr>
          <w:rFonts w:ascii="Arial" w:cs="Arial" w:eastAsia="Arial" w:hAnsi="Arial"/>
          <w:b/>
          <w:bCs/>
          <w:color w:val="1F3864"/>
          <w:sz w:val="28"/>
          <w:szCs w:val="28"/>
        </w:rPr>
        <w:t xml:space="preserve">6. Cash and Liquidity</w:t>
      </w:r>
    </w:p>
    <w:p>
      <w:pPr>
        <w:spacing w:after="120" w:line="300"/>
      </w:pPr>
      <w:r>
        <w:rPr>
          <w:rFonts w:ascii="Arial" w:cs="Arial" w:eastAsia="Arial" w:hAnsi="Arial"/>
          <w:sz w:val="21"/>
          <w:szCs w:val="21"/>
        </w:rPr>
        <w:t xml:space="preserve">Cash and equivalents ended the quarter at $1,167,500, up $140,000 from $1,027,500 at March 31. Operating cash flow was $230,000 (Q1: $202,500), after a $75,000 increase in receivables from launch-period billing. We spent $60,000 on capital expenditure and repaid $30,000 of the term loan, reducing the balance to $540,000.</w:t>
      </w:r>
    </w:p>
    <w:p>
      <w:pPr>
        <w:pStyle w:val="Heading1"/>
        <w:spacing w:after="100" w:before="240"/>
      </w:pPr>
      <w:r>
        <w:rPr>
          <w:rFonts w:ascii="Arial" w:cs="Arial" w:eastAsia="Arial" w:hAnsi="Arial"/>
          <w:b/>
          <w:bCs/>
          <w:color w:val="1F3864"/>
          <w:sz w:val="28"/>
          <w:szCs w:val="28"/>
        </w:rPr>
        <w:t xml:space="preserve">7. Outlook</w:t>
      </w:r>
    </w:p>
    <w:p>
      <w:pPr>
        <w:spacing w:after="120" w:line="300"/>
      </w:pPr>
      <w:r>
        <w:rPr>
          <w:rFonts w:ascii="Arial" w:cs="Arial" w:eastAsia="Arial" w:hAnsi="Arial"/>
          <w:sz w:val="21"/>
          <w:szCs w:val="21"/>
        </w:rPr>
        <w:t xml:space="preserve">We expect revenue of about $1.85 million in Q3 and $1.95 million in Q4, with gross margin near 77.5%. Marketing should normalise to roughly $130,000 per quarter and legal and advisory fees to about $45,000 per quarter. The largest risks to the outlook are customer concentration, cloud cost inflation and slippage of enterprise deals from Q3 into Q4. These are forecasts, not results.</w:t>
      </w:r>
    </w:p>
    <w:p>
      <w:pPr>
        <w:spacing w:before="240"/>
      </w:pPr>
      <w:r>
        <w:rPr>
          <w:rFonts w:ascii="Arial" w:cs="Arial" w:eastAsia="Arial" w:hAnsi="Arial"/>
          <w:i/>
          <w:iCs/>
          <w:color w:val="666666"/>
          <w:sz w:val="16"/>
          <w:szCs w:val="16"/>
        </w:rPr>
        <w:t xml:space="preserve">Figures are unaudited. This document is synthetic and generated for software testing purposes only.</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Meridian Tech Solutions Ltd | Management Commentary Q2 2025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Commentary Q2 2025</dc:title>
  <dc:creator>Meridian Tech Solutions Ltd</dc:creator>
  <cp:lastModifiedBy>Un-named</cp:lastModifiedBy>
  <cp:revision>1</cp:revision>
  <dcterms:created xsi:type="dcterms:W3CDTF">2026-09-20T18:57:45.241Z</dcterms:created>
  <dcterms:modified xsi:type="dcterms:W3CDTF">2026-09-20T18:57:45.251Z</dcterms:modified>
</cp:coreProperties>
</file>

<file path=docProps/custom.xml><?xml version="1.0" encoding="utf-8"?>
<Properties xmlns="http://schemas.openxmlformats.org/officeDocument/2006/custom-properties" xmlns:vt="http://schemas.openxmlformats.org/officeDocument/2006/docPropsVTypes"/>
</file>