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p w14:paraId="2B26C876" w14:textId="2E50E839" w:rsidR="00135266" w:rsidRDefault="00135266" w:rsidP="00135266">
      <w:pPr>
        <w:pStyle w:val="NormalWeb"/>
      </w:pPr>
      <w:r>
        <w:t>T</w:t>
      </w:r>
      <w:r>
        <w:t>op three factors that increase a customer's risk of delinquency:</w:t>
      </w:r>
    </w:p>
    <w:p w14:paraId="09E517AF" w14:textId="77777777" w:rsidR="00135266" w:rsidRDefault="00135266" w:rsidP="00135266">
      <w:pPr>
        <w:pStyle w:val="NormalWeb"/>
        <w:numPr>
          <w:ilvl w:val="0"/>
          <w:numId w:val="10"/>
        </w:numPr>
      </w:pPr>
      <w:r>
        <w:rPr>
          <w:b/>
          <w:bCs/>
        </w:rPr>
        <w:t>Low Credit Score</w:t>
      </w:r>
      <w:r>
        <w:t>: Customers with low credit scores have historically demonstrated a higher likelihood of missing payments. A low score indicates a prior history of financial mismanagement, making them a higher risk.</w:t>
      </w:r>
    </w:p>
    <w:p w14:paraId="34CA4C9F" w14:textId="77777777" w:rsidR="00135266" w:rsidRDefault="00135266" w:rsidP="00135266">
      <w:pPr>
        <w:pStyle w:val="NormalWeb"/>
        <w:numPr>
          <w:ilvl w:val="0"/>
          <w:numId w:val="10"/>
        </w:numPr>
      </w:pPr>
      <w:r>
        <w:rPr>
          <w:b/>
          <w:bCs/>
        </w:rPr>
        <w:t>High Debt-to-Income Ratio</w:t>
      </w:r>
      <w:r>
        <w:t>: A high DTI suggests a customer has a large portion of their income dedicated to debt payments, leaving less money for new obligations. This can strain their ability to make timely payments.</w:t>
      </w:r>
    </w:p>
    <w:p w14:paraId="50978634" w14:textId="3A5CB5C8" w:rsidR="00A537D1" w:rsidRPr="00135266" w:rsidRDefault="00135266" w:rsidP="00135266">
      <w:pPr>
        <w:pStyle w:val="NormalWeb"/>
        <w:numPr>
          <w:ilvl w:val="0"/>
          <w:numId w:val="10"/>
        </w:numPr>
      </w:pPr>
      <w:r>
        <w:rPr>
          <w:b/>
          <w:bCs/>
        </w:rPr>
        <w:t>High Credit Utilization</w:t>
      </w:r>
      <w:r>
        <w:t>: A high credit utilization rate indicates that a customer is using a significant portion of their available credit. This suggests financial strain and a greater need for credit, which correlates with an increased risk of missed payments.</w:t>
      </w:r>
    </w:p>
    <w:p w14:paraId="72833B3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2. Recommendation Framework</w:t>
      </w:r>
    </w:p>
    <w:p w14:paraId="12F988FB" w14:textId="77777777" w:rsidR="00135266" w:rsidRDefault="00135266" w:rsidP="00135266">
      <w:pPr>
        <w:pStyle w:val="Heading3"/>
      </w:pPr>
      <w:r>
        <w:t>Restated Insight:</w:t>
      </w:r>
    </w:p>
    <w:p w14:paraId="0A08D12A" w14:textId="77777777" w:rsidR="00135266" w:rsidRDefault="00135266" w:rsidP="00135266">
      <w:pPr>
        <w:pStyle w:val="NormalWeb"/>
      </w:pPr>
      <w:r>
        <w:t xml:space="preserve">The logistic regression model highlights </w:t>
      </w:r>
      <w:r>
        <w:rPr>
          <w:b/>
          <w:bCs/>
        </w:rPr>
        <w:t>High Credit Utilization Ratio (</w:t>
      </w:r>
      <w:r>
        <w:rPr>
          <w:rStyle w:val="mord"/>
          <w:rFonts w:eastAsiaTheme="majorEastAsia"/>
          <w:b/>
          <w:bCs/>
        </w:rPr>
        <w:t>CUR</w:t>
      </w:r>
      <w:r>
        <w:rPr>
          <w:rStyle w:val="mrel"/>
          <w:rFonts w:eastAsiaTheme="majorEastAsia"/>
          <w:b/>
          <w:bCs/>
        </w:rPr>
        <w:t>≥</w:t>
      </w:r>
      <w:r>
        <w:rPr>
          <w:rStyle w:val="mord"/>
          <w:rFonts w:eastAsiaTheme="majorEastAsia"/>
          <w:b/>
          <w:bCs/>
        </w:rPr>
        <w:t>0.50</w:t>
      </w:r>
      <w:r>
        <w:rPr>
          <w:b/>
          <w:bCs/>
        </w:rPr>
        <w:t>)</w:t>
      </w:r>
      <w:r>
        <w:t xml:space="preserve"> as one of the strongest predictors of future delinquency. Customers who are consistently using a large percentage of their available credit are under significant financial strain, dramatically increasing the probability of a missed payment within the next six months.</w:t>
      </w:r>
    </w:p>
    <w:p w14:paraId="0F4CF2C8" w14:textId="77777777" w:rsidR="00135266" w:rsidRDefault="00135266" w:rsidP="00135266">
      <w:r>
        <w:pict w14:anchorId="3AF778E8">
          <v:rect id="_x0000_i1025" style="width:0;height:1.5pt" o:hralign="center" o:hrstd="t" o:hr="t" fillcolor="#a0a0a0" stroked="f"/>
        </w:pict>
      </w:r>
    </w:p>
    <w:p w14:paraId="160A90D1" w14:textId="77777777" w:rsidR="00135266" w:rsidRDefault="00135266" w:rsidP="00135266">
      <w:pPr>
        <w:pStyle w:val="Heading3"/>
      </w:pPr>
      <w:r>
        <w:t>Proposed Recommendation: Targeted Utilization Reduction Program (TURP)</w:t>
      </w:r>
    </w:p>
    <w:p w14:paraId="2E625135" w14:textId="77777777" w:rsidR="00135266" w:rsidRDefault="00135266" w:rsidP="00135266">
      <w:pPr>
        <w:pStyle w:val="NormalWeb"/>
      </w:pPr>
      <w:r>
        <w:t xml:space="preserve">We recommend implementing a </w:t>
      </w:r>
      <w:r>
        <w:rPr>
          <w:b/>
          <w:bCs/>
        </w:rPr>
        <w:t>Targeted Utilization Reduction Program (TURP)</w:t>
      </w:r>
      <w:r>
        <w:t xml:space="preserve"> focused on assisting high-risk customers to lower their credit utilization by providing actionable financial education and short-term payment plans.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7306"/>
      </w:tblGrid>
      <w:tr w:rsidR="00135266" w14:paraId="1004D343" w14:textId="77777777" w:rsidTr="00135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22956" w14:textId="77777777" w:rsidR="00135266" w:rsidRDefault="00135266">
            <w:pPr>
              <w:rPr>
                <w:sz w:val="24"/>
                <w:szCs w:val="24"/>
              </w:rPr>
            </w:pPr>
            <w:r>
              <w:t>SMART Component</w:t>
            </w:r>
          </w:p>
        </w:tc>
        <w:tc>
          <w:tcPr>
            <w:tcW w:w="0" w:type="auto"/>
            <w:vAlign w:val="center"/>
            <w:hideMark/>
          </w:tcPr>
          <w:p w14:paraId="75887BDD" w14:textId="77777777" w:rsidR="00135266" w:rsidRDefault="00135266">
            <w:pPr>
              <w:rPr>
                <w:sz w:val="24"/>
                <w:szCs w:val="24"/>
              </w:rPr>
            </w:pPr>
            <w:r>
              <w:t>Detail of Intervention</w:t>
            </w:r>
          </w:p>
        </w:tc>
      </w:tr>
      <w:tr w:rsidR="00135266" w14:paraId="1ECA06A8" w14:textId="77777777" w:rsidTr="00135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5C20" w14:textId="77777777" w:rsidR="00135266" w:rsidRDefault="001352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Specific</w:t>
            </w:r>
          </w:p>
        </w:tc>
        <w:tc>
          <w:tcPr>
            <w:tcW w:w="0" w:type="auto"/>
            <w:vAlign w:val="center"/>
            <w:hideMark/>
          </w:tcPr>
          <w:p w14:paraId="61C00699" w14:textId="77777777" w:rsidR="00135266" w:rsidRDefault="00135266">
            <w:pPr>
              <w:rPr>
                <w:sz w:val="24"/>
                <w:szCs w:val="24"/>
              </w:rPr>
            </w:pPr>
            <w:r>
              <w:t xml:space="preserve">Proactively identify the top 200 customers with a </w:t>
            </w:r>
            <w:r>
              <w:rPr>
                <w:rStyle w:val="mord"/>
              </w:rPr>
              <w:t>CUR</w:t>
            </w:r>
            <w:r>
              <w:rPr>
                <w:rStyle w:val="mrel"/>
              </w:rPr>
              <w:t>≥</w:t>
            </w:r>
            <w:r>
              <w:rPr>
                <w:rStyle w:val="mord"/>
              </w:rPr>
              <w:t>0.50</w:t>
            </w:r>
            <w:r>
              <w:t xml:space="preserve"> AND a </w:t>
            </w:r>
            <w:r>
              <w:rPr>
                <w:b/>
                <w:bCs/>
              </w:rPr>
              <w:t>Credit Score</w:t>
            </w:r>
            <w:r>
              <w:t xml:space="preserve"> of </w:t>
            </w:r>
            <w:r>
              <w:rPr>
                <w:rStyle w:val="mrel"/>
              </w:rPr>
              <w:t>≤</w:t>
            </w:r>
            <w:r>
              <w:rPr>
                <w:rStyle w:val="mord"/>
              </w:rPr>
              <w:t>550</w:t>
            </w:r>
            <w:r>
              <w:t>. Enroll them in a personalized, 90-day micro-program offering flexible payment arrangement options and educational content focused solely on the impact of utilization.</w:t>
            </w:r>
          </w:p>
        </w:tc>
      </w:tr>
      <w:tr w:rsidR="00135266" w14:paraId="066F755A" w14:textId="77777777" w:rsidTr="00135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2429" w14:textId="77777777" w:rsidR="00135266" w:rsidRDefault="001352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Measurable</w:t>
            </w:r>
          </w:p>
        </w:tc>
        <w:tc>
          <w:tcPr>
            <w:tcW w:w="0" w:type="auto"/>
            <w:vAlign w:val="center"/>
            <w:hideMark/>
          </w:tcPr>
          <w:p w14:paraId="676E1D85" w14:textId="77777777" w:rsidR="00135266" w:rsidRDefault="001352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1.</w:t>
            </w:r>
            <w:r>
              <w:t xml:space="preserve"> Reduce the average </w:t>
            </w:r>
            <w:r>
              <w:rPr>
                <w:rStyle w:val="mord"/>
              </w:rPr>
              <w:t>CUR</w:t>
            </w:r>
            <w:r>
              <w:t xml:space="preserve"> for the target group by </w:t>
            </w:r>
            <w:r>
              <w:rPr>
                <w:b/>
                <w:bCs/>
              </w:rPr>
              <w:t>10 percentage points</w:t>
            </w:r>
            <w:r>
              <w:t xml:space="preserve"> (e.g., from 65% down to 55%). </w:t>
            </w:r>
            <w:r>
              <w:rPr>
                <w:b/>
                <w:bCs/>
              </w:rPr>
              <w:t>2.</w:t>
            </w:r>
            <w:r>
              <w:t xml:space="preserve"> Achieve a </w:t>
            </w:r>
            <w:r>
              <w:rPr>
                <w:b/>
                <w:bCs/>
              </w:rPr>
              <w:t>15% reduction</w:t>
            </w:r>
            <w:r>
              <w:t xml:space="preserve"> in the 6-month delinquency rate for this specific cohort compared to the previous six months.</w:t>
            </w:r>
          </w:p>
        </w:tc>
      </w:tr>
      <w:tr w:rsidR="00135266" w14:paraId="6AB46351" w14:textId="77777777" w:rsidTr="00135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9EBC" w14:textId="77777777" w:rsidR="00135266" w:rsidRDefault="001352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Actionable</w:t>
            </w:r>
          </w:p>
        </w:tc>
        <w:tc>
          <w:tcPr>
            <w:tcW w:w="0" w:type="auto"/>
            <w:vAlign w:val="center"/>
            <w:hideMark/>
          </w:tcPr>
          <w:p w14:paraId="75D79678" w14:textId="77777777" w:rsidR="00135266" w:rsidRDefault="00135266">
            <w:pPr>
              <w:rPr>
                <w:sz w:val="24"/>
                <w:szCs w:val="24"/>
              </w:rPr>
            </w:pPr>
            <w:r>
              <w:t>The Collections and Marketing teams will collaborate to deploy automated SMS/email communications linking to a secure, personalized portal where customers can access restructured payment options and financial literacy modules.</w:t>
            </w:r>
          </w:p>
        </w:tc>
      </w:tr>
      <w:tr w:rsidR="00135266" w14:paraId="6ED769A5" w14:textId="77777777" w:rsidTr="00135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FFA8" w14:textId="77777777" w:rsidR="00135266" w:rsidRDefault="001352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Relevant</w:t>
            </w:r>
          </w:p>
        </w:tc>
        <w:tc>
          <w:tcPr>
            <w:tcW w:w="0" w:type="auto"/>
            <w:vAlign w:val="center"/>
            <w:hideMark/>
          </w:tcPr>
          <w:p w14:paraId="7C2692B7" w14:textId="77777777" w:rsidR="00135266" w:rsidRDefault="00135266">
            <w:pPr>
              <w:rPr>
                <w:sz w:val="24"/>
                <w:szCs w:val="24"/>
              </w:rPr>
            </w:pPr>
            <w:r>
              <w:t>The intervention directly addresses the highest weighted, most controllable risk factor identified by the predictive model, providing a preventative measure that lowers future write-offs.</w:t>
            </w:r>
          </w:p>
        </w:tc>
      </w:tr>
      <w:tr w:rsidR="00135266" w14:paraId="0BC30B80" w14:textId="77777777" w:rsidTr="001352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CBFD3" w14:textId="77777777" w:rsidR="00135266" w:rsidRDefault="00135266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Time-bound</w:t>
            </w:r>
          </w:p>
        </w:tc>
        <w:tc>
          <w:tcPr>
            <w:tcW w:w="0" w:type="auto"/>
            <w:vAlign w:val="center"/>
            <w:hideMark/>
          </w:tcPr>
          <w:p w14:paraId="7357D63E" w14:textId="77777777" w:rsidR="00135266" w:rsidRDefault="00135266">
            <w:pPr>
              <w:rPr>
                <w:sz w:val="24"/>
                <w:szCs w:val="24"/>
              </w:rPr>
            </w:pPr>
            <w:r>
              <w:t xml:space="preserve">The program will launch within the next </w:t>
            </w:r>
            <w:r>
              <w:rPr>
                <w:b/>
                <w:bCs/>
              </w:rPr>
              <w:t>30 days</w:t>
            </w:r>
            <w:r>
              <w:t xml:space="preserve"> and will be evaluated based on the </w:t>
            </w:r>
            <w:r>
              <w:rPr>
                <w:b/>
                <w:bCs/>
              </w:rPr>
              <w:t>90-day</w:t>
            </w:r>
            <w:r>
              <w:t xml:space="preserve"> and </w:t>
            </w:r>
            <w:r>
              <w:rPr>
                <w:b/>
                <w:bCs/>
              </w:rPr>
              <w:t>180-day</w:t>
            </w:r>
            <w:r>
              <w:t xml:space="preserve"> results against the measurable targets.</w:t>
            </w:r>
          </w:p>
        </w:tc>
      </w:tr>
    </w:tbl>
    <w:p w14:paraId="549CF475" w14:textId="77777777" w:rsidR="00135266" w:rsidRDefault="00135266" w:rsidP="00135266">
      <w:r>
        <w:rPr>
          <w:rStyle w:val="export-sheets-button"/>
        </w:rPr>
        <w:t>Export to Sheets</w:t>
      </w:r>
    </w:p>
    <w:p w14:paraId="245B06DF" w14:textId="77777777" w:rsidR="00135266" w:rsidRDefault="00135266" w:rsidP="00135266">
      <w:r>
        <w:pict w14:anchorId="42E62A82">
          <v:rect id="_x0000_i1026" style="width:0;height:1.5pt" o:hralign="center" o:hrstd="t" o:hr="t" fillcolor="#a0a0a0" stroked="f"/>
        </w:pict>
      </w:r>
    </w:p>
    <w:p w14:paraId="53234EBC" w14:textId="77777777" w:rsidR="00135266" w:rsidRDefault="00135266" w:rsidP="00135266">
      <w:pPr>
        <w:pStyle w:val="Heading3"/>
      </w:pPr>
      <w:r>
        <w:t>Justification and Business Rationale:</w:t>
      </w:r>
    </w:p>
    <w:p w14:paraId="0C906535" w14:textId="77777777" w:rsidR="00135266" w:rsidRDefault="00135266" w:rsidP="00135266">
      <w:pPr>
        <w:pStyle w:val="NormalWeb"/>
      </w:pPr>
      <w:r>
        <w:t xml:space="preserve">Reducing high credit utilization is a </w:t>
      </w:r>
      <w:r>
        <w:rPr>
          <w:b/>
          <w:bCs/>
        </w:rPr>
        <w:t>preventative, low-cost intervention</w:t>
      </w:r>
      <w:r>
        <w:t xml:space="preserve"> that generates significant long-term value.</w:t>
      </w:r>
    </w:p>
    <w:p w14:paraId="1A874CBE" w14:textId="77777777" w:rsidR="00135266" w:rsidRDefault="00135266" w:rsidP="00135266">
      <w:pPr>
        <w:pStyle w:val="NormalWeb"/>
        <w:numPr>
          <w:ilvl w:val="0"/>
          <w:numId w:val="11"/>
        </w:numPr>
      </w:pPr>
      <w:r>
        <w:rPr>
          <w:b/>
          <w:bCs/>
        </w:rPr>
        <w:t>Risk Mitigation:</w:t>
      </w:r>
      <w:r>
        <w:t xml:space="preserve"> By focusing on the </w:t>
      </w:r>
      <w:r>
        <w:rPr>
          <w:rStyle w:val="mord"/>
          <w:rFonts w:eastAsiaTheme="majorEastAsia"/>
        </w:rPr>
        <w:t>CUR</w:t>
      </w:r>
      <w:r>
        <w:t xml:space="preserve">, we target a driver of delinquency rather than just reacting to missed payments. Achieving the 15% reduction in delinquency for this high-risk group will directly save the company money by </w:t>
      </w:r>
      <w:r>
        <w:rPr>
          <w:b/>
          <w:bCs/>
        </w:rPr>
        <w:t>reducing collection costs and loan write-offs.</w:t>
      </w:r>
    </w:p>
    <w:p w14:paraId="5397C820" w14:textId="77777777" w:rsidR="00135266" w:rsidRDefault="00135266" w:rsidP="00135266">
      <w:pPr>
        <w:pStyle w:val="NormalWeb"/>
        <w:numPr>
          <w:ilvl w:val="0"/>
          <w:numId w:val="11"/>
        </w:numPr>
      </w:pPr>
      <w:r>
        <w:rPr>
          <w:b/>
          <w:bCs/>
        </w:rPr>
        <w:t>Customer Retention and Loyalty:</w:t>
      </w:r>
      <w:r>
        <w:t xml:space="preserve"> Assisting customers before they default fosters trust. This program positions the institution as a partner, not just a lender, which can lead to increased long-term customer value, retention, and cross-selling opportunities.</w:t>
      </w:r>
    </w:p>
    <w:p w14:paraId="00E548D3" w14:textId="77777777" w:rsidR="00135266" w:rsidRDefault="00135266" w:rsidP="00135266">
      <w:pPr>
        <w:pStyle w:val="NormalWeb"/>
        <w:numPr>
          <w:ilvl w:val="0"/>
          <w:numId w:val="11"/>
        </w:numPr>
      </w:pPr>
      <w:r>
        <w:rPr>
          <w:b/>
          <w:bCs/>
        </w:rPr>
        <w:t>Data Validation:</w:t>
      </w:r>
      <w:r>
        <w:t xml:space="preserve"> The success of this intervention provides crucial real-world validation for the logistic regression model. Proving the model’s insight is actionable strengthens confidence in using it for future automated decision-making.</w:t>
      </w:r>
    </w:p>
    <w:p w14:paraId="17D2B140" w14:textId="29C0207C" w:rsidR="007D72C2" w:rsidRPr="00A537D1" w:rsidRDefault="007D72C2" w:rsidP="00135266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color w:val="000000" w:themeColor="text1"/>
        </w:rPr>
      </w:pPr>
    </w:p>
    <w:p w14:paraId="08E6A272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646AF0AD" w14:textId="77777777" w:rsidR="00135266" w:rsidRDefault="00135266" w:rsidP="00135266">
      <w:pPr>
        <w:pStyle w:val="Heading3"/>
      </w:pPr>
      <w:r>
        <w:t>Acknowledgment</w:t>
      </w:r>
    </w:p>
    <w:p w14:paraId="75A01627" w14:textId="77777777" w:rsidR="00135266" w:rsidRDefault="00135266" w:rsidP="00135266">
      <w:pPr>
        <w:pStyle w:val="NormalWeb"/>
      </w:pPr>
      <w:r>
        <w:t>Reflecting on the ethical dimensions of a predictive model and its recommendations is critical for responsible AI development. Our logistic regression model and the proposed intervention are designed with these principles in mind.</w:t>
      </w:r>
    </w:p>
    <w:p w14:paraId="197ED94C" w14:textId="77777777" w:rsidR="00135266" w:rsidRDefault="00135266" w:rsidP="00135266">
      <w:pPr>
        <w:pStyle w:val="Heading3"/>
      </w:pPr>
      <w:r>
        <w:t>Fairness, Transparency, and Impact</w:t>
      </w:r>
    </w:p>
    <w:p w14:paraId="3262E74A" w14:textId="77777777" w:rsidR="00135266" w:rsidRDefault="00135266" w:rsidP="00135266">
      <w:pPr>
        <w:pStyle w:val="Heading4"/>
      </w:pPr>
      <w:r>
        <w:t>1. Potential for Bias and Unfair Treatment</w:t>
      </w:r>
    </w:p>
    <w:p w14:paraId="174FE1F2" w14:textId="77777777" w:rsidR="00135266" w:rsidRDefault="00135266" w:rsidP="00135266">
      <w:pPr>
        <w:pStyle w:val="NormalWeb"/>
      </w:pPr>
      <w:r>
        <w:t xml:space="preserve">A significant risk with any financial model is the potential for </w:t>
      </w:r>
      <w:r>
        <w:rPr>
          <w:b/>
          <w:bCs/>
        </w:rPr>
        <w:t>algorithmic bias</w:t>
      </w:r>
      <w:r>
        <w:t>, where the model's predictions might unfairly disadvantage certain demographic groups.</w:t>
      </w:r>
    </w:p>
    <w:p w14:paraId="6E9BAF24" w14:textId="77777777" w:rsidR="00135266" w:rsidRDefault="00135266" w:rsidP="00135266">
      <w:pPr>
        <w:pStyle w:val="NormalWeb"/>
        <w:numPr>
          <w:ilvl w:val="0"/>
          <w:numId w:val="12"/>
        </w:numPr>
      </w:pPr>
      <w:r>
        <w:rPr>
          <w:b/>
          <w:bCs/>
        </w:rPr>
        <w:t>Income Disparity:</w:t>
      </w:r>
      <w:r>
        <w:t xml:space="preserve"> The model identifies </w:t>
      </w:r>
      <w:r>
        <w:rPr>
          <w:b/>
          <w:bCs/>
        </w:rPr>
        <w:t>Debt-to-Income Ratio</w:t>
      </w:r>
      <w:r>
        <w:t xml:space="preserve"> as a key risk factor. If customers in certain locations or with specific employment statuses (e.g., unemployed, self-employed) have historically lower incomes, the model might disproportionately flag them as high-risk. This isn't because they are inherently less creditworthy, but because the model has learned a correlation from the data's historical patterns.</w:t>
      </w:r>
    </w:p>
    <w:p w14:paraId="659AFB0D" w14:textId="77777777" w:rsidR="00135266" w:rsidRDefault="00135266" w:rsidP="00135266">
      <w:pPr>
        <w:pStyle w:val="NormalWeb"/>
        <w:numPr>
          <w:ilvl w:val="0"/>
          <w:numId w:val="12"/>
        </w:numPr>
      </w:pPr>
      <w:r>
        <w:rPr>
          <w:b/>
          <w:bCs/>
        </w:rPr>
        <w:t>Age and Employment Status:</w:t>
      </w:r>
      <w:r>
        <w:t xml:space="preserve"> Our analysis showed a high correlation between age and employment status. A model could inadvertently assign higher risk to younger customers simply because they are more likely to have a lower credit score and less credit history than older, more established customers, regardless of their current financial </w:t>
      </w:r>
      <w:proofErr w:type="spellStart"/>
      <w:r>
        <w:t>behavior</w:t>
      </w:r>
      <w:proofErr w:type="spellEnd"/>
      <w:r>
        <w:t>.</w:t>
      </w:r>
    </w:p>
    <w:p w14:paraId="059E0F0C" w14:textId="77777777" w:rsidR="00135266" w:rsidRDefault="00135266" w:rsidP="00135266">
      <w:pPr>
        <w:pStyle w:val="Heading4"/>
      </w:pPr>
      <w:r>
        <w:t xml:space="preserve">2. </w:t>
      </w:r>
      <w:proofErr w:type="spellStart"/>
      <w:r>
        <w:t>Explainability</w:t>
      </w:r>
      <w:proofErr w:type="spellEnd"/>
      <w:r>
        <w:t xml:space="preserve"> and Transparency</w:t>
      </w:r>
    </w:p>
    <w:p w14:paraId="1BB3F35D" w14:textId="77777777" w:rsidR="00135266" w:rsidRDefault="00135266" w:rsidP="00135266">
      <w:pPr>
        <w:pStyle w:val="NormalWeb"/>
      </w:pPr>
      <w:r>
        <w:t xml:space="preserve">Our choice of a </w:t>
      </w:r>
      <w:r>
        <w:rPr>
          <w:b/>
          <w:bCs/>
        </w:rPr>
        <w:t>logistic regression model</w:t>
      </w:r>
      <w:r>
        <w:t xml:space="preserve"> directly addresses the need for transparency.</w:t>
      </w:r>
    </w:p>
    <w:p w14:paraId="618BEC82" w14:textId="77777777" w:rsidR="00135266" w:rsidRDefault="00135266" w:rsidP="00135266">
      <w:pPr>
        <w:pStyle w:val="NormalWeb"/>
        <w:numPr>
          <w:ilvl w:val="0"/>
          <w:numId w:val="13"/>
        </w:numPr>
      </w:pPr>
      <w:r>
        <w:rPr>
          <w:b/>
          <w:bCs/>
        </w:rPr>
        <w:t>Interpretability:</w:t>
      </w:r>
      <w:r>
        <w:t xml:space="preserve"> Unlike complex "black box" models like neural networks, logistic regression is highly explainable. We can clearly see the weight (or coefficient) assigned to each variable. For example, if a high </w:t>
      </w:r>
      <w:proofErr w:type="spellStart"/>
      <w:r>
        <w:rPr>
          <w:rStyle w:val="HTMLCode"/>
        </w:rPr>
        <w:t>Credit_Utilization</w:t>
      </w:r>
      <w:proofErr w:type="spellEnd"/>
      <w:r>
        <w:t xml:space="preserve"> has a strong positive coefficient, we can confidently state that the model sees this as a major risk factor.</w:t>
      </w:r>
    </w:p>
    <w:p w14:paraId="4FFD1A22" w14:textId="77777777" w:rsidR="00135266" w:rsidRDefault="00135266" w:rsidP="00135266">
      <w:pPr>
        <w:pStyle w:val="NormalWeb"/>
        <w:numPr>
          <w:ilvl w:val="0"/>
          <w:numId w:val="13"/>
        </w:numPr>
      </w:pPr>
      <w:r>
        <w:rPr>
          <w:b/>
          <w:bCs/>
        </w:rPr>
        <w:t>Communication:</w:t>
      </w:r>
      <w:r>
        <w:t xml:space="preserve"> This level of transparency makes it straightforward to communicate </w:t>
      </w:r>
      <w:r>
        <w:rPr>
          <w:i/>
          <w:iCs/>
        </w:rPr>
        <w:t>why</w:t>
      </w:r>
      <w:r>
        <w:t xml:space="preserve"> the model made a specific prediction. We can tell a customer, "Your account was flagged because your credit utilization is above 60%," rather than "The model made a complex prediction we can't fully explain."</w:t>
      </w:r>
    </w:p>
    <w:p w14:paraId="3BE05B33" w14:textId="77777777" w:rsidR="00135266" w:rsidRDefault="00135266" w:rsidP="00135266">
      <w:pPr>
        <w:pStyle w:val="Heading4"/>
      </w:pPr>
      <w:r>
        <w:lastRenderedPageBreak/>
        <w:t>3. Supporting Responsible Financial Decisions</w:t>
      </w:r>
    </w:p>
    <w:p w14:paraId="29178CFE" w14:textId="77777777" w:rsidR="00135266" w:rsidRDefault="00135266" w:rsidP="00135266">
      <w:pPr>
        <w:pStyle w:val="NormalWeb"/>
      </w:pPr>
      <w:r>
        <w:t xml:space="preserve">The proposed </w:t>
      </w:r>
      <w:r>
        <w:rPr>
          <w:b/>
          <w:bCs/>
        </w:rPr>
        <w:t>Targeted Utilization Reduction Program (TURP)</w:t>
      </w:r>
      <w:r>
        <w:t xml:space="preserve"> aims to support responsible financial decision-making for both the business and the customer.</w:t>
      </w:r>
    </w:p>
    <w:p w14:paraId="0788C178" w14:textId="77777777" w:rsidR="00135266" w:rsidRDefault="00135266" w:rsidP="00135266">
      <w:pPr>
        <w:pStyle w:val="NormalWeb"/>
        <w:numPr>
          <w:ilvl w:val="0"/>
          <w:numId w:val="14"/>
        </w:numPr>
      </w:pPr>
      <w:r>
        <w:rPr>
          <w:b/>
          <w:bCs/>
        </w:rPr>
        <w:t>Proactive Intervention:</w:t>
      </w:r>
      <w:r>
        <w:t xml:space="preserve"> The recommendation is preventative, not punitive. Instead of simply penalizing a customer for a missed payment, it offers a tool to help them avoid that outcome. This aligns with a core principle of responsible lending: assisting customers in a proactive, supportive manner.</w:t>
      </w:r>
    </w:p>
    <w:p w14:paraId="2472E03A" w14:textId="77777777" w:rsidR="00135266" w:rsidRDefault="00135266" w:rsidP="00135266">
      <w:pPr>
        <w:pStyle w:val="NormalWeb"/>
        <w:numPr>
          <w:ilvl w:val="0"/>
          <w:numId w:val="14"/>
        </w:numPr>
      </w:pPr>
      <w:r>
        <w:rPr>
          <w:b/>
          <w:bCs/>
        </w:rPr>
        <w:t>Empowerment:</w:t>
      </w:r>
      <w:r>
        <w:t xml:space="preserve"> The program's focus on education and flexible payment options empowers customers to improve their financial health. It shifts the dynamic from a passive risk assessment to an active partnership, fostering financial literacy and accountability.</w:t>
      </w:r>
    </w:p>
    <w:p w14:paraId="6610DD6C" w14:textId="77777777" w:rsidR="00135266" w:rsidRDefault="00135266" w:rsidP="00135266">
      <w:pPr>
        <w:pStyle w:val="Heading4"/>
      </w:pPr>
      <w:r>
        <w:t>4. Other Ethical Principles</w:t>
      </w:r>
    </w:p>
    <w:p w14:paraId="300B5599" w14:textId="77777777" w:rsidR="00135266" w:rsidRDefault="00135266" w:rsidP="00135266">
      <w:pPr>
        <w:pStyle w:val="NormalWeb"/>
        <w:numPr>
          <w:ilvl w:val="0"/>
          <w:numId w:val="15"/>
        </w:numPr>
      </w:pPr>
      <w:r>
        <w:rPr>
          <w:b/>
          <w:bCs/>
        </w:rPr>
        <w:t>Data Privacy:</w:t>
      </w:r>
      <w:r>
        <w:t xml:space="preserve"> We would ensure all customer data used for this model is </w:t>
      </w:r>
      <w:proofErr w:type="spellStart"/>
      <w:r>
        <w:t>anonymized</w:t>
      </w:r>
      <w:proofErr w:type="spellEnd"/>
      <w:r>
        <w:t xml:space="preserve"> and secured to protect individual privacy. Only necessary, non-identifying information would be used in the model's training.</w:t>
      </w:r>
    </w:p>
    <w:p w14:paraId="3DDF8E7F" w14:textId="77777777" w:rsidR="00135266" w:rsidRDefault="00135266" w:rsidP="00135266">
      <w:pPr>
        <w:pStyle w:val="NormalWeb"/>
        <w:numPr>
          <w:ilvl w:val="0"/>
          <w:numId w:val="15"/>
        </w:numPr>
      </w:pPr>
      <w:r>
        <w:rPr>
          <w:b/>
          <w:bCs/>
        </w:rPr>
        <w:t>Accountability:</w:t>
      </w:r>
      <w:r>
        <w:t xml:space="preserve"> We have established clear accountability for the model's outputs. The recommendations are a tool for human decision-makers, not a replacement. This ensures a human is ultimately responsible for any action taken, with the model serving as a guide.</w:t>
      </w:r>
    </w:p>
    <w:p w14:paraId="33EC1793" w14:textId="3D98A959" w:rsidR="007D72C2" w:rsidRDefault="007D72C2">
      <w:pPr>
        <w:rPr>
          <w:rFonts w:ascii="Arial" w:hAnsi="Arial" w:cs="Arial"/>
          <w:color w:val="000000" w:themeColor="text1"/>
        </w:rPr>
      </w:pPr>
      <w:bookmarkStart w:id="0" w:name="_GoBack"/>
      <w:bookmarkEnd w:id="0"/>
    </w:p>
    <w:p w14:paraId="61179B4D" w14:textId="61ADBC53" w:rsidR="00135266" w:rsidRPr="00A537D1" w:rsidRDefault="00135266" w:rsidP="00135266">
      <w:pPr>
        <w:tabs>
          <w:tab w:val="left" w:pos="5661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</w:p>
    <w:sectPr w:rsidR="00135266" w:rsidRPr="00A53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43D0151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B45C9D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0B90D8C"/>
    <w:multiLevelType w:val="multilevel"/>
    <w:tmpl w:val="C0CC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7B2A64"/>
    <w:multiLevelType w:val="multilevel"/>
    <w:tmpl w:val="1830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E45614"/>
    <w:multiLevelType w:val="multilevel"/>
    <w:tmpl w:val="E466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D831D9"/>
    <w:multiLevelType w:val="multilevel"/>
    <w:tmpl w:val="1D76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C261DF"/>
    <w:multiLevelType w:val="multilevel"/>
    <w:tmpl w:val="F8B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402982"/>
    <w:multiLevelType w:val="multilevel"/>
    <w:tmpl w:val="4CD4E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4"/>
  </w:num>
  <w:num w:numId="12">
    <w:abstractNumId w:val="12"/>
  </w:num>
  <w:num w:numId="13">
    <w:abstractNumId w:val="11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5266"/>
    <w:rsid w:val="0015074B"/>
    <w:rsid w:val="0029639D"/>
    <w:rsid w:val="00326F90"/>
    <w:rsid w:val="007D72C2"/>
    <w:rsid w:val="008237CA"/>
    <w:rsid w:val="00A537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35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ord">
    <w:name w:val="mord"/>
    <w:basedOn w:val="DefaultParagraphFont"/>
    <w:rsid w:val="00135266"/>
  </w:style>
  <w:style w:type="character" w:customStyle="1" w:styleId="mrel">
    <w:name w:val="mrel"/>
    <w:basedOn w:val="DefaultParagraphFont"/>
    <w:rsid w:val="00135266"/>
  </w:style>
  <w:style w:type="character" w:customStyle="1" w:styleId="export-sheets-button">
    <w:name w:val="export-sheets-button"/>
    <w:basedOn w:val="DefaultParagraphFont"/>
    <w:rsid w:val="00135266"/>
  </w:style>
  <w:style w:type="character" w:styleId="HTMLCode">
    <w:name w:val="HTML Code"/>
    <w:basedOn w:val="DefaultParagraphFont"/>
    <w:uiPriority w:val="99"/>
    <w:semiHidden/>
    <w:unhideWhenUsed/>
    <w:rsid w:val="0013526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bottom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35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ord">
    <w:name w:val="mord"/>
    <w:basedOn w:val="DefaultParagraphFont"/>
    <w:rsid w:val="00135266"/>
  </w:style>
  <w:style w:type="character" w:customStyle="1" w:styleId="mrel">
    <w:name w:val="mrel"/>
    <w:basedOn w:val="DefaultParagraphFont"/>
    <w:rsid w:val="00135266"/>
  </w:style>
  <w:style w:type="character" w:customStyle="1" w:styleId="export-sheets-button">
    <w:name w:val="export-sheets-button"/>
    <w:basedOn w:val="DefaultParagraphFont"/>
    <w:rsid w:val="00135266"/>
  </w:style>
  <w:style w:type="character" w:styleId="HTMLCode">
    <w:name w:val="HTML Code"/>
    <w:basedOn w:val="DefaultParagraphFont"/>
    <w:uiPriority w:val="99"/>
    <w:semiHidden/>
    <w:unhideWhenUsed/>
    <w:rsid w:val="001352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2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1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BC962-7719-464C-B626-CFA82D529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2025-09-28T14:44:00Z</dcterms:created>
  <dcterms:modified xsi:type="dcterms:W3CDTF">2025-09-28T14:44:00Z</dcterms:modified>
</cp:coreProperties>
</file>