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set-description"/>
    <w:p>
      <w:pPr>
        <w:pStyle w:val="Heading1"/>
      </w:pPr>
      <w:r>
        <w:t xml:space="preserve">Dataset Description</w:t>
      </w:r>
    </w:p>
    <w:bookmarkEnd w:id="20"/>
    <w:bookmarkStart w:id="22" w:name="X3c19424f2734267421a635159a35fad1e7e9288"/>
    <w:p>
      <w:pPr>
        <w:pStyle w:val="Heading1"/>
      </w:pPr>
      <w:r>
        <w:t xml:space="preserve">Digital Payment Risk &amp; Fraud Analytics using SQL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based on a simulated digital payment platform dataset that represents customers, merchants, and financial transactions. The data is designed to mimic real-world payment systems where users perform transactions using different payment applications, devices, and merchant categories.</w:t>
      </w:r>
    </w:p>
    <w:p>
      <w:pPr>
        <w:pStyle w:val="BodyText"/>
      </w:pPr>
      <w:r>
        <w:t xml:space="preserve">The dataset is used to analyze customer behavior, business performance, and fraud patterns using Microsoft SQL Server.</w:t>
      </w:r>
    </w:p>
    <w:p>
      <w:pPr>
        <w:pStyle w:val="BodyText"/>
      </w:pPr>
      <w:r>
        <w:t xml:space="preserve">Unlike many fraud datasets that store fraud information in a separate table, this project stores fraud-related attributes directly within the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table. This allows fraud detection and business analysis to be performed using a single transactional dataset while maintaining a simple and efficient database design.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ataset-summary"/>
    <w:p>
      <w:pPr>
        <w:pStyle w:val="Heading1"/>
      </w:pPr>
      <w:r>
        <w:t xml:space="preserve">Dataset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Customer profile information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Merchants</w:t>
            </w:r>
          </w:p>
        </w:tc>
        <w:tc>
          <w:tcPr/>
          <w:p>
            <w:pPr>
              <w:pStyle w:val="Compact"/>
            </w:pPr>
            <w:r>
              <w:t xml:space="preserve">Merchant details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Digital payment transactions with fraud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tabase-information"/>
    <w:p>
      <w:pPr>
        <w:pStyle w:val="Heading1"/>
      </w:pPr>
      <w:r>
        <w:t xml:space="preserve">Database Information</w:t>
      </w:r>
    </w:p>
    <w:p>
      <w:pPr>
        <w:pStyle w:val="FirstParagraph"/>
      </w:pPr>
      <w:r>
        <w:rPr>
          <w:b/>
          <w:bCs/>
        </w:rPr>
        <w:t xml:space="preserve">Database Name</w:t>
      </w:r>
    </w:p>
    <w:p>
      <w:pPr>
        <w:pStyle w:val="SourceCode"/>
      </w:pPr>
      <w:r>
        <w:rPr>
          <w:rStyle w:val="VerbatimChar"/>
        </w:rPr>
        <w:t xml:space="preserve">DigitalPaymentRiskDB</w:t>
      </w:r>
    </w:p>
    <w:p>
      <w:pPr>
        <w:pStyle w:val="FirstParagraph"/>
      </w:pPr>
      <w:r>
        <w:rPr>
          <w:b/>
          <w:bCs/>
        </w:rPr>
        <w:t xml:space="preserve">Schema</w:t>
      </w:r>
    </w:p>
    <w:p>
      <w:pPr>
        <w:pStyle w:val="SourceCode"/>
      </w:pPr>
      <w:r>
        <w:rPr>
          <w:rStyle w:val="VerbatimChar"/>
        </w:rPr>
        <w:t xml:space="preserve">staging</w:t>
      </w:r>
    </w:p>
    <w:p>
      <w:pPr>
        <w:pStyle w:val="FirstParagraph"/>
      </w:pPr>
      <w:r>
        <w:rPr>
          <w:b/>
          <w:bCs/>
        </w:rPr>
        <w:t xml:space="preserve">Database Platform</w:t>
      </w:r>
    </w:p>
    <w:p>
      <w:pPr>
        <w:pStyle w:val="BodyText"/>
      </w:pPr>
      <w:r>
        <w:t xml:space="preserve">Microsoft SQL Server 2022 Express Edition</w:t>
      </w:r>
    </w:p>
    <w:p>
      <w:r>
        <w:pict>
          <v:rect style="width:0;height:1.5pt" o:hralign="center" o:hrstd="t" o:hr="t"/>
        </w:pict>
      </w:r>
    </w:p>
    <w:bookmarkEnd w:id="24"/>
    <w:bookmarkStart w:id="25" w:name="dataset-architecture"/>
    <w:p>
      <w:pPr>
        <w:pStyle w:val="Heading1"/>
      </w:pPr>
      <w:r>
        <w:t xml:space="preserve">Dataset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user_id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receiver_id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Merchants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table stores customer information.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table stores every payment made by customers. It references the Users table through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column and references the Merchants table (for merchant transactions) through the</w:t>
      </w:r>
      <w:r>
        <w:t xml:space="preserve"> </w:t>
      </w:r>
      <w:r>
        <w:rPr>
          <w:rStyle w:val="VerbatimChar"/>
        </w:rPr>
        <w:t xml:space="preserve">receiver_id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Merchants</w:t>
      </w:r>
      <w:r>
        <w:t xml:space="preserve"> </w:t>
      </w:r>
      <w:r>
        <w:t xml:space="preserve">table stores information about businesses receiving payments.</w:t>
      </w:r>
    </w:p>
    <w:p>
      <w:r>
        <w:pict>
          <v:rect style="width:0;height:1.5pt" o:hralign="center" o:hrstd="t" o:hr="t"/>
        </w:pict>
      </w:r>
    </w:p>
    <w:bookmarkEnd w:id="25"/>
    <w:bookmarkStart w:id="29" w:name="users-table"/>
    <w:p>
      <w:pPr>
        <w:pStyle w:val="Heading1"/>
      </w:pPr>
      <w:r>
        <w:t xml:space="preserve">Users Table</w:t>
      </w:r>
    </w:p>
    <w:bookmarkStart w:id="2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Users table contains customer profile information that helps analyze customer behavior and transaction patterns.</w:t>
      </w:r>
    </w:p>
    <w:p>
      <w:pPr>
        <w:pStyle w:val="BodyText"/>
      </w:pPr>
      <w:r>
        <w:t xml:space="preserve">This table is used in customer analytics, segmentation, loyalty analysis, KYC analysis, and fraud analysis.</w:t>
      </w:r>
    </w:p>
    <w:bookmarkEnd w:id="26"/>
    <w:bookmarkStart w:id="27" w:name="primary-key"/>
    <w:p>
      <w:pPr>
        <w:pStyle w:val="Heading3"/>
      </w:pPr>
      <w:r>
        <w:t xml:space="preserve">Primary Key</w:t>
      </w:r>
    </w:p>
    <w:p>
      <w:pPr>
        <w:pStyle w:val="SourceCode"/>
      </w:pPr>
      <w:r>
        <w:rPr>
          <w:rStyle w:val="VerbatimChar"/>
        </w:rPr>
        <w:t xml:space="preserve">user_id</w:t>
      </w:r>
    </w:p>
    <w:bookmarkEnd w:id="27"/>
    <w:bookmarkStart w:id="28" w:name="business-importance"/>
    <w:p>
      <w:pPr>
        <w:pStyle w:val="Heading3"/>
      </w:pPr>
      <w:r>
        <w:t xml:space="preserve">Business Importance</w:t>
      </w:r>
    </w:p>
    <w:p>
      <w:pPr>
        <w:pStyle w:val="FirstParagraph"/>
      </w:pPr>
      <w:r>
        <w:t xml:space="preserve">The Users table allows the organization to:</w:t>
      </w:r>
    </w:p>
    <w:p>
      <w:pPr>
        <w:pStyle w:val="Compact"/>
        <w:numPr>
          <w:ilvl w:val="0"/>
          <w:numId w:val="1001"/>
        </w:numPr>
      </w:pPr>
      <w:r>
        <w:t xml:space="preserve">Identify high-value customers.</w:t>
      </w:r>
    </w:p>
    <w:p>
      <w:pPr>
        <w:pStyle w:val="Compact"/>
        <w:numPr>
          <w:ilvl w:val="0"/>
          <w:numId w:val="1001"/>
        </w:numPr>
      </w:pPr>
      <w:r>
        <w:t xml:space="preserve">Analyze customer demographics.</w:t>
      </w:r>
    </w:p>
    <w:p>
      <w:pPr>
        <w:pStyle w:val="Compact"/>
        <w:numPr>
          <w:ilvl w:val="0"/>
          <w:numId w:val="1001"/>
        </w:numPr>
      </w:pPr>
      <w:r>
        <w:t xml:space="preserve">Compare spending behavior.</w:t>
      </w:r>
    </w:p>
    <w:p>
      <w:pPr>
        <w:pStyle w:val="Compact"/>
        <w:numPr>
          <w:ilvl w:val="0"/>
          <w:numId w:val="1001"/>
        </w:numPr>
      </w:pPr>
      <w:r>
        <w:t xml:space="preserve">Measure customer loyalty.</w:t>
      </w:r>
    </w:p>
    <w:p>
      <w:pPr>
        <w:pStyle w:val="Compact"/>
        <w:numPr>
          <w:ilvl w:val="0"/>
          <w:numId w:val="1001"/>
        </w:numPr>
      </w:pPr>
      <w:r>
        <w:t xml:space="preserve">Study fraud across different customer groups.</w:t>
      </w:r>
    </w:p>
    <w:p>
      <w:pPr>
        <w:pStyle w:val="Compact"/>
        <w:numPr>
          <w:ilvl w:val="0"/>
          <w:numId w:val="1001"/>
        </w:numPr>
      </w:pPr>
      <w:r>
        <w:t xml:space="preserve">Compare verified and unverified users.</w:t>
      </w:r>
    </w:p>
    <w:p>
      <w:pPr>
        <w:pStyle w:val="Compact"/>
        <w:numPr>
          <w:ilvl w:val="0"/>
          <w:numId w:val="1001"/>
        </w:numPr>
      </w:pPr>
      <w:r>
        <w:t xml:space="preserve">Perform city-level and age-group analysis.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rchants-table"/>
    <w:p>
      <w:pPr>
        <w:pStyle w:val="Heading1"/>
      </w:pPr>
      <w:r>
        <w:t xml:space="preserve">Merchants Table</w:t>
      </w:r>
    </w:p>
    <w:bookmarkStart w:id="3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Merchants table stores information about businesses that receive payments through the digital payment platform.</w:t>
      </w:r>
    </w:p>
    <w:p>
      <w:pPr>
        <w:pStyle w:val="BodyText"/>
      </w:pPr>
      <w:r>
        <w:t xml:space="preserve">Merchant information is required to analyze merchant performance and identify merchant categories with higher fraud exposure.</w:t>
      </w:r>
    </w:p>
    <w:bookmarkEnd w:id="30"/>
    <w:bookmarkStart w:id="31" w:name="primary-key-1"/>
    <w:p>
      <w:pPr>
        <w:pStyle w:val="Heading3"/>
      </w:pPr>
      <w:r>
        <w:t xml:space="preserve">Primary Key</w:t>
      </w:r>
    </w:p>
    <w:p>
      <w:pPr>
        <w:pStyle w:val="SourceCode"/>
      </w:pPr>
      <w:r>
        <w:rPr>
          <w:rStyle w:val="VerbatimChar"/>
        </w:rPr>
        <w:t xml:space="preserve">merchant_id</w:t>
      </w:r>
    </w:p>
    <w:bookmarkEnd w:id="31"/>
    <w:bookmarkStart w:id="32" w:name="business-importance-1"/>
    <w:p>
      <w:pPr>
        <w:pStyle w:val="Heading3"/>
      </w:pPr>
      <w:r>
        <w:t xml:space="preserve">Business Importance</w:t>
      </w:r>
    </w:p>
    <w:p>
      <w:pPr>
        <w:pStyle w:val="FirstParagraph"/>
      </w:pPr>
      <w:r>
        <w:t xml:space="preserve">The Merchants table helps:</w:t>
      </w:r>
    </w:p>
    <w:p>
      <w:pPr>
        <w:pStyle w:val="Compact"/>
        <w:numPr>
          <w:ilvl w:val="0"/>
          <w:numId w:val="1002"/>
        </w:numPr>
      </w:pPr>
      <w:r>
        <w:t xml:space="preserve">Compare merchant categories.</w:t>
      </w:r>
    </w:p>
    <w:p>
      <w:pPr>
        <w:pStyle w:val="Compact"/>
        <w:numPr>
          <w:ilvl w:val="0"/>
          <w:numId w:val="1002"/>
        </w:numPr>
      </w:pPr>
      <w:r>
        <w:t xml:space="preserve">Measure merchant transaction volumes.</w:t>
      </w:r>
    </w:p>
    <w:p>
      <w:pPr>
        <w:pStyle w:val="Compact"/>
        <w:numPr>
          <w:ilvl w:val="0"/>
          <w:numId w:val="1002"/>
        </w:numPr>
      </w:pPr>
      <w:r>
        <w:t xml:space="preserve">Identify risky merchant categories.</w:t>
      </w:r>
    </w:p>
    <w:p>
      <w:pPr>
        <w:pStyle w:val="Compact"/>
        <w:numPr>
          <w:ilvl w:val="0"/>
          <w:numId w:val="1002"/>
        </w:numPr>
      </w:pPr>
      <w:r>
        <w:t xml:space="preserve">Rank merchants based on fraud.</w:t>
      </w:r>
    </w:p>
    <w:p>
      <w:pPr>
        <w:pStyle w:val="Compact"/>
        <w:numPr>
          <w:ilvl w:val="0"/>
          <w:numId w:val="1002"/>
        </w:numPr>
      </w:pPr>
      <w:r>
        <w:t xml:space="preserve">Analyze business revenue by merchant type.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ransactions-table"/>
    <w:p>
      <w:pPr>
        <w:pStyle w:val="Heading1"/>
      </w:pPr>
      <w:r>
        <w:t xml:space="preserve">Transactions Table</w:t>
      </w:r>
    </w:p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Transactions table is the core table of the project.</w:t>
      </w:r>
    </w:p>
    <w:p>
      <w:pPr>
        <w:pStyle w:val="BodyText"/>
      </w:pPr>
      <w:r>
        <w:t xml:space="preserve">Every payment performed by a customer is recorded here along with transaction details, payment information, fraud indicators, device information, and customer attributes captured at the time of the transaction.</w:t>
      </w:r>
    </w:p>
    <w:p>
      <w:pPr>
        <w:pStyle w:val="BodyText"/>
      </w:pPr>
      <w:r>
        <w:t xml:space="preserve">Most of the project analysis is performed using this table.</w:t>
      </w:r>
    </w:p>
    <w:bookmarkEnd w:id="34"/>
    <w:bookmarkStart w:id="35" w:name="primary-key-2"/>
    <w:p>
      <w:pPr>
        <w:pStyle w:val="Heading3"/>
      </w:pPr>
      <w:r>
        <w:t xml:space="preserve">Primary Key</w:t>
      </w:r>
    </w:p>
    <w:p>
      <w:pPr>
        <w:pStyle w:val="SourceCode"/>
      </w:pPr>
      <w:r>
        <w:rPr>
          <w:rStyle w:val="VerbatimChar"/>
        </w:rPr>
        <w:t xml:space="preserve">transaction_id</w:t>
      </w:r>
    </w:p>
    <w:bookmarkEnd w:id="35"/>
    <w:bookmarkStart w:id="36" w:name="foreign-keys"/>
    <w:p>
      <w:pPr>
        <w:pStyle w:val="Heading3"/>
      </w:pPr>
      <w:r>
        <w:t xml:space="preserve">Foreign Keys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References</w:t>
      </w:r>
    </w:p>
    <w:p>
      <w:pPr>
        <w:pStyle w:val="SourceCode"/>
      </w:pPr>
      <w:r>
        <w:rPr>
          <w:rStyle w:val="VerbatimChar"/>
        </w:rPr>
        <w:t xml:space="preserve">Users.user_id</w:t>
      </w:r>
    </w:p>
    <w:p>
      <w:pPr>
        <w:pStyle w:val="SourceCode"/>
      </w:pPr>
      <w:r>
        <w:rPr>
          <w:rStyle w:val="VerbatimChar"/>
        </w:rPr>
        <w:t xml:space="preserve">receiver_id</w:t>
      </w:r>
    </w:p>
    <w:p>
      <w:pPr>
        <w:pStyle w:val="FirstParagraph"/>
      </w:pPr>
      <w:r>
        <w:t xml:space="preserve">References</w:t>
      </w:r>
    </w:p>
    <w:p>
      <w:pPr>
        <w:pStyle w:val="SourceCode"/>
      </w:pPr>
      <w:r>
        <w:rPr>
          <w:rStyle w:val="VerbatimChar"/>
        </w:rPr>
        <w:t xml:space="preserve">Merchants.merchant_id</w:t>
      </w:r>
    </w:p>
    <w:p>
      <w:pPr>
        <w:pStyle w:val="FirstParagraph"/>
      </w:pPr>
      <w:r>
        <w:rPr>
          <w:i/>
          <w:iCs/>
        </w:rPr>
        <w:t xml:space="preserve">(Applicable when the receiver type is Merchant.)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raud-information"/>
    <w:p>
      <w:pPr>
        <w:pStyle w:val="Heading1"/>
      </w:pPr>
      <w:r>
        <w:t xml:space="preserve">Fraud Information</w:t>
      </w:r>
    </w:p>
    <w:p>
      <w:pPr>
        <w:pStyle w:val="FirstParagraph"/>
      </w:pPr>
      <w:r>
        <w:t xml:space="preserve">A separate fraud table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in this project.</w:t>
      </w:r>
    </w:p>
    <w:p>
      <w:pPr>
        <w:pStyle w:val="BodyText"/>
      </w:pPr>
      <w:r>
        <w:t xml:space="preserve">Instead, fraud analysis is performed using the fraud-related columns available in the Transactions table.</w:t>
      </w:r>
    </w:p>
    <w:p>
      <w:pPr>
        <w:pStyle w:val="BodyText"/>
      </w:pPr>
      <w:r>
        <w:t xml:space="preserve">Some of the important fraud-related fields include:</w:t>
      </w:r>
    </w:p>
    <w:p>
      <w:pPr>
        <w:pStyle w:val="Compact"/>
        <w:numPr>
          <w:ilvl w:val="0"/>
          <w:numId w:val="1003"/>
        </w:numPr>
      </w:pPr>
      <w:r>
        <w:t xml:space="preserve">is_fraud</w:t>
      </w:r>
    </w:p>
    <w:p>
      <w:pPr>
        <w:pStyle w:val="Compact"/>
        <w:numPr>
          <w:ilvl w:val="0"/>
          <w:numId w:val="1003"/>
        </w:numPr>
      </w:pPr>
      <w:r>
        <w:t xml:space="preserve">transaction_velocity</w:t>
      </w:r>
    </w:p>
    <w:p>
      <w:pPr>
        <w:pStyle w:val="Compact"/>
        <w:numPr>
          <w:ilvl w:val="0"/>
          <w:numId w:val="1003"/>
        </w:numPr>
      </w:pPr>
      <w:r>
        <w:t xml:space="preserve">new_device_flag</w:t>
      </w:r>
    </w:p>
    <w:p>
      <w:pPr>
        <w:pStyle w:val="Compact"/>
        <w:numPr>
          <w:ilvl w:val="0"/>
          <w:numId w:val="1003"/>
        </w:numPr>
      </w:pPr>
      <w:r>
        <w:t xml:space="preserve">ip_location_mismatch</w:t>
      </w:r>
    </w:p>
    <w:p>
      <w:pPr>
        <w:pStyle w:val="Compact"/>
        <w:numPr>
          <w:ilvl w:val="0"/>
          <w:numId w:val="1003"/>
        </w:numPr>
      </w:pPr>
      <w:r>
        <w:t xml:space="preserve">failed_attempts_last_24h</w:t>
      </w:r>
    </w:p>
    <w:p>
      <w:pPr>
        <w:pStyle w:val="Compact"/>
        <w:numPr>
          <w:ilvl w:val="0"/>
          <w:numId w:val="1003"/>
        </w:numPr>
      </w:pPr>
      <w:r>
        <w:t xml:space="preserve">amount_deviation_score</w:t>
      </w:r>
    </w:p>
    <w:p>
      <w:pPr>
        <w:pStyle w:val="FirstParagraph"/>
      </w:pPr>
      <w:r>
        <w:t xml:space="preserve">These attributes allow fraud trends, fraud rates, high-risk users, and suspicious transaction patterns to be analyzed without requiring an additional fraud table.</w:t>
      </w:r>
    </w:p>
    <w:p>
      <w:r>
        <w:pict>
          <v:rect style="width:0;height:1.5pt" o:hralign="center" o:hrstd="t" o:hr="t"/>
        </w:pict>
      </w:r>
    </w:p>
    <w:bookmarkEnd w:id="38"/>
    <w:bookmarkStart w:id="41" w:name="relationship-between-tables"/>
    <w:p>
      <w:pPr>
        <w:pStyle w:val="Heading1"/>
      </w:pPr>
      <w:r>
        <w:t xml:space="preserve">Relationship Between Tables</w:t>
      </w:r>
    </w:p>
    <w:bookmarkStart w:id="39" w:name="users-transactions"/>
    <w:p>
      <w:pPr>
        <w:pStyle w:val="Heading3"/>
      </w:pPr>
      <w:r>
        <w:t xml:space="preserve">Users → Transactions</w:t>
      </w:r>
    </w:p>
    <w:p>
      <w:pPr>
        <w:pStyle w:val="FirstParagraph"/>
      </w:pPr>
      <w:r>
        <w:t xml:space="preserve">Relationship Type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user can perform multiple transactions.</w:t>
      </w:r>
    </w:p>
    <w:p>
      <w:r>
        <w:pict>
          <v:rect style="width:0;height:1.5pt" o:hralign="center" o:hrstd="t" o:hr="t"/>
        </w:pict>
      </w:r>
    </w:p>
    <w:bookmarkEnd w:id="39"/>
    <w:bookmarkStart w:id="40" w:name="merchants-transactions"/>
    <w:p>
      <w:pPr>
        <w:pStyle w:val="Heading3"/>
      </w:pPr>
      <w:r>
        <w:t xml:space="preserve">Merchants → Transactions</w:t>
      </w:r>
    </w:p>
    <w:p>
      <w:pPr>
        <w:pStyle w:val="FirstParagraph"/>
      </w:pPr>
      <w:r>
        <w:t xml:space="preserve">Relationship Type</w:t>
      </w:r>
    </w:p>
    <w:p>
      <w:pPr>
        <w:pStyle w:val="SourceCode"/>
      </w:pPr>
      <w:r>
        <w:rPr>
          <w:rStyle w:val="VerbatimChar"/>
        </w:rPr>
        <w:t xml:space="preserve">One-to-Many</w:t>
      </w:r>
    </w:p>
    <w:p>
      <w:pPr>
        <w:pStyle w:val="FirstParagraph"/>
      </w:pPr>
      <w:r>
        <w:t xml:space="preserve">One merchant can receive multiple transactions.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nalytical-areas-covered"/>
    <w:p>
      <w:pPr>
        <w:pStyle w:val="Heading1"/>
      </w:pPr>
      <w:r>
        <w:t xml:space="preserve">Analytical Areas Covered</w:t>
      </w:r>
    </w:p>
    <w:p>
      <w:pPr>
        <w:pStyle w:val="FirstParagraph"/>
      </w:pPr>
      <w:r>
        <w:t xml:space="preserve">The dataset supports several analytical use cases.</w:t>
      </w:r>
    </w:p>
    <w:bookmarkStart w:id="42" w:name="customer-analytics"/>
    <w:p>
      <w:pPr>
        <w:pStyle w:val="Heading2"/>
      </w:pPr>
      <w:r>
        <w:t xml:space="preserve">Customer Analytics</w:t>
      </w:r>
    </w:p>
    <w:p>
      <w:pPr>
        <w:pStyle w:val="Compact"/>
        <w:numPr>
          <w:ilvl w:val="0"/>
          <w:numId w:val="1004"/>
        </w:numPr>
      </w:pPr>
      <w:r>
        <w:t xml:space="preserve">Customer segmentation</w:t>
      </w:r>
    </w:p>
    <w:p>
      <w:pPr>
        <w:pStyle w:val="Compact"/>
        <w:numPr>
          <w:ilvl w:val="0"/>
          <w:numId w:val="1004"/>
        </w:numPr>
      </w:pPr>
      <w:r>
        <w:t xml:space="preserve">Spending behavior</w:t>
      </w:r>
    </w:p>
    <w:p>
      <w:pPr>
        <w:pStyle w:val="Compact"/>
        <w:numPr>
          <w:ilvl w:val="0"/>
          <w:numId w:val="1004"/>
        </w:numPr>
      </w:pPr>
      <w:r>
        <w:t xml:space="preserve">Lifetime value</w:t>
      </w:r>
    </w:p>
    <w:p>
      <w:pPr>
        <w:pStyle w:val="Compact"/>
        <w:numPr>
          <w:ilvl w:val="0"/>
          <w:numId w:val="1004"/>
        </w:numPr>
      </w:pPr>
      <w:r>
        <w:t xml:space="preserve">Repeat customers</w:t>
      </w:r>
    </w:p>
    <w:p>
      <w:pPr>
        <w:pStyle w:val="Compact"/>
        <w:numPr>
          <w:ilvl w:val="0"/>
          <w:numId w:val="1004"/>
        </w:numPr>
      </w:pPr>
      <w:r>
        <w:t xml:space="preserve">Customer activity</w:t>
      </w:r>
    </w:p>
    <w:p>
      <w:pPr>
        <w:pStyle w:val="Compact"/>
        <w:numPr>
          <w:ilvl w:val="0"/>
          <w:numId w:val="1004"/>
        </w:numPr>
      </w:pPr>
      <w:r>
        <w:t xml:space="preserve">Loyalty analysis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analytics"/>
    <w:p>
      <w:pPr>
        <w:pStyle w:val="Heading2"/>
      </w:pPr>
      <w:r>
        <w:t xml:space="preserve">Business Analytics</w:t>
      </w:r>
    </w:p>
    <w:p>
      <w:pPr>
        <w:pStyle w:val="Compact"/>
        <w:numPr>
          <w:ilvl w:val="0"/>
          <w:numId w:val="1005"/>
        </w:numPr>
      </w:pPr>
      <w:r>
        <w:t xml:space="preserve">Monthly KPIs</w:t>
      </w:r>
    </w:p>
    <w:p>
      <w:pPr>
        <w:pStyle w:val="Compact"/>
        <w:numPr>
          <w:ilvl w:val="0"/>
          <w:numId w:val="1005"/>
        </w:numPr>
      </w:pPr>
      <w:r>
        <w:t xml:space="preserve">Revenue trends</w:t>
      </w:r>
    </w:p>
    <w:p>
      <w:pPr>
        <w:pStyle w:val="Compact"/>
        <w:numPr>
          <w:ilvl w:val="0"/>
          <w:numId w:val="1005"/>
        </w:numPr>
      </w:pPr>
      <w:r>
        <w:t xml:space="preserve">Payment application analysis</w:t>
      </w:r>
    </w:p>
    <w:p>
      <w:pPr>
        <w:pStyle w:val="Compact"/>
        <w:numPr>
          <w:ilvl w:val="0"/>
          <w:numId w:val="1005"/>
        </w:numPr>
      </w:pPr>
      <w:r>
        <w:t xml:space="preserve">Merchant category analysis</w:t>
      </w:r>
    </w:p>
    <w:p>
      <w:pPr>
        <w:pStyle w:val="Compact"/>
        <w:numPr>
          <w:ilvl w:val="0"/>
          <w:numId w:val="1005"/>
        </w:numPr>
      </w:pPr>
      <w:r>
        <w:t xml:space="preserve">Transaction growth</w:t>
      </w:r>
    </w:p>
    <w:p>
      <w:pPr>
        <w:pStyle w:val="Compact"/>
        <w:numPr>
          <w:ilvl w:val="0"/>
          <w:numId w:val="1005"/>
        </w:numPr>
      </w:pPr>
      <w:r>
        <w:t xml:space="preserve">Active user analysis</w:t>
      </w:r>
    </w:p>
    <w:p>
      <w:r>
        <w:pict>
          <v:rect style="width:0;height:1.5pt" o:hralign="center" o:hrstd="t" o:hr="t"/>
        </w:pict>
      </w:r>
    </w:p>
    <w:bookmarkEnd w:id="43"/>
    <w:bookmarkStart w:id="44" w:name="fraud-analytics"/>
    <w:p>
      <w:pPr>
        <w:pStyle w:val="Heading2"/>
      </w:pPr>
      <w:r>
        <w:t xml:space="preserve">Fraud Analytics</w:t>
      </w:r>
    </w:p>
    <w:p>
      <w:pPr>
        <w:pStyle w:val="Compact"/>
        <w:numPr>
          <w:ilvl w:val="0"/>
          <w:numId w:val="1006"/>
        </w:numPr>
      </w:pPr>
      <w:r>
        <w:t xml:space="preserve">Fraud trends by hour</w:t>
      </w:r>
    </w:p>
    <w:p>
      <w:pPr>
        <w:pStyle w:val="Compact"/>
        <w:numPr>
          <w:ilvl w:val="0"/>
          <w:numId w:val="1006"/>
        </w:numPr>
      </w:pPr>
      <w:r>
        <w:t xml:space="preserve">Fraud trends by weekday</w:t>
      </w:r>
    </w:p>
    <w:p>
      <w:pPr>
        <w:pStyle w:val="Compact"/>
        <w:numPr>
          <w:ilvl w:val="0"/>
          <w:numId w:val="1006"/>
        </w:numPr>
      </w:pPr>
      <w:r>
        <w:t xml:space="preserve">Fraud by payment application</w:t>
      </w:r>
    </w:p>
    <w:p>
      <w:pPr>
        <w:pStyle w:val="Compact"/>
        <w:numPr>
          <w:ilvl w:val="0"/>
          <w:numId w:val="1006"/>
        </w:numPr>
      </w:pPr>
      <w:r>
        <w:t xml:space="preserve">Fraud by device type</w:t>
      </w:r>
    </w:p>
    <w:p>
      <w:pPr>
        <w:pStyle w:val="Compact"/>
        <w:numPr>
          <w:ilvl w:val="0"/>
          <w:numId w:val="1006"/>
        </w:numPr>
      </w:pPr>
      <w:r>
        <w:t xml:space="preserve">Fraud by transaction type</w:t>
      </w:r>
    </w:p>
    <w:p>
      <w:pPr>
        <w:pStyle w:val="Compact"/>
        <w:numPr>
          <w:ilvl w:val="0"/>
          <w:numId w:val="1006"/>
        </w:numPr>
      </w:pPr>
      <w:r>
        <w:t xml:space="preserve">Fraud by city</w:t>
      </w:r>
    </w:p>
    <w:p>
      <w:pPr>
        <w:pStyle w:val="Compact"/>
        <w:numPr>
          <w:ilvl w:val="0"/>
          <w:numId w:val="1006"/>
        </w:numPr>
      </w:pPr>
      <w:r>
        <w:t xml:space="preserve">Fraud by merchant</w:t>
      </w:r>
    </w:p>
    <w:p>
      <w:pPr>
        <w:pStyle w:val="Compact"/>
        <w:numPr>
          <w:ilvl w:val="0"/>
          <w:numId w:val="1006"/>
        </w:numPr>
      </w:pPr>
      <w:r>
        <w:t xml:space="preserve">Fraud by user</w:t>
      </w:r>
    </w:p>
    <w:p>
      <w:pPr>
        <w:pStyle w:val="Compact"/>
        <w:numPr>
          <w:ilvl w:val="0"/>
          <w:numId w:val="1006"/>
        </w:numPr>
      </w:pPr>
      <w:r>
        <w:t xml:space="preserve">Transaction velocity analysis</w:t>
      </w:r>
    </w:p>
    <w:p>
      <w:pPr>
        <w:pStyle w:val="Compact"/>
        <w:numPr>
          <w:ilvl w:val="0"/>
          <w:numId w:val="1006"/>
        </w:numPr>
      </w:pPr>
      <w:r>
        <w:t xml:space="preserve">New device fraud analysis</w:t>
      </w:r>
    </w:p>
    <w:p>
      <w:pPr>
        <w:pStyle w:val="Compact"/>
        <w:numPr>
          <w:ilvl w:val="0"/>
          <w:numId w:val="1006"/>
        </w:numPr>
      </w:pPr>
      <w:r>
        <w:t xml:space="preserve">IP mismatch analysis</w:t>
      </w:r>
    </w:p>
    <w:p>
      <w:pPr>
        <w:pStyle w:val="Compact"/>
        <w:numPr>
          <w:ilvl w:val="0"/>
          <w:numId w:val="1006"/>
        </w:numPr>
      </w:pPr>
      <w:r>
        <w:t xml:space="preserve">High-value transaction fraud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taset-strengths"/>
    <w:p>
      <w:pPr>
        <w:pStyle w:val="Heading1"/>
      </w:pPr>
      <w:r>
        <w:t xml:space="preserve">Dataset Strengths</w:t>
      </w:r>
    </w:p>
    <w:p>
      <w:pPr>
        <w:pStyle w:val="FirstParagraph"/>
      </w:pPr>
      <w:r>
        <w:t xml:space="preserve">This dataset provides sufficient information to perform a wide range of SQL-based analyses.</w:t>
      </w:r>
    </w:p>
    <w:p>
      <w:pPr>
        <w:pStyle w:val="BodyText"/>
      </w:pPr>
      <w:r>
        <w:t xml:space="preserve">Key strengths include:</w:t>
      </w:r>
    </w:p>
    <w:p>
      <w:pPr>
        <w:pStyle w:val="Compact"/>
        <w:numPr>
          <w:ilvl w:val="0"/>
          <w:numId w:val="1007"/>
        </w:numPr>
      </w:pPr>
      <w:r>
        <w:t xml:space="preserve">Large transaction volume (20,000 records).</w:t>
      </w:r>
    </w:p>
    <w:p>
      <w:pPr>
        <w:pStyle w:val="Compact"/>
        <w:numPr>
          <w:ilvl w:val="0"/>
          <w:numId w:val="1007"/>
        </w:numPr>
      </w:pPr>
      <w:r>
        <w:t xml:space="preserve">Multiple related tables enabling relational analysis.</w:t>
      </w:r>
    </w:p>
    <w:p>
      <w:pPr>
        <w:pStyle w:val="Compact"/>
        <w:numPr>
          <w:ilvl w:val="0"/>
          <w:numId w:val="1007"/>
        </w:numPr>
      </w:pPr>
      <w:r>
        <w:t xml:space="preserve">Rich customer profile information.</w:t>
      </w:r>
    </w:p>
    <w:p>
      <w:pPr>
        <w:pStyle w:val="Compact"/>
        <w:numPr>
          <w:ilvl w:val="0"/>
          <w:numId w:val="1007"/>
        </w:numPr>
      </w:pPr>
      <w:r>
        <w:t xml:space="preserve">Merchant categorization.</w:t>
      </w:r>
    </w:p>
    <w:p>
      <w:pPr>
        <w:pStyle w:val="Compact"/>
        <w:numPr>
          <w:ilvl w:val="0"/>
          <w:numId w:val="1007"/>
        </w:numPr>
      </w:pPr>
      <w:r>
        <w:t xml:space="preserve">Built-in fraud indicators.</w:t>
      </w:r>
    </w:p>
    <w:p>
      <w:pPr>
        <w:pStyle w:val="Compact"/>
        <w:numPr>
          <w:ilvl w:val="0"/>
          <w:numId w:val="1007"/>
        </w:numPr>
      </w:pPr>
      <w:r>
        <w:t xml:space="preserve">Time-based transaction data.</w:t>
      </w:r>
    </w:p>
    <w:p>
      <w:pPr>
        <w:pStyle w:val="Compact"/>
        <w:numPr>
          <w:ilvl w:val="0"/>
          <w:numId w:val="1007"/>
        </w:numPr>
      </w:pPr>
      <w:r>
        <w:t xml:space="preserve">Device and payment application details.</w:t>
      </w:r>
    </w:p>
    <w:p>
      <w:pPr>
        <w:pStyle w:val="Compact"/>
        <w:numPr>
          <w:ilvl w:val="0"/>
          <w:numId w:val="1007"/>
        </w:numPr>
      </w:pPr>
      <w:r>
        <w:t xml:space="preserve">KYC and loyalty information.</w:t>
      </w:r>
    </w:p>
    <w:p>
      <w:pPr>
        <w:pStyle w:val="Compact"/>
        <w:numPr>
          <w:ilvl w:val="0"/>
          <w:numId w:val="1007"/>
        </w:numPr>
      </w:pPr>
      <w:r>
        <w:t xml:space="preserve">Suitable for advanced SQL concepts such as joins, CTEs, window functions, ranking, and stored procedures.</w:t>
      </w:r>
    </w:p>
    <w:p>
      <w:r>
        <w:pict>
          <v:rect style="width:0;height:1.5pt" o:hralign="center" o:hrstd="t" o:hr="t"/>
        </w:pict>
      </w:r>
    </w:p>
    <w:bookmarkEnd w:id="46"/>
    <w:bookmarkStart w:id="47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While the dataset is useful for SQL analytics, it also has some limitations.</w:t>
      </w:r>
    </w:p>
    <w:p>
      <w:pPr>
        <w:pStyle w:val="Compact"/>
        <w:numPr>
          <w:ilvl w:val="0"/>
          <w:numId w:val="1008"/>
        </w:numPr>
      </w:pPr>
      <w:r>
        <w:t xml:space="preserve">It represents simulated transaction data.</w:t>
      </w:r>
    </w:p>
    <w:p>
      <w:pPr>
        <w:pStyle w:val="Compact"/>
        <w:numPr>
          <w:ilvl w:val="0"/>
          <w:numId w:val="1008"/>
        </w:numPr>
      </w:pPr>
      <w:r>
        <w:t xml:space="preserve">No real-time streaming data is included.</w:t>
      </w:r>
    </w:p>
    <w:p>
      <w:pPr>
        <w:pStyle w:val="Compact"/>
        <w:numPr>
          <w:ilvl w:val="0"/>
          <w:numId w:val="1008"/>
        </w:numPr>
      </w:pPr>
      <w:r>
        <w:t xml:space="preserve">Historical customer profile changes are not tracked.</w:t>
      </w:r>
    </w:p>
    <w:p>
      <w:pPr>
        <w:pStyle w:val="Compact"/>
        <w:numPr>
          <w:ilvl w:val="0"/>
          <w:numId w:val="1008"/>
        </w:numPr>
      </w:pPr>
      <w:r>
        <w:t xml:space="preserve">Merchant hierarchy information is not available.</w:t>
      </w:r>
    </w:p>
    <w:p>
      <w:pPr>
        <w:pStyle w:val="Compact"/>
        <w:numPr>
          <w:ilvl w:val="0"/>
          <w:numId w:val="1008"/>
        </w:numPr>
      </w:pPr>
      <w:r>
        <w:t xml:space="preserve">External fraud intelligence data is not included.</w:t>
      </w:r>
    </w:p>
    <w:p>
      <w:pPr>
        <w:pStyle w:val="FirstParagraph"/>
      </w:pPr>
      <w:r>
        <w:t xml:space="preserve">These limitations do not affect the SQL analysis performed in this project but represent possible areas for future enhancement.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dataset provides a realistic representation of a digital payment ecosystem and supports comprehensive analysis of customer behavior, business performance, and fraud trends. By integrating customer profiles, merchant information, and transaction-level fraud indicators, the dataset enables end-to-end analytical workflows using SQL Server. The relational design also demonstrates how structured data can be leveraged to answer practical business questions and generate actionable insights.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2026-07-13T13:46:58Z</dcterms:created>
  <dcterms:modified xsi:type="dcterms:W3CDTF">2026-07-13T13:46:58Z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