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Programming Languages &amp; Databases</w:t>
      </w:r>
      <w:r>
        <w:rPr>
          <w:rFonts w:ascii="Times New Roman" w:hAnsi="Times New Roman"/>
          <w:b w:val="0"/>
          <w:color w:val="000000"/>
          <w:sz w:val="18"/>
        </w:rPr>
        <w:t>: Python, SQL (PostgreSQL, Snowflake, MySQL, SQLite), 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Machine Learning &amp; AI</w:t>
      </w:r>
      <w:r>
        <w:rPr>
          <w:rFonts w:ascii="Times New Roman" w:hAnsi="Times New Roman"/>
          <w:b w:val="0"/>
          <w:color w:val="000000"/>
          <w:sz w:val="18"/>
        </w:rPr>
        <w:t>: Supervised &amp; Unsupervised Learning (Classification, Regression, Clustering), XGBoost, Scikit-Learn, SHAP (Explainable AI), NLP (spaCy, NLTK), LLM/Generative AI APIs (GPT-4, Gemini), Prompt Engineering.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Engineering &amp; Big Data</w:t>
      </w:r>
      <w:r>
        <w:rPr>
          <w:rFonts w:ascii="Times New Roman" w:hAnsi="Times New Roman"/>
          <w:b w:val="0"/>
          <w:color w:val="000000"/>
          <w:sz w:val="18"/>
        </w:rPr>
        <w:t>: ETL/ELT Pipelines, PySpark, Apache Kafka, Apache Spark, Data Warehousing, Data Validation &amp; Auditing, API Integrations.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Cloud &amp; Infrastructure</w:t>
      </w:r>
      <w:r>
        <w:rPr>
          <w:rFonts w:ascii="Times New Roman" w:hAnsi="Times New Roman"/>
          <w:b w:val="0"/>
          <w:color w:val="000000"/>
          <w:sz w:val="18"/>
        </w:rPr>
        <w:t>: AWS (EC2, S3, Lambda), Git, Version Control, Docker (exposure).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Business Intelligence &amp; Analytics</w:t>
      </w:r>
      <w:r>
        <w:rPr>
          <w:rFonts w:ascii="Times New Roman" w:hAnsi="Times New Roman"/>
          <w:b w:val="0"/>
          <w:color w:val="000000"/>
          <w:sz w:val="18"/>
        </w:rPr>
        <w:t>: Power BI (Advanced DAX, Star Schema modeling, interactive dashboards), Excel (XLOOKUP, PivotTables, Power Query),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&amp; Systems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Bottleneck Identification, Operational Efficiency Metrics.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