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855A9" w14:textId="77777777" w:rsidR="00B01EE7" w:rsidRPr="00AF5DC1" w:rsidRDefault="00B01EE7" w:rsidP="00B01EE7">
      <w:pPr>
        <w:pStyle w:val="Default"/>
        <w:jc w:val="center"/>
        <w:rPr>
          <w:rFonts w:ascii="Arial" w:hAnsi="Arial" w:cs="Arial"/>
          <w:b/>
          <w:bCs/>
          <w:color w:val="auto"/>
          <w:sz w:val="28"/>
          <w:szCs w:val="28"/>
          <w:lang w:val="en-US"/>
        </w:rPr>
      </w:pPr>
    </w:p>
    <w:p w14:paraId="16BAEFE4" w14:textId="77777777" w:rsidR="00B01EE7" w:rsidRDefault="00B01EE7" w:rsidP="00B01EE7">
      <w:pPr>
        <w:pStyle w:val="Default"/>
        <w:jc w:val="center"/>
        <w:rPr>
          <w:rFonts w:ascii="Arial" w:hAnsi="Arial" w:cs="Arial"/>
          <w:b/>
          <w:bCs/>
          <w:color w:val="auto"/>
          <w:sz w:val="28"/>
          <w:szCs w:val="28"/>
          <w:lang w:val="en-US"/>
        </w:rPr>
      </w:pPr>
    </w:p>
    <w:p w14:paraId="1C91B9D9" w14:textId="77777777" w:rsidR="00B01EE7" w:rsidRDefault="00B01EE7" w:rsidP="00B01EE7">
      <w:pPr>
        <w:pStyle w:val="Default"/>
        <w:jc w:val="center"/>
        <w:rPr>
          <w:rFonts w:ascii="Arial" w:hAnsi="Arial" w:cs="Arial"/>
          <w:b/>
          <w:bCs/>
          <w:color w:val="auto"/>
          <w:sz w:val="28"/>
          <w:szCs w:val="28"/>
          <w:lang w:val="en-US"/>
        </w:rPr>
      </w:pPr>
    </w:p>
    <w:p w14:paraId="1D938044" w14:textId="77777777" w:rsidR="00B01EE7" w:rsidRDefault="00B01EE7" w:rsidP="00B01EE7">
      <w:pPr>
        <w:pStyle w:val="Default"/>
        <w:jc w:val="center"/>
        <w:rPr>
          <w:rFonts w:ascii="Arial" w:hAnsi="Arial" w:cs="Arial"/>
          <w:b/>
          <w:bCs/>
          <w:color w:val="auto"/>
          <w:sz w:val="28"/>
          <w:szCs w:val="28"/>
          <w:lang w:val="en-US"/>
        </w:rPr>
      </w:pPr>
      <w:r w:rsidRPr="002879A7">
        <w:rPr>
          <w:rFonts w:ascii="Arial" w:hAnsi="Arial" w:cs="Arial"/>
          <w:noProof/>
          <w:lang w:val="en-US"/>
        </w:rPr>
        <mc:AlternateContent>
          <mc:Choice Requires="wps">
            <w:drawing>
              <wp:anchor distT="0" distB="0" distL="114300" distR="114300" simplePos="0" relativeHeight="251658240" behindDoc="0" locked="0" layoutInCell="1" allowOverlap="1" wp14:anchorId="330A8599" wp14:editId="4E0F725A">
                <wp:simplePos x="0" y="0"/>
                <wp:positionH relativeFrom="margin">
                  <wp:posOffset>-180753</wp:posOffset>
                </wp:positionH>
                <wp:positionV relativeFrom="paragraph">
                  <wp:posOffset>156210</wp:posOffset>
                </wp:positionV>
                <wp:extent cx="5935980" cy="3508744"/>
                <wp:effectExtent l="0" t="0" r="762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3508744"/>
                        </a:xfrm>
                        <a:prstGeom prst="rect">
                          <a:avLst/>
                        </a:prstGeom>
                        <a:solidFill>
                          <a:schemeClr val="bg1"/>
                        </a:solidFill>
                        <a:ln>
                          <a:noFill/>
                        </a:ln>
                      </wps:spPr>
                      <wps:txbx>
                        <w:txbxContent>
                          <w:p w14:paraId="67189A97" w14:textId="19D7874E" w:rsidR="00B01EE7" w:rsidRPr="00471D4C" w:rsidRDefault="00130E11" w:rsidP="00B01EE7">
                            <w:pPr>
                              <w:pStyle w:val="CoverSubtitle"/>
                              <w:tabs>
                                <w:tab w:val="left" w:pos="10080"/>
                              </w:tabs>
                              <w:spacing w:before="240"/>
                              <w:ind w:left="0" w:right="1870"/>
                              <w:jc w:val="left"/>
                              <w:rPr>
                                <w:rFonts w:ascii="Arial" w:hAnsi="Arial" w:cs="Arial"/>
                                <w:b/>
                                <w:color w:val="002060"/>
                                <w:sz w:val="52"/>
                                <w:szCs w:val="56"/>
                              </w:rPr>
                            </w:pPr>
                            <w:r>
                              <w:rPr>
                                <w:rFonts w:ascii="Arial" w:hAnsi="Arial" w:cs="Arial"/>
                                <w:b/>
                                <w:color w:val="002060"/>
                                <w:sz w:val="52"/>
                                <w:szCs w:val="56"/>
                              </w:rPr>
                              <w:t>Call 4</w:t>
                            </w:r>
                            <w:r w:rsidR="00681022">
                              <w:rPr>
                                <w:rFonts w:ascii="Arial" w:hAnsi="Arial" w:cs="Arial"/>
                                <w:b/>
                                <w:color w:val="002060"/>
                                <w:sz w:val="52"/>
                                <w:szCs w:val="56"/>
                              </w:rPr>
                              <w:t>7</w:t>
                            </w:r>
                            <w:r>
                              <w:rPr>
                                <w:rFonts w:ascii="Arial" w:hAnsi="Arial" w:cs="Arial"/>
                                <w:b/>
                                <w:color w:val="002060"/>
                                <w:sz w:val="52"/>
                                <w:szCs w:val="56"/>
                              </w:rPr>
                              <w:t xml:space="preserve">: </w:t>
                            </w:r>
                            <w:r w:rsidR="00B01EE7" w:rsidRPr="00471D4C">
                              <w:rPr>
                                <w:rFonts w:ascii="Arial" w:hAnsi="Arial" w:cs="Arial"/>
                                <w:b/>
                                <w:color w:val="002060"/>
                                <w:sz w:val="52"/>
                                <w:szCs w:val="56"/>
                              </w:rPr>
                              <w:t xml:space="preserve">Technical Assistance </w:t>
                            </w:r>
                            <w:r w:rsidR="00681022">
                              <w:rPr>
                                <w:rFonts w:ascii="Arial" w:hAnsi="Arial" w:cs="Arial"/>
                                <w:b/>
                                <w:color w:val="002060"/>
                                <w:sz w:val="52"/>
                                <w:szCs w:val="56"/>
                              </w:rPr>
                              <w:t xml:space="preserve">for Power Sector Development of South Asian Countries </w:t>
                            </w:r>
                          </w:p>
                          <w:p w14:paraId="35EF7C6E" w14:textId="08A3C8FC" w:rsidR="00B01EE7" w:rsidRPr="00471D4C" w:rsidRDefault="00170491" w:rsidP="00B01EE7">
                            <w:pPr>
                              <w:pStyle w:val="CoverSubtitle"/>
                              <w:ind w:left="0" w:right="250"/>
                              <w:jc w:val="left"/>
                              <w:rPr>
                                <w:rFonts w:ascii="Arial" w:hAnsi="Arial" w:cs="Arial"/>
                                <w:color w:val="92D400" w:themeColor="accent2"/>
                                <w:sz w:val="56"/>
                                <w:szCs w:val="44"/>
                              </w:rPr>
                            </w:pPr>
                            <w:r w:rsidRPr="00170491">
                              <w:rPr>
                                <w:rFonts w:ascii="Arial" w:hAnsi="Arial" w:cs="Arial"/>
                                <w:color w:val="92D400" w:themeColor="accent2"/>
                                <w:sz w:val="56"/>
                                <w:szCs w:val="44"/>
                              </w:rPr>
                              <w:t>Report On Institutional Arrangements For Regional Power Market Integration</w:t>
                            </w:r>
                          </w:p>
                          <w:p w14:paraId="3F855F2E" w14:textId="77777777" w:rsidR="00B01EE7" w:rsidRPr="00464528" w:rsidRDefault="00B01EE7" w:rsidP="00B01EE7">
                            <w:pPr>
                              <w:pStyle w:val="CoverSubtitle"/>
                              <w:ind w:right="250"/>
                              <w:jc w:val="left"/>
                              <w:rPr>
                                <w:rFonts w:cs="Arial"/>
                                <w:color w:val="92D400" w:themeColor="accent2"/>
                                <w:sz w:val="56"/>
                                <w:szCs w:val="44"/>
                              </w:rPr>
                            </w:pPr>
                          </w:p>
                        </w:txbxContent>
                      </wps:txbx>
                      <wps:bodyPr rot="0" vert="horz" wrap="square" lIns="91440" tIns="4572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0A8599" id="_x0000_t202" coordsize="21600,21600" o:spt="202" path="m,l,21600r21600,l21600,xe">
                <v:stroke joinstyle="miter"/>
                <v:path gradientshapeok="t" o:connecttype="rect"/>
              </v:shapetype>
              <v:shape id="Text Box 16" o:spid="_x0000_s1026" type="#_x0000_t202" style="position:absolute;left:0;text-align:left;margin-left:-14.25pt;margin-top:12.3pt;width:467.4pt;height:276.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" fillcolor="white [3212]" stroked="f">
                <v:textbox inset=",36pt">
                  <w:txbxContent>
                    <w:p w14:paraId="67189A97" w14:textId="19D7874E" w:rsidR="00B01EE7" w:rsidRPr="00471D4C" w:rsidRDefault="00130E11" w:rsidP="00B01EE7">
                      <w:pPr>
                        <w:pStyle w:val="CoverSubtitle"/>
                        <w:tabs>
                          <w:tab w:val="left" w:pos="10080"/>
                        </w:tabs>
                        <w:spacing w:before="240"/>
                        <w:ind w:left="0" w:right="1870"/>
                        <w:jc w:val="left"/>
                        <w:rPr>
                          <w:rFonts w:ascii="Arial" w:hAnsi="Arial" w:cs="Arial"/>
                          <w:b/>
                          <w:color w:val="002060"/>
                          <w:sz w:val="52"/>
                          <w:szCs w:val="56"/>
                        </w:rPr>
                      </w:pPr>
                      <w:r>
                        <w:rPr>
                          <w:rFonts w:ascii="Arial" w:hAnsi="Arial" w:cs="Arial"/>
                          <w:b/>
                          <w:color w:val="002060"/>
                          <w:sz w:val="52"/>
                          <w:szCs w:val="56"/>
                        </w:rPr>
                        <w:t>Call 4</w:t>
                      </w:r>
                      <w:r w:rsidR="00681022">
                        <w:rPr>
                          <w:rFonts w:ascii="Arial" w:hAnsi="Arial" w:cs="Arial"/>
                          <w:b/>
                          <w:color w:val="002060"/>
                          <w:sz w:val="52"/>
                          <w:szCs w:val="56"/>
                        </w:rPr>
                        <w:t>7</w:t>
                      </w:r>
                      <w:r>
                        <w:rPr>
                          <w:rFonts w:ascii="Arial" w:hAnsi="Arial" w:cs="Arial"/>
                          <w:b/>
                          <w:color w:val="002060"/>
                          <w:sz w:val="52"/>
                          <w:szCs w:val="56"/>
                        </w:rPr>
                        <w:t xml:space="preserve">: </w:t>
                      </w:r>
                      <w:r w:rsidR="00B01EE7" w:rsidRPr="00471D4C">
                        <w:rPr>
                          <w:rFonts w:ascii="Arial" w:hAnsi="Arial" w:cs="Arial"/>
                          <w:b/>
                          <w:color w:val="002060"/>
                          <w:sz w:val="52"/>
                          <w:szCs w:val="56"/>
                        </w:rPr>
                        <w:t xml:space="preserve">Technical Assistance </w:t>
                      </w:r>
                      <w:r w:rsidR="00681022">
                        <w:rPr>
                          <w:rFonts w:ascii="Arial" w:hAnsi="Arial" w:cs="Arial"/>
                          <w:b/>
                          <w:color w:val="002060"/>
                          <w:sz w:val="52"/>
                          <w:szCs w:val="56"/>
                        </w:rPr>
                        <w:t xml:space="preserve">for Power Sector Development of South Asian Countries </w:t>
                      </w:r>
                    </w:p>
                    <w:p w14:paraId="35EF7C6E" w14:textId="08A3C8FC" w:rsidR="00B01EE7" w:rsidRPr="00471D4C" w:rsidRDefault="00170491" w:rsidP="00B01EE7">
                      <w:pPr>
                        <w:pStyle w:val="CoverSubtitle"/>
                        <w:ind w:left="0" w:right="250"/>
                        <w:jc w:val="left"/>
                        <w:rPr>
                          <w:rFonts w:ascii="Arial" w:hAnsi="Arial" w:cs="Arial"/>
                          <w:color w:val="92D400" w:themeColor="accent2"/>
                          <w:sz w:val="56"/>
                          <w:szCs w:val="44"/>
                        </w:rPr>
                      </w:pPr>
                      <w:r w:rsidRPr="00170491">
                        <w:rPr>
                          <w:rFonts w:ascii="Arial" w:hAnsi="Arial" w:cs="Arial"/>
                          <w:color w:val="92D400" w:themeColor="accent2"/>
                          <w:sz w:val="56"/>
                          <w:szCs w:val="44"/>
                        </w:rPr>
                        <w:t>Report On Institutional Arrangements For Regional Power Market Integration</w:t>
                      </w:r>
                    </w:p>
                    <w:p w14:paraId="3F855F2E" w14:textId="77777777" w:rsidR="00B01EE7" w:rsidRPr="00464528" w:rsidRDefault="00B01EE7" w:rsidP="00B01EE7">
                      <w:pPr>
                        <w:pStyle w:val="CoverSubtitle"/>
                        <w:ind w:right="250"/>
                        <w:jc w:val="left"/>
                        <w:rPr>
                          <w:rFonts w:cs="Arial"/>
                          <w:color w:val="92D400" w:themeColor="accent2"/>
                          <w:sz w:val="56"/>
                          <w:szCs w:val="44"/>
                        </w:rPr>
                      </w:pPr>
                    </w:p>
                  </w:txbxContent>
                </v:textbox>
                <w10:wrap anchorx="margin"/>
              </v:shape>
            </w:pict>
          </mc:Fallback>
        </mc:AlternateContent>
      </w:r>
    </w:p>
    <w:p w14:paraId="3EAC80A7" w14:textId="77777777" w:rsidR="00B01EE7" w:rsidRDefault="00B01EE7" w:rsidP="00B01EE7">
      <w:pPr>
        <w:pStyle w:val="Default"/>
        <w:jc w:val="center"/>
        <w:rPr>
          <w:rFonts w:ascii="Arial" w:hAnsi="Arial" w:cs="Arial"/>
          <w:b/>
          <w:bCs/>
          <w:color w:val="auto"/>
          <w:sz w:val="28"/>
          <w:szCs w:val="28"/>
          <w:lang w:val="en-US"/>
        </w:rPr>
      </w:pPr>
    </w:p>
    <w:p w14:paraId="7AD0593C" w14:textId="77777777" w:rsidR="00B01EE7" w:rsidRDefault="00B01EE7" w:rsidP="00B01EE7">
      <w:pPr>
        <w:pStyle w:val="Default"/>
        <w:jc w:val="center"/>
        <w:rPr>
          <w:rFonts w:ascii="Arial" w:hAnsi="Arial" w:cs="Arial"/>
          <w:b/>
          <w:bCs/>
          <w:color w:val="auto"/>
          <w:sz w:val="28"/>
          <w:szCs w:val="28"/>
          <w:lang w:val="en-US"/>
        </w:rPr>
      </w:pPr>
    </w:p>
    <w:p w14:paraId="25FC5972" w14:textId="77777777" w:rsidR="00B01EE7" w:rsidRPr="002879A7" w:rsidRDefault="00B01EE7" w:rsidP="00B01EE7">
      <w:pPr>
        <w:pStyle w:val="Default"/>
        <w:jc w:val="center"/>
        <w:rPr>
          <w:rFonts w:ascii="Arial" w:hAnsi="Arial" w:cs="Arial"/>
          <w:b/>
          <w:bCs/>
          <w:color w:val="auto"/>
          <w:sz w:val="28"/>
          <w:szCs w:val="28"/>
          <w:lang w:val="en-US"/>
        </w:rPr>
      </w:pPr>
    </w:p>
    <w:p w14:paraId="5D002DA0" w14:textId="77777777" w:rsidR="00B01EE7" w:rsidRPr="002879A7" w:rsidRDefault="00B01EE7" w:rsidP="00B01EE7">
      <w:pPr>
        <w:pStyle w:val="Default"/>
        <w:jc w:val="center"/>
        <w:rPr>
          <w:rFonts w:ascii="Arial" w:hAnsi="Arial" w:cs="Arial"/>
          <w:b/>
          <w:bCs/>
          <w:color w:val="auto"/>
          <w:sz w:val="28"/>
          <w:szCs w:val="28"/>
          <w:lang w:val="en-US"/>
        </w:rPr>
      </w:pPr>
    </w:p>
    <w:p w14:paraId="6AE32A57" w14:textId="77777777" w:rsidR="00B01EE7" w:rsidRPr="002879A7" w:rsidRDefault="00B01EE7" w:rsidP="00B01EE7">
      <w:pPr>
        <w:pStyle w:val="Default"/>
        <w:jc w:val="center"/>
        <w:rPr>
          <w:rFonts w:ascii="Arial" w:hAnsi="Arial" w:cs="Arial"/>
          <w:b/>
          <w:bCs/>
          <w:color w:val="auto"/>
          <w:sz w:val="32"/>
          <w:szCs w:val="28"/>
          <w:lang w:val="en-US"/>
        </w:rPr>
      </w:pPr>
    </w:p>
    <w:p w14:paraId="27DC35EE" w14:textId="77777777" w:rsidR="00B01EE7" w:rsidRPr="002879A7" w:rsidRDefault="00B01EE7" w:rsidP="00B01EE7">
      <w:pPr>
        <w:pStyle w:val="Default"/>
        <w:jc w:val="center"/>
        <w:rPr>
          <w:rFonts w:ascii="Arial" w:hAnsi="Arial" w:cs="Arial"/>
          <w:b/>
          <w:bCs/>
          <w:color w:val="auto"/>
          <w:sz w:val="32"/>
          <w:szCs w:val="28"/>
          <w:lang w:val="en-US"/>
        </w:rPr>
      </w:pPr>
    </w:p>
    <w:p w14:paraId="460DBBB6" w14:textId="77777777" w:rsidR="00B01EE7" w:rsidRPr="002879A7" w:rsidRDefault="00B01EE7" w:rsidP="00B01EE7">
      <w:pPr>
        <w:pStyle w:val="Default"/>
        <w:jc w:val="center"/>
        <w:rPr>
          <w:rFonts w:ascii="Arial" w:hAnsi="Arial" w:cs="Arial"/>
          <w:b/>
          <w:bCs/>
          <w:color w:val="auto"/>
          <w:sz w:val="32"/>
          <w:szCs w:val="28"/>
          <w:lang w:val="en-US"/>
        </w:rPr>
      </w:pPr>
    </w:p>
    <w:p w14:paraId="17E6FD33" w14:textId="77777777" w:rsidR="00B01EE7" w:rsidRPr="002879A7" w:rsidRDefault="00B01EE7" w:rsidP="00B01EE7">
      <w:pPr>
        <w:pStyle w:val="Default"/>
        <w:jc w:val="center"/>
        <w:rPr>
          <w:rFonts w:ascii="Arial" w:hAnsi="Arial" w:cs="Arial"/>
          <w:b/>
          <w:bCs/>
          <w:color w:val="auto"/>
          <w:sz w:val="32"/>
          <w:szCs w:val="28"/>
          <w:lang w:val="en-US"/>
        </w:rPr>
      </w:pPr>
    </w:p>
    <w:p w14:paraId="138C5D54" w14:textId="77777777" w:rsidR="00B01EE7" w:rsidRPr="002879A7" w:rsidRDefault="00B01EE7" w:rsidP="00B01EE7">
      <w:pPr>
        <w:pStyle w:val="Default"/>
        <w:jc w:val="center"/>
        <w:rPr>
          <w:rFonts w:ascii="Arial" w:hAnsi="Arial" w:cs="Arial"/>
          <w:color w:val="auto"/>
          <w:lang w:val="en-US"/>
        </w:rPr>
      </w:pPr>
    </w:p>
    <w:p w14:paraId="0AE52427" w14:textId="77777777" w:rsidR="00B01EE7" w:rsidRPr="002879A7" w:rsidRDefault="00B01EE7" w:rsidP="00B01EE7">
      <w:pPr>
        <w:pStyle w:val="Default"/>
        <w:jc w:val="center"/>
        <w:rPr>
          <w:rFonts w:ascii="Arial" w:hAnsi="Arial" w:cs="Arial"/>
          <w:color w:val="auto"/>
          <w:lang w:val="en-US"/>
        </w:rPr>
      </w:pPr>
    </w:p>
    <w:p w14:paraId="13A8AE55" w14:textId="77777777" w:rsidR="00B01EE7" w:rsidRPr="002879A7" w:rsidRDefault="00B01EE7" w:rsidP="00B01EE7">
      <w:pPr>
        <w:pStyle w:val="Default"/>
        <w:jc w:val="center"/>
        <w:rPr>
          <w:rFonts w:ascii="Arial" w:hAnsi="Arial" w:cs="Arial"/>
          <w:color w:val="auto"/>
          <w:lang w:val="en-US"/>
        </w:rPr>
      </w:pPr>
    </w:p>
    <w:p w14:paraId="4934B544" w14:textId="77777777" w:rsidR="00B01EE7" w:rsidRPr="002879A7" w:rsidRDefault="00B01EE7" w:rsidP="00B01EE7">
      <w:pPr>
        <w:pStyle w:val="Default"/>
        <w:jc w:val="center"/>
        <w:rPr>
          <w:rFonts w:ascii="Arial" w:hAnsi="Arial" w:cs="Arial"/>
          <w:color w:val="auto"/>
          <w:lang w:val="en-US"/>
        </w:rPr>
      </w:pPr>
    </w:p>
    <w:p w14:paraId="061AC900" w14:textId="77777777" w:rsidR="00B01EE7" w:rsidRPr="002879A7" w:rsidRDefault="00B01EE7" w:rsidP="00B01EE7">
      <w:pPr>
        <w:pStyle w:val="Default"/>
        <w:jc w:val="center"/>
        <w:rPr>
          <w:rFonts w:ascii="Arial" w:hAnsi="Arial" w:cs="Arial"/>
          <w:color w:val="auto"/>
          <w:lang w:val="en-US"/>
        </w:rPr>
      </w:pPr>
    </w:p>
    <w:p w14:paraId="4C9DA991" w14:textId="77777777" w:rsidR="00B01EE7" w:rsidRPr="002879A7" w:rsidRDefault="00B01EE7" w:rsidP="00B01EE7">
      <w:pPr>
        <w:pStyle w:val="Default"/>
        <w:jc w:val="center"/>
        <w:rPr>
          <w:rFonts w:ascii="Arial" w:hAnsi="Arial" w:cs="Arial"/>
          <w:color w:val="auto"/>
          <w:lang w:val="en-US"/>
        </w:rPr>
      </w:pPr>
    </w:p>
    <w:p w14:paraId="577EEBBA" w14:textId="77777777" w:rsidR="00B01EE7" w:rsidRPr="002879A7" w:rsidRDefault="00B01EE7" w:rsidP="00B01EE7">
      <w:pPr>
        <w:pStyle w:val="Default"/>
        <w:jc w:val="center"/>
        <w:rPr>
          <w:rFonts w:ascii="Arial" w:hAnsi="Arial" w:cs="Arial"/>
          <w:color w:val="auto"/>
          <w:lang w:val="en-US"/>
        </w:rPr>
      </w:pPr>
    </w:p>
    <w:p w14:paraId="3B26266C" w14:textId="77777777" w:rsidR="00B01EE7" w:rsidRPr="002879A7" w:rsidRDefault="00B01EE7" w:rsidP="00B01EE7">
      <w:pPr>
        <w:pStyle w:val="Default"/>
        <w:jc w:val="center"/>
        <w:rPr>
          <w:rFonts w:ascii="Arial" w:hAnsi="Arial" w:cs="Arial"/>
          <w:color w:val="auto"/>
          <w:lang w:val="en-US"/>
        </w:rPr>
      </w:pPr>
    </w:p>
    <w:p w14:paraId="419CCDA2" w14:textId="77777777" w:rsidR="00B01EE7" w:rsidRDefault="00B01EE7" w:rsidP="00B01EE7">
      <w:pPr>
        <w:pStyle w:val="Default"/>
        <w:jc w:val="center"/>
        <w:rPr>
          <w:rFonts w:ascii="Arial" w:hAnsi="Arial" w:cs="Arial"/>
          <w:color w:val="auto"/>
          <w:lang w:val="en-US"/>
        </w:rPr>
      </w:pPr>
    </w:p>
    <w:p w14:paraId="378995DF" w14:textId="77777777" w:rsidR="00B01EE7" w:rsidRDefault="00B01EE7" w:rsidP="00B01EE7">
      <w:pPr>
        <w:pStyle w:val="Default"/>
        <w:jc w:val="center"/>
        <w:rPr>
          <w:rFonts w:ascii="Arial" w:hAnsi="Arial" w:cs="Arial"/>
          <w:color w:val="auto"/>
          <w:lang w:val="en-US"/>
        </w:rPr>
      </w:pPr>
    </w:p>
    <w:p w14:paraId="60E7E92E" w14:textId="77777777" w:rsidR="00170491" w:rsidRDefault="00170491" w:rsidP="009C3ECC">
      <w:pPr>
        <w:spacing w:after="0" w:line="280" w:lineRule="atLeast"/>
        <w:ind w:left="990"/>
        <w:rPr>
          <w:rFonts w:cs="Arial"/>
          <w:b/>
          <w:bCs/>
          <w:noProof/>
          <w:color w:val="92D400" w:themeColor="accent2"/>
        </w:rPr>
      </w:pPr>
      <w:bookmarkStart w:id="0" w:name="_Toc270326147"/>
    </w:p>
    <w:p w14:paraId="44522F29" w14:textId="66442FBA" w:rsidR="009C3ECC" w:rsidRPr="009C3ECC" w:rsidRDefault="009C3ECC" w:rsidP="009C3ECC">
      <w:pPr>
        <w:spacing w:after="0" w:line="280" w:lineRule="atLeast"/>
        <w:ind w:left="990"/>
        <w:rPr>
          <w:rFonts w:cs="Arial"/>
          <w:b/>
          <w:bCs/>
          <w:noProof/>
          <w:color w:val="92D400" w:themeColor="accent2"/>
        </w:rPr>
      </w:pPr>
      <w:commentRangeStart w:id="1"/>
      <w:r w:rsidRPr="009C3ECC">
        <w:rPr>
          <w:rFonts w:cs="Arial"/>
          <w:b/>
          <w:bCs/>
          <w:noProof/>
          <w:color w:val="92D400" w:themeColor="accent2"/>
        </w:rPr>
        <w:t>Prepared for:</w:t>
      </w:r>
      <w:r w:rsidRPr="009C3ECC">
        <w:rPr>
          <w:rFonts w:cs="Arial"/>
          <w:bCs/>
          <w:color w:val="92D400" w:themeColor="accent2"/>
        </w:rPr>
        <w:tab/>
      </w:r>
      <w:r w:rsidRPr="009C3ECC">
        <w:rPr>
          <w:rFonts w:cs="Arial"/>
          <w:bCs/>
          <w:color w:val="92D400" w:themeColor="accent2"/>
        </w:rPr>
        <w:tab/>
      </w:r>
      <w:r w:rsidRPr="009C3ECC">
        <w:rPr>
          <w:rFonts w:cs="Arial"/>
          <w:bCs/>
          <w:color w:val="92D400" w:themeColor="accent2"/>
        </w:rPr>
        <w:tab/>
      </w:r>
      <w:r w:rsidRPr="009C3ECC">
        <w:rPr>
          <w:rFonts w:cs="Arial"/>
          <w:bCs/>
          <w:color w:val="92D400" w:themeColor="accent2"/>
        </w:rPr>
        <w:tab/>
      </w:r>
      <w:r w:rsidRPr="009C3ECC">
        <w:rPr>
          <w:rFonts w:cs="Arial"/>
          <w:b/>
          <w:bCs/>
          <w:noProof/>
          <w:color w:val="92D400" w:themeColor="accent2"/>
        </w:rPr>
        <w:t>Prepared by:</w:t>
      </w:r>
    </w:p>
    <w:p w14:paraId="1FE814F5" w14:textId="77777777" w:rsidR="009C3ECC" w:rsidRPr="009C3ECC" w:rsidRDefault="009C3ECC" w:rsidP="009C3ECC">
      <w:pPr>
        <w:spacing w:after="0" w:line="280" w:lineRule="atLeast"/>
        <w:ind w:left="990"/>
        <w:rPr>
          <w:rFonts w:cs="Arial"/>
          <w:bCs/>
          <w:color w:val="002060"/>
        </w:rPr>
      </w:pPr>
      <w:r w:rsidRPr="009C3ECC">
        <w:rPr>
          <w:rFonts w:cs="Arial"/>
          <w:bCs/>
          <w:color w:val="002060"/>
        </w:rPr>
        <w:t>Office of Energy Programs</w:t>
      </w:r>
      <w:r w:rsidRPr="009C3ECC">
        <w:rPr>
          <w:rFonts w:cs="Arial"/>
          <w:bCs/>
          <w:color w:val="002060"/>
        </w:rPr>
        <w:tab/>
      </w:r>
      <w:r w:rsidRPr="009C3ECC">
        <w:rPr>
          <w:rFonts w:cs="Arial"/>
          <w:bCs/>
          <w:color w:val="002060"/>
        </w:rPr>
        <w:tab/>
      </w:r>
      <w:r w:rsidRPr="009C3ECC">
        <w:rPr>
          <w:rFonts w:cs="Arial"/>
          <w:bCs/>
          <w:color w:val="002060"/>
        </w:rPr>
        <w:tab/>
        <w:t xml:space="preserve">Deloitte &amp; Touche, LLP </w:t>
      </w:r>
    </w:p>
    <w:p w14:paraId="2578C569" w14:textId="7FA44111" w:rsidR="009C3ECC" w:rsidRPr="009C3ECC" w:rsidRDefault="009C3ECC" w:rsidP="009C3ECC">
      <w:pPr>
        <w:spacing w:after="0" w:line="280" w:lineRule="atLeast"/>
        <w:ind w:left="990"/>
        <w:rPr>
          <w:rFonts w:cs="Arial"/>
          <w:bCs/>
          <w:color w:val="002060"/>
        </w:rPr>
      </w:pPr>
      <w:bookmarkStart w:id="2" w:name="_Hlk107658389"/>
      <w:r w:rsidRPr="009C3ECC">
        <w:rPr>
          <w:rFonts w:cs="Arial"/>
          <w:bCs/>
          <w:color w:val="002060"/>
        </w:rPr>
        <w:t>Bureau of Energy Resources</w:t>
      </w:r>
      <w:r w:rsidRPr="009C3ECC">
        <w:rPr>
          <w:rFonts w:cs="Arial"/>
          <w:bCs/>
          <w:color w:val="002060"/>
        </w:rPr>
        <w:tab/>
      </w:r>
      <w:r w:rsidRPr="009C3ECC">
        <w:rPr>
          <w:rFonts w:cs="Arial"/>
          <w:bCs/>
          <w:color w:val="002060"/>
        </w:rPr>
        <w:tab/>
        <w:t>1919 N. Lynn Street</w:t>
      </w:r>
    </w:p>
    <w:p w14:paraId="253A0EC9" w14:textId="77777777" w:rsidR="009C3ECC" w:rsidRPr="009C3ECC" w:rsidRDefault="009C3ECC" w:rsidP="009C3ECC">
      <w:pPr>
        <w:spacing w:after="0" w:line="280" w:lineRule="atLeast"/>
        <w:ind w:left="990"/>
        <w:rPr>
          <w:rFonts w:cs="Arial"/>
          <w:bCs/>
          <w:color w:val="002060"/>
        </w:rPr>
      </w:pPr>
      <w:r w:rsidRPr="009C3ECC">
        <w:rPr>
          <w:rFonts w:cs="Arial"/>
          <w:bCs/>
          <w:color w:val="002060"/>
        </w:rPr>
        <w:t>U.S. Department of State</w:t>
      </w:r>
      <w:bookmarkEnd w:id="2"/>
      <w:r w:rsidRPr="009C3ECC">
        <w:rPr>
          <w:rFonts w:cs="Arial"/>
          <w:bCs/>
          <w:color w:val="002060"/>
        </w:rPr>
        <w:tab/>
      </w:r>
      <w:r w:rsidRPr="009C3ECC">
        <w:rPr>
          <w:rFonts w:cs="Arial"/>
          <w:bCs/>
          <w:color w:val="002060"/>
        </w:rPr>
        <w:tab/>
      </w:r>
      <w:r w:rsidRPr="009C3ECC">
        <w:rPr>
          <w:rFonts w:cs="Arial"/>
          <w:bCs/>
          <w:color w:val="002060"/>
        </w:rPr>
        <w:tab/>
        <w:t xml:space="preserve">Arlington, VA 22209 </w:t>
      </w:r>
      <w:commentRangeEnd w:id="1"/>
      <w:r w:rsidR="006A0F8B">
        <w:rPr>
          <w:rStyle w:val="CommentReference"/>
          <w:rFonts w:ascii="Calibri" w:hAnsi="Calibri"/>
          <w:lang w:eastAsia="hr-HR"/>
        </w:rPr>
        <w:commentReference w:id="1"/>
      </w:r>
    </w:p>
    <w:p w14:paraId="3F55ECFE" w14:textId="77777777" w:rsidR="009C3ECC" w:rsidRPr="009C3ECC" w:rsidRDefault="009C3ECC" w:rsidP="009C3ECC">
      <w:pPr>
        <w:autoSpaceDE w:val="0"/>
        <w:autoSpaceDN w:val="0"/>
        <w:adjustRightInd w:val="0"/>
        <w:spacing w:after="0"/>
        <w:rPr>
          <w:rFonts w:cs="Arial"/>
          <w:sz w:val="24"/>
        </w:rPr>
      </w:pPr>
    </w:p>
    <w:p w14:paraId="5E719A0C" w14:textId="77777777" w:rsidR="009C3ECC" w:rsidRPr="009C3ECC" w:rsidRDefault="009C3ECC" w:rsidP="009C3ECC">
      <w:pPr>
        <w:autoSpaceDE w:val="0"/>
        <w:autoSpaceDN w:val="0"/>
        <w:adjustRightInd w:val="0"/>
        <w:spacing w:after="0"/>
        <w:rPr>
          <w:rFonts w:cs="Arial"/>
          <w:sz w:val="24"/>
        </w:rPr>
      </w:pPr>
    </w:p>
    <w:p w14:paraId="472FAD07" w14:textId="77777777" w:rsidR="009C3ECC" w:rsidRPr="009C3ECC" w:rsidRDefault="009C3ECC" w:rsidP="009C3ECC">
      <w:pPr>
        <w:autoSpaceDE w:val="0"/>
        <w:autoSpaceDN w:val="0"/>
        <w:adjustRightInd w:val="0"/>
        <w:spacing w:after="0"/>
        <w:rPr>
          <w:rFonts w:cs="Arial"/>
          <w:sz w:val="24"/>
        </w:rPr>
      </w:pPr>
    </w:p>
    <w:p w14:paraId="173D4AD6" w14:textId="77777777" w:rsidR="006A0F8B" w:rsidRDefault="006A0F8B" w:rsidP="009C3ECC">
      <w:pPr>
        <w:autoSpaceDE w:val="0"/>
        <w:autoSpaceDN w:val="0"/>
        <w:adjustRightInd w:val="0"/>
        <w:spacing w:after="0"/>
        <w:rPr>
          <w:rFonts w:cs="Arial"/>
          <w:szCs w:val="22"/>
        </w:rPr>
      </w:pPr>
    </w:p>
    <w:p w14:paraId="5554D5A2" w14:textId="77777777" w:rsidR="006A0F8B" w:rsidRDefault="006A0F8B" w:rsidP="009C3ECC">
      <w:pPr>
        <w:autoSpaceDE w:val="0"/>
        <w:autoSpaceDN w:val="0"/>
        <w:adjustRightInd w:val="0"/>
        <w:spacing w:after="0"/>
        <w:rPr>
          <w:rFonts w:cs="Arial"/>
          <w:szCs w:val="22"/>
        </w:rPr>
      </w:pPr>
    </w:p>
    <w:p w14:paraId="0953D18A" w14:textId="77777777" w:rsidR="006A0F8B" w:rsidRDefault="006A0F8B" w:rsidP="009C3ECC">
      <w:pPr>
        <w:autoSpaceDE w:val="0"/>
        <w:autoSpaceDN w:val="0"/>
        <w:adjustRightInd w:val="0"/>
        <w:spacing w:after="0"/>
        <w:rPr>
          <w:rFonts w:cs="Arial"/>
          <w:szCs w:val="22"/>
        </w:rPr>
      </w:pPr>
    </w:p>
    <w:p w14:paraId="0B0DCA40" w14:textId="32949639" w:rsidR="009C3ECC" w:rsidRPr="006C4907" w:rsidRDefault="007F6D60" w:rsidP="009C3ECC">
      <w:pPr>
        <w:autoSpaceDE w:val="0"/>
        <w:autoSpaceDN w:val="0"/>
        <w:adjustRightInd w:val="0"/>
        <w:spacing w:after="0"/>
        <w:rPr>
          <w:rFonts w:cs="Arial"/>
          <w:szCs w:val="22"/>
        </w:rPr>
      </w:pPr>
      <w:r w:rsidRPr="006C4907">
        <w:rPr>
          <w:rFonts w:cs="Arial"/>
          <w:szCs w:val="22"/>
        </w:rPr>
        <w:t xml:space="preserve">Version </w:t>
      </w:r>
      <w:r w:rsidR="00130E11">
        <w:rPr>
          <w:rFonts w:cs="Arial"/>
          <w:szCs w:val="22"/>
        </w:rPr>
        <w:t>1</w:t>
      </w:r>
    </w:p>
    <w:p w14:paraId="2B14B186" w14:textId="3BEAF826" w:rsidR="009C3ECC" w:rsidRPr="00716BB6" w:rsidRDefault="00170491" w:rsidP="009C3ECC">
      <w:pPr>
        <w:spacing w:after="0"/>
        <w:rPr>
          <w:rFonts w:cs="Arial"/>
          <w:b/>
          <w:szCs w:val="22"/>
        </w:rPr>
      </w:pPr>
      <w:proofErr w:type="gramStart"/>
      <w:r w:rsidRPr="006A0F8B">
        <w:rPr>
          <w:rFonts w:cs="Arial"/>
          <w:b/>
          <w:szCs w:val="22"/>
          <w:highlight w:val="yellow"/>
        </w:rPr>
        <w:t>December</w:t>
      </w:r>
      <w:r w:rsidR="009C3ECC" w:rsidRPr="006A0F8B">
        <w:rPr>
          <w:rFonts w:cs="Arial"/>
          <w:b/>
          <w:szCs w:val="22"/>
          <w:highlight w:val="yellow"/>
        </w:rPr>
        <w:t>,</w:t>
      </w:r>
      <w:proofErr w:type="gramEnd"/>
      <w:r w:rsidR="009C3ECC" w:rsidRPr="006A0F8B">
        <w:rPr>
          <w:rFonts w:cs="Arial"/>
          <w:b/>
          <w:szCs w:val="22"/>
          <w:highlight w:val="yellow"/>
        </w:rPr>
        <w:t xml:space="preserve"> 202</w:t>
      </w:r>
      <w:r w:rsidRPr="006A0F8B">
        <w:rPr>
          <w:rFonts w:cs="Arial"/>
          <w:b/>
          <w:szCs w:val="22"/>
          <w:highlight w:val="yellow"/>
        </w:rPr>
        <w:t>4</w:t>
      </w:r>
    </w:p>
    <w:p w14:paraId="53EB24F7" w14:textId="77777777" w:rsidR="009C3ECC" w:rsidRPr="009C3ECC" w:rsidRDefault="009C3ECC" w:rsidP="009C3ECC">
      <w:pPr>
        <w:autoSpaceDE w:val="0"/>
        <w:autoSpaceDN w:val="0"/>
        <w:adjustRightInd w:val="0"/>
        <w:spacing w:after="0"/>
        <w:jc w:val="center"/>
        <w:rPr>
          <w:rFonts w:cs="Arial"/>
          <w:color w:val="000000"/>
          <w:sz w:val="24"/>
          <w:lang w:val="hr-HR"/>
        </w:rPr>
      </w:pPr>
      <w:r w:rsidRPr="009C3ECC">
        <w:rPr>
          <w:rFonts w:cs="Arial"/>
          <w:noProof/>
          <w:color w:val="000000"/>
          <w:sz w:val="20"/>
        </w:rPr>
        <mc:AlternateContent>
          <mc:Choice Requires="wps">
            <w:drawing>
              <wp:anchor distT="0" distB="0" distL="114300" distR="114300" simplePos="0" relativeHeight="251658241" behindDoc="1" locked="0" layoutInCell="1" allowOverlap="1" wp14:anchorId="2A2A002B" wp14:editId="14514545">
                <wp:simplePos x="0" y="0"/>
                <wp:positionH relativeFrom="margin">
                  <wp:posOffset>-103035</wp:posOffset>
                </wp:positionH>
                <wp:positionV relativeFrom="paragraph">
                  <wp:posOffset>210489</wp:posOffset>
                </wp:positionV>
                <wp:extent cx="6534150" cy="414020"/>
                <wp:effectExtent l="0" t="0" r="0" b="5080"/>
                <wp:wrapTight wrapText="bothSides">
                  <wp:wrapPolygon edited="0">
                    <wp:start x="0" y="0"/>
                    <wp:lineTo x="0" y="20871"/>
                    <wp:lineTo x="21537" y="20871"/>
                    <wp:lineTo x="21537" y="0"/>
                    <wp:lineTo x="0" y="0"/>
                  </wp:wrapPolygon>
                </wp:wrapTight>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0" cy="414020"/>
                        </a:xfrm>
                        <a:prstGeom prst="rect">
                          <a:avLst/>
                        </a:prstGeom>
                        <a:solidFill>
                          <a:sysClr val="window" lastClr="FFFFFF"/>
                        </a:solidFill>
                        <a:ln w="6350">
                          <a:noFill/>
                        </a:ln>
                        <a:effectLst/>
                      </wps:spPr>
                      <wps:txbx>
                        <w:txbxContent>
                          <w:p w14:paraId="7F3C7904" w14:textId="77777777" w:rsidR="009C3ECC" w:rsidRPr="001D7F58" w:rsidRDefault="009C3ECC" w:rsidP="00FB6921">
                            <w:pPr>
                              <w:pStyle w:val="Footer"/>
                              <w:spacing w:after="0"/>
                              <w:rPr>
                                <w:rFonts w:ascii="Arial" w:hAnsi="Arial" w:cs="Arial"/>
                                <w:sz w:val="20"/>
                                <w:szCs w:val="20"/>
                              </w:rPr>
                            </w:pPr>
                            <w:r w:rsidRPr="001D7F58">
                              <w:rPr>
                                <w:rFonts w:ascii="Arial" w:hAnsi="Arial" w:cs="Arial"/>
                                <w:sz w:val="20"/>
                                <w:szCs w:val="20"/>
                              </w:rPr>
                              <w:t>This work was funded by the U.S. Department of State, Bureau of Energy Resources, Power Sector Program.</w:t>
                            </w:r>
                          </w:p>
                          <w:p w14:paraId="4DFB7F5F" w14:textId="68F76DBF" w:rsidR="009C3ECC" w:rsidRPr="001D7F58" w:rsidRDefault="009C3ECC" w:rsidP="00FB6921">
                            <w:pPr>
                              <w:spacing w:after="0"/>
                              <w:jc w:val="left"/>
                              <w:rPr>
                                <w:rFonts w:cs="Arial"/>
                                <w:sz w:val="20"/>
                                <w:szCs w:val="20"/>
                              </w:rPr>
                            </w:pPr>
                            <w:r w:rsidRPr="001D7F58">
                              <w:rPr>
                                <w:rFonts w:cs="Arial"/>
                                <w:sz w:val="20"/>
                                <w:szCs w:val="20"/>
                              </w:rPr>
                              <w:t xml:space="preserve">This work does not necessarily reflect the views of the United States </w:t>
                            </w:r>
                            <w:r w:rsidR="006E4B47">
                              <w:rPr>
                                <w:rFonts w:cs="Arial"/>
                                <w:sz w:val="20"/>
                                <w:szCs w:val="20"/>
                              </w:rPr>
                              <w:t>G</w:t>
                            </w:r>
                            <w:r w:rsidRPr="001D7F58">
                              <w:rPr>
                                <w:rFonts w:cs="Arial"/>
                                <w:sz w:val="20"/>
                                <w:szCs w:val="20"/>
                              </w:rPr>
                              <w:t>overnment.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A002B" id="Text Box 4" o:spid="_x0000_s1027" type="#_x0000_t202" style="position:absolute;left:0;text-align:left;margin-left:-8.1pt;margin-top:16.55pt;width:514.5pt;height:32.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" fillcolor="window" stroked="f" strokeweight=".5pt">
                <v:textbox>
                  <w:txbxContent>
                    <w:p w14:paraId="7F3C7904" w14:textId="77777777" w:rsidR="009C3ECC" w:rsidRPr="001D7F58" w:rsidRDefault="009C3ECC" w:rsidP="00FB6921">
                      <w:pPr>
                        <w:pStyle w:val="Footer"/>
                        <w:spacing w:after="0"/>
                        <w:rPr>
                          <w:rFonts w:ascii="Arial" w:hAnsi="Arial" w:cs="Arial"/>
                          <w:sz w:val="20"/>
                          <w:szCs w:val="20"/>
                        </w:rPr>
                      </w:pPr>
                      <w:r w:rsidRPr="001D7F58">
                        <w:rPr>
                          <w:rFonts w:ascii="Arial" w:hAnsi="Arial" w:cs="Arial"/>
                          <w:sz w:val="20"/>
                          <w:szCs w:val="20"/>
                        </w:rPr>
                        <w:t>This work was funded by the U.S. Department of State, Bureau of Energy Resources, Power Sector Program.</w:t>
                      </w:r>
                    </w:p>
                    <w:p w14:paraId="4DFB7F5F" w14:textId="68F76DBF" w:rsidR="009C3ECC" w:rsidRPr="001D7F58" w:rsidRDefault="009C3ECC" w:rsidP="00FB6921">
                      <w:pPr>
                        <w:spacing w:after="0"/>
                        <w:jc w:val="left"/>
                        <w:rPr>
                          <w:rFonts w:cs="Arial"/>
                          <w:sz w:val="20"/>
                          <w:szCs w:val="20"/>
                        </w:rPr>
                      </w:pPr>
                      <w:r w:rsidRPr="001D7F58">
                        <w:rPr>
                          <w:rFonts w:cs="Arial"/>
                          <w:sz w:val="20"/>
                          <w:szCs w:val="20"/>
                        </w:rPr>
                        <w:t xml:space="preserve">This work does not necessarily reflect the views of the United States </w:t>
                      </w:r>
                      <w:r w:rsidR="006E4B47">
                        <w:rPr>
                          <w:rFonts w:cs="Arial"/>
                          <w:sz w:val="20"/>
                          <w:szCs w:val="20"/>
                        </w:rPr>
                        <w:t>G</w:t>
                      </w:r>
                      <w:r w:rsidRPr="001D7F58">
                        <w:rPr>
                          <w:rFonts w:cs="Arial"/>
                          <w:sz w:val="20"/>
                          <w:szCs w:val="20"/>
                        </w:rPr>
                        <w:t>overnment.</w:t>
                      </w:r>
                    </w:p>
                  </w:txbxContent>
                </v:textbox>
                <w10:wrap type="tight" anchorx="margin"/>
              </v:shape>
            </w:pict>
          </mc:Fallback>
        </mc:AlternateContent>
      </w:r>
    </w:p>
    <w:p w14:paraId="7EF5F5E9" w14:textId="4DF4CF8F" w:rsidR="009C3ECC" w:rsidRPr="009C3ECC" w:rsidRDefault="009C3ECC" w:rsidP="009C3ECC">
      <w:pPr>
        <w:autoSpaceDE w:val="0"/>
        <w:autoSpaceDN w:val="0"/>
        <w:adjustRightInd w:val="0"/>
        <w:spacing w:after="0"/>
        <w:jc w:val="center"/>
        <w:rPr>
          <w:rFonts w:cs="Arial"/>
          <w:color w:val="000000"/>
          <w:sz w:val="24"/>
          <w:lang w:val="hr-HR"/>
        </w:rPr>
      </w:pPr>
    </w:p>
    <w:p w14:paraId="47DFFFEA" w14:textId="1D4AA3BD" w:rsidR="00B01EE7" w:rsidRPr="00472728" w:rsidRDefault="00223982" w:rsidP="00472728">
      <w:pPr>
        <w:spacing w:after="0"/>
        <w:rPr>
          <w:rFonts w:cs="Arial"/>
          <w:sz w:val="24"/>
        </w:rPr>
      </w:pPr>
      <w:r w:rsidRPr="009C3ECC">
        <w:rPr>
          <w:rFonts w:cs="Arial"/>
          <w:b/>
          <w:noProof/>
          <w:color w:val="92D050"/>
          <w:sz w:val="44"/>
          <w:szCs w:val="48"/>
        </w:rPr>
        <w:drawing>
          <wp:anchor distT="0" distB="0" distL="114300" distR="114300" simplePos="0" relativeHeight="251658242" behindDoc="0" locked="0" layoutInCell="1" allowOverlap="1" wp14:anchorId="6701104B" wp14:editId="7180B665">
            <wp:simplePos x="0" y="0"/>
            <wp:positionH relativeFrom="margin">
              <wp:align>center</wp:align>
            </wp:positionH>
            <wp:positionV relativeFrom="paragraph">
              <wp:posOffset>14605</wp:posOffset>
            </wp:positionV>
            <wp:extent cx="1012825" cy="996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S Logo.JPG"/>
                    <pic:cNvPicPr/>
                  </pic:nvPicPr>
                  <pic:blipFill>
                    <a:blip r:embed="rId18" cstate="print">
                      <a:extLst>
                        <a:ext uri="{BEBA8EAE-BF5A-486C-A8C5-ECC9F3942E4B}">
                          <a14:imgProps xmlns:a14="http://schemas.microsoft.com/office/drawing/2010/main">
                            <a14:imgLayer r:embed="rId19">
                              <a14:imgEffect>
                                <a14:artisticCrisscrossEtching/>
                              </a14:imgEffect>
                            </a14:imgLayer>
                          </a14:imgProps>
                        </a:ext>
                        <a:ext uri="{28A0092B-C50C-407E-A947-70E740481C1C}">
                          <a14:useLocalDpi xmlns:a14="http://schemas.microsoft.com/office/drawing/2010/main" val="0"/>
                        </a:ext>
                      </a:extLst>
                    </a:blip>
                    <a:stretch>
                      <a:fillRect/>
                    </a:stretch>
                  </pic:blipFill>
                  <pic:spPr>
                    <a:xfrm>
                      <a:off x="0" y="0"/>
                      <a:ext cx="1012825" cy="996950"/>
                    </a:xfrm>
                    <a:prstGeom prst="rect">
                      <a:avLst/>
                    </a:prstGeom>
                  </pic:spPr>
                </pic:pic>
              </a:graphicData>
            </a:graphic>
            <wp14:sizeRelH relativeFrom="page">
              <wp14:pctWidth>0</wp14:pctWidth>
            </wp14:sizeRelH>
            <wp14:sizeRelV relativeFrom="page">
              <wp14:pctHeight>0</wp14:pctHeight>
            </wp14:sizeRelV>
          </wp:anchor>
        </w:drawing>
      </w:r>
      <w:r w:rsidR="009C3ECC" w:rsidRPr="009C3ECC">
        <w:rPr>
          <w:rFonts w:cs="Arial"/>
          <w:sz w:val="24"/>
        </w:rPr>
        <w:br w:type="page"/>
      </w:r>
    </w:p>
    <w:p w14:paraId="77698800" w14:textId="77777777" w:rsidR="00B01EE7" w:rsidRDefault="00B01EE7" w:rsidP="00B01EE7">
      <w:pPr>
        <w:pStyle w:val="Default"/>
        <w:jc w:val="center"/>
        <w:rPr>
          <w:rFonts w:ascii="Arial" w:hAnsi="Arial" w:cs="Arial"/>
        </w:rPr>
      </w:pPr>
    </w:p>
    <w:p w14:paraId="26935998" w14:textId="77777777" w:rsidR="00B01EE7" w:rsidRDefault="00B01EE7" w:rsidP="00B01EE7">
      <w:pPr>
        <w:spacing w:after="0"/>
        <w:rPr>
          <w:rFonts w:cs="Arial"/>
          <w:b/>
        </w:rPr>
      </w:pPr>
    </w:p>
    <w:p w14:paraId="7DE0DDC7" w14:textId="77777777" w:rsidR="00B01EE7" w:rsidRDefault="00B01EE7" w:rsidP="00B01EE7">
      <w:pPr>
        <w:spacing w:after="0"/>
        <w:rPr>
          <w:rFonts w:cs="Arial"/>
          <w:b/>
        </w:rPr>
      </w:pPr>
    </w:p>
    <w:p w14:paraId="36A91906" w14:textId="77777777" w:rsidR="00B01EE7" w:rsidRDefault="00B01EE7" w:rsidP="00B01EE7">
      <w:pPr>
        <w:spacing w:after="0"/>
        <w:rPr>
          <w:rFonts w:cs="Arial"/>
          <w:b/>
        </w:rPr>
      </w:pPr>
    </w:p>
    <w:p w14:paraId="1031CD3B" w14:textId="77777777" w:rsidR="00B01EE7" w:rsidRDefault="00B01EE7" w:rsidP="00B01EE7">
      <w:pPr>
        <w:spacing w:after="0"/>
        <w:rPr>
          <w:rFonts w:cs="Arial"/>
          <w:b/>
        </w:rPr>
      </w:pPr>
    </w:p>
    <w:p w14:paraId="619AFFF0" w14:textId="77777777" w:rsidR="00B01EE7" w:rsidRDefault="00B01EE7" w:rsidP="00B01EE7">
      <w:pPr>
        <w:spacing w:after="0"/>
        <w:rPr>
          <w:rFonts w:cs="Arial"/>
          <w:b/>
        </w:rPr>
      </w:pPr>
    </w:p>
    <w:p w14:paraId="12597A2C" w14:textId="77777777" w:rsidR="00B01EE7" w:rsidRDefault="00B01EE7" w:rsidP="00B01EE7">
      <w:pPr>
        <w:spacing w:after="0"/>
        <w:rPr>
          <w:rFonts w:cs="Arial"/>
          <w:b/>
        </w:rPr>
      </w:pPr>
    </w:p>
    <w:p w14:paraId="0DB0B79D" w14:textId="77777777" w:rsidR="00B01EE7" w:rsidRDefault="00B01EE7" w:rsidP="00B01EE7">
      <w:pPr>
        <w:spacing w:after="0"/>
        <w:rPr>
          <w:rFonts w:cs="Arial"/>
          <w:b/>
        </w:rPr>
      </w:pPr>
    </w:p>
    <w:p w14:paraId="4F80BC67" w14:textId="77777777" w:rsidR="00B01EE7" w:rsidRDefault="00B01EE7" w:rsidP="00B01EE7">
      <w:pPr>
        <w:spacing w:after="0"/>
        <w:rPr>
          <w:rFonts w:cs="Arial"/>
          <w:b/>
        </w:rPr>
      </w:pPr>
    </w:p>
    <w:p w14:paraId="18C8A85E" w14:textId="77777777" w:rsidR="00B01EE7" w:rsidRDefault="00B01EE7" w:rsidP="00B01EE7">
      <w:pPr>
        <w:spacing w:after="0"/>
        <w:rPr>
          <w:rFonts w:cs="Arial"/>
          <w:b/>
        </w:rPr>
      </w:pPr>
    </w:p>
    <w:p w14:paraId="64EFD5AB" w14:textId="77777777" w:rsidR="00B01EE7" w:rsidRDefault="00B01EE7" w:rsidP="00B01EE7">
      <w:pPr>
        <w:spacing w:after="0"/>
        <w:rPr>
          <w:rFonts w:cs="Arial"/>
          <w:b/>
        </w:rPr>
      </w:pPr>
    </w:p>
    <w:p w14:paraId="5FE4F1D0" w14:textId="77777777" w:rsidR="00B01EE7" w:rsidRDefault="00B01EE7" w:rsidP="00B01EE7">
      <w:pPr>
        <w:spacing w:after="0"/>
        <w:rPr>
          <w:rFonts w:cs="Arial"/>
          <w:b/>
        </w:rPr>
      </w:pPr>
    </w:p>
    <w:p w14:paraId="6D1D9998" w14:textId="77777777" w:rsidR="00B01EE7" w:rsidRDefault="00B01EE7" w:rsidP="00B01EE7">
      <w:pPr>
        <w:spacing w:after="0"/>
        <w:rPr>
          <w:rFonts w:cs="Arial"/>
          <w:b/>
        </w:rPr>
      </w:pPr>
    </w:p>
    <w:p w14:paraId="239A3EAD" w14:textId="77777777" w:rsidR="00B01EE7" w:rsidRDefault="00B01EE7" w:rsidP="00B01EE7">
      <w:pPr>
        <w:spacing w:after="0"/>
        <w:rPr>
          <w:rFonts w:cs="Arial"/>
          <w:b/>
        </w:rPr>
      </w:pPr>
    </w:p>
    <w:p w14:paraId="6F634065" w14:textId="77777777" w:rsidR="00B01EE7" w:rsidRDefault="00B01EE7" w:rsidP="00B01EE7">
      <w:pPr>
        <w:spacing w:after="0"/>
        <w:rPr>
          <w:rFonts w:cs="Arial"/>
          <w:b/>
        </w:rPr>
      </w:pPr>
    </w:p>
    <w:p w14:paraId="4DAA62D1" w14:textId="77777777" w:rsidR="00B01EE7" w:rsidRDefault="00B01EE7" w:rsidP="00B01EE7">
      <w:pPr>
        <w:spacing w:after="0"/>
        <w:rPr>
          <w:rFonts w:cs="Arial"/>
          <w:b/>
        </w:rPr>
      </w:pPr>
    </w:p>
    <w:p w14:paraId="1C9DDD25" w14:textId="77777777" w:rsidR="00B01EE7" w:rsidRDefault="00B01EE7" w:rsidP="00B01EE7">
      <w:pPr>
        <w:spacing w:after="0"/>
        <w:rPr>
          <w:rFonts w:cs="Arial"/>
          <w:b/>
        </w:rPr>
      </w:pPr>
    </w:p>
    <w:p w14:paraId="6F399986" w14:textId="77777777" w:rsidR="00B01EE7" w:rsidRDefault="00B01EE7" w:rsidP="00B01EE7">
      <w:pPr>
        <w:spacing w:after="0"/>
        <w:rPr>
          <w:rFonts w:cs="Arial"/>
          <w:b/>
        </w:rPr>
      </w:pPr>
    </w:p>
    <w:p w14:paraId="0FC395A8" w14:textId="77777777" w:rsidR="00B01EE7" w:rsidRDefault="00B01EE7" w:rsidP="00B01EE7">
      <w:pPr>
        <w:spacing w:after="0"/>
        <w:rPr>
          <w:rFonts w:cs="Arial"/>
          <w:b/>
        </w:rPr>
      </w:pPr>
    </w:p>
    <w:p w14:paraId="5D50F7C4" w14:textId="77777777" w:rsidR="00B01EE7" w:rsidRDefault="00B01EE7" w:rsidP="00B01EE7">
      <w:pPr>
        <w:spacing w:after="0"/>
        <w:rPr>
          <w:rFonts w:cs="Arial"/>
          <w:b/>
        </w:rPr>
      </w:pPr>
    </w:p>
    <w:p w14:paraId="063DFAB7" w14:textId="77777777" w:rsidR="00B01EE7" w:rsidRDefault="00B01EE7" w:rsidP="00B01EE7">
      <w:pPr>
        <w:spacing w:after="0"/>
        <w:rPr>
          <w:rFonts w:cs="Arial"/>
          <w:b/>
        </w:rPr>
      </w:pPr>
    </w:p>
    <w:p w14:paraId="12C7F029" w14:textId="77777777" w:rsidR="00B01EE7" w:rsidRDefault="00B01EE7" w:rsidP="00B01EE7">
      <w:pPr>
        <w:spacing w:after="0"/>
        <w:rPr>
          <w:rFonts w:cs="Arial"/>
          <w:b/>
        </w:rPr>
      </w:pPr>
    </w:p>
    <w:p w14:paraId="1B5518C8" w14:textId="77777777" w:rsidR="00B01EE7" w:rsidRDefault="00B01EE7" w:rsidP="00B01EE7">
      <w:pPr>
        <w:spacing w:after="0"/>
        <w:rPr>
          <w:rFonts w:cs="Arial"/>
          <w:b/>
        </w:rPr>
      </w:pPr>
    </w:p>
    <w:p w14:paraId="2AA479DD" w14:textId="77777777" w:rsidR="00B01EE7" w:rsidRDefault="00B01EE7" w:rsidP="00B01EE7">
      <w:pPr>
        <w:spacing w:after="0"/>
        <w:rPr>
          <w:rFonts w:cs="Arial"/>
          <w:b/>
        </w:rPr>
      </w:pPr>
    </w:p>
    <w:p w14:paraId="02E3D886" w14:textId="77777777" w:rsidR="00B01EE7" w:rsidRDefault="00B01EE7" w:rsidP="00B01EE7">
      <w:pPr>
        <w:spacing w:after="0"/>
        <w:rPr>
          <w:rFonts w:cs="Arial"/>
          <w:b/>
        </w:rPr>
      </w:pPr>
    </w:p>
    <w:p w14:paraId="79F639DC" w14:textId="77777777" w:rsidR="00B01EE7" w:rsidRDefault="00B01EE7" w:rsidP="00B01EE7">
      <w:pPr>
        <w:spacing w:after="0"/>
        <w:rPr>
          <w:rFonts w:cs="Arial"/>
          <w:b/>
        </w:rPr>
      </w:pPr>
    </w:p>
    <w:p w14:paraId="76169B11" w14:textId="77777777" w:rsidR="00B01EE7" w:rsidRDefault="00B01EE7" w:rsidP="00B01EE7">
      <w:pPr>
        <w:spacing w:after="0"/>
        <w:rPr>
          <w:rFonts w:cs="Arial"/>
          <w:b/>
        </w:rPr>
      </w:pPr>
    </w:p>
    <w:p w14:paraId="45D07CF5" w14:textId="77777777" w:rsidR="00B01EE7" w:rsidRDefault="00B01EE7" w:rsidP="00B01EE7">
      <w:pPr>
        <w:spacing w:line="280" w:lineRule="atLeast"/>
        <w:rPr>
          <w:rFonts w:cs="Arial"/>
          <w:b/>
        </w:rPr>
      </w:pPr>
    </w:p>
    <w:p w14:paraId="18EB4F36" w14:textId="77777777" w:rsidR="00B01EE7" w:rsidRDefault="00B01EE7" w:rsidP="00B01EE7">
      <w:pPr>
        <w:spacing w:line="280" w:lineRule="atLeast"/>
        <w:rPr>
          <w:rFonts w:cs="Arial"/>
          <w:b/>
        </w:rPr>
      </w:pPr>
    </w:p>
    <w:p w14:paraId="443E6018" w14:textId="77777777" w:rsidR="00B01EE7" w:rsidRDefault="00B01EE7" w:rsidP="00B01EE7">
      <w:pPr>
        <w:spacing w:line="280" w:lineRule="atLeast"/>
        <w:rPr>
          <w:rFonts w:cs="Arial"/>
          <w:b/>
        </w:rPr>
      </w:pPr>
    </w:p>
    <w:p w14:paraId="257BEB9F" w14:textId="77777777" w:rsidR="00B01EE7" w:rsidRDefault="00B01EE7" w:rsidP="00B01EE7">
      <w:pPr>
        <w:spacing w:line="280" w:lineRule="atLeast"/>
        <w:rPr>
          <w:rFonts w:cs="Arial"/>
          <w:b/>
        </w:rPr>
      </w:pPr>
    </w:p>
    <w:p w14:paraId="23913F70" w14:textId="77777777" w:rsidR="00B01EE7" w:rsidRDefault="00B01EE7" w:rsidP="00B01EE7">
      <w:pPr>
        <w:spacing w:line="280" w:lineRule="atLeast"/>
        <w:rPr>
          <w:rFonts w:cs="Arial"/>
          <w:b/>
        </w:rPr>
      </w:pPr>
    </w:p>
    <w:p w14:paraId="00AD09B1" w14:textId="77777777" w:rsidR="00B01EE7" w:rsidRDefault="00B01EE7" w:rsidP="00B01EE7">
      <w:pPr>
        <w:spacing w:line="280" w:lineRule="atLeast"/>
        <w:rPr>
          <w:rFonts w:cs="Arial"/>
          <w:b/>
        </w:rPr>
      </w:pPr>
    </w:p>
    <w:p w14:paraId="4692CA4C" w14:textId="77777777" w:rsidR="00B01EE7" w:rsidRDefault="00B01EE7" w:rsidP="00B01EE7">
      <w:pPr>
        <w:spacing w:line="280" w:lineRule="atLeast"/>
        <w:rPr>
          <w:rFonts w:cs="Arial"/>
          <w:b/>
        </w:rPr>
      </w:pPr>
    </w:p>
    <w:p w14:paraId="0B3016FC" w14:textId="77777777" w:rsidR="00B01EE7" w:rsidRDefault="00B01EE7" w:rsidP="00B01EE7">
      <w:pPr>
        <w:spacing w:line="280" w:lineRule="atLeast"/>
        <w:rPr>
          <w:rFonts w:cs="Arial"/>
          <w:b/>
        </w:rPr>
      </w:pPr>
    </w:p>
    <w:p w14:paraId="5C47CC8A" w14:textId="760D8ADD" w:rsidR="00B01EE7" w:rsidRPr="002879A7" w:rsidRDefault="00B01EE7" w:rsidP="00B01EE7">
      <w:pPr>
        <w:spacing w:line="280" w:lineRule="atLeast"/>
        <w:rPr>
          <w:rFonts w:cs="Arial"/>
          <w:b/>
        </w:rPr>
      </w:pPr>
      <w:commentRangeStart w:id="3"/>
      <w:r>
        <w:rPr>
          <w:rFonts w:cs="Arial"/>
          <w:b/>
        </w:rPr>
        <w:t>DI</w:t>
      </w:r>
      <w:r w:rsidRPr="002879A7">
        <w:rPr>
          <w:rFonts w:cs="Arial"/>
          <w:b/>
        </w:rPr>
        <w:t>SCLAIMER</w:t>
      </w:r>
      <w:commentRangeEnd w:id="3"/>
      <w:r w:rsidR="006A0F8B">
        <w:rPr>
          <w:rStyle w:val="CommentReference"/>
          <w:rFonts w:ascii="Calibri" w:hAnsi="Calibri"/>
          <w:lang w:eastAsia="hr-HR"/>
        </w:rPr>
        <w:commentReference w:id="3"/>
      </w:r>
    </w:p>
    <w:p w14:paraId="497EC397" w14:textId="3122DF9A" w:rsidR="00B01EE7" w:rsidRPr="00E86937" w:rsidRDefault="00B01EE7" w:rsidP="00B01EE7">
      <w:pPr>
        <w:tabs>
          <w:tab w:val="left" w:pos="972"/>
        </w:tabs>
        <w:spacing w:after="0" w:line="280" w:lineRule="atLeast"/>
        <w:rPr>
          <w:rFonts w:cs="Arial"/>
          <w:sz w:val="20"/>
          <w:szCs w:val="20"/>
        </w:rPr>
      </w:pPr>
      <w:r w:rsidRPr="00E86937">
        <w:rPr>
          <w:rFonts w:cs="Arial"/>
          <w:sz w:val="20"/>
          <w:szCs w:val="20"/>
        </w:rPr>
        <w:t>This document has been prepared by Deloitte &amp; Touche, LLP (Deloitte) for the U.S. Department of State (State) under a contract between Deloitte and State.</w:t>
      </w:r>
      <w:r w:rsidR="005D4831">
        <w:rPr>
          <w:rFonts w:cs="Arial"/>
          <w:sz w:val="20"/>
          <w:szCs w:val="20"/>
        </w:rPr>
        <w:t xml:space="preserve"> </w:t>
      </w:r>
      <w:r w:rsidRPr="00E86937">
        <w:rPr>
          <w:rFonts w:cs="Arial"/>
          <w:sz w:val="20"/>
          <w:szCs w:val="20"/>
        </w:rPr>
        <w:t xml:space="preserve"> This document does not necessarily reflect the views of the Department of State or the United States </w:t>
      </w:r>
      <w:r w:rsidR="006E4B47">
        <w:rPr>
          <w:rFonts w:cs="Arial"/>
          <w:sz w:val="20"/>
          <w:szCs w:val="20"/>
        </w:rPr>
        <w:t>G</w:t>
      </w:r>
      <w:r w:rsidRPr="00E86937">
        <w:rPr>
          <w:rFonts w:cs="Arial"/>
          <w:sz w:val="20"/>
          <w:szCs w:val="20"/>
        </w:rPr>
        <w:t xml:space="preserve">overnment.  Information provided by </w:t>
      </w:r>
      <w:proofErr w:type="gramStart"/>
      <w:r w:rsidRPr="00E86937">
        <w:rPr>
          <w:rFonts w:cs="Arial"/>
          <w:sz w:val="20"/>
          <w:szCs w:val="20"/>
        </w:rPr>
        <w:t>State</w:t>
      </w:r>
      <w:proofErr w:type="gramEnd"/>
      <w:r w:rsidRPr="00E86937">
        <w:rPr>
          <w:rFonts w:cs="Arial"/>
          <w:sz w:val="20"/>
          <w:szCs w:val="20"/>
        </w:rPr>
        <w:t xml:space="preserve"> and third parties may have been used in the preparation of this document but was not independently verified by Deloitte. </w:t>
      </w:r>
      <w:r w:rsidR="005D4831">
        <w:rPr>
          <w:rFonts w:cs="Arial"/>
          <w:sz w:val="20"/>
          <w:szCs w:val="20"/>
        </w:rPr>
        <w:t xml:space="preserve"> </w:t>
      </w:r>
      <w:r w:rsidRPr="00E86937">
        <w:rPr>
          <w:rFonts w:cs="Arial"/>
          <w:sz w:val="20"/>
          <w:szCs w:val="20"/>
        </w:rPr>
        <w:t xml:space="preserve">The document may be provided to third parties for informational purposes only and shall not be relied upon by third parties as </w:t>
      </w:r>
      <w:proofErr w:type="gramStart"/>
      <w:r w:rsidRPr="00E86937">
        <w:rPr>
          <w:rFonts w:cs="Arial"/>
          <w:sz w:val="20"/>
          <w:szCs w:val="20"/>
        </w:rPr>
        <w:t>a specific</w:t>
      </w:r>
      <w:proofErr w:type="gramEnd"/>
      <w:r w:rsidRPr="00E86937">
        <w:rPr>
          <w:rFonts w:cs="Arial"/>
          <w:sz w:val="20"/>
          <w:szCs w:val="20"/>
        </w:rPr>
        <w:t xml:space="preserve"> professional advice or recommendation. </w:t>
      </w:r>
      <w:r w:rsidR="005D4831">
        <w:rPr>
          <w:rFonts w:cs="Arial"/>
          <w:sz w:val="20"/>
          <w:szCs w:val="20"/>
        </w:rPr>
        <w:t xml:space="preserve"> </w:t>
      </w:r>
      <w:r w:rsidRPr="00E86937">
        <w:rPr>
          <w:rFonts w:cs="Arial"/>
          <w:sz w:val="20"/>
          <w:szCs w:val="20"/>
        </w:rPr>
        <w:t>Neither Deloitte nor its affiliates or related entities shall be responsible for any loss whatsoever sustained by any party who relies on any information included in this document.</w:t>
      </w:r>
    </w:p>
    <w:p w14:paraId="1F22628E" w14:textId="77777777" w:rsidR="00B01EE7" w:rsidRPr="00743641" w:rsidRDefault="00B01EE7" w:rsidP="00B01EE7">
      <w:pPr>
        <w:pStyle w:val="Title"/>
        <w:spacing w:after="120"/>
        <w:rPr>
          <w:rFonts w:ascii="Arial" w:hAnsi="Arial" w:cs="Arial"/>
          <w:b/>
          <w:color w:val="001D58" w:themeColor="accent1" w:themeShade="BF"/>
        </w:rPr>
      </w:pPr>
      <w:bookmarkStart w:id="4" w:name="_Toc346009075"/>
      <w:bookmarkEnd w:id="0"/>
      <w:commentRangeStart w:id="5"/>
      <w:r w:rsidRPr="00743641">
        <w:rPr>
          <w:rFonts w:ascii="Arial" w:hAnsi="Arial" w:cs="Arial"/>
          <w:color w:val="001D58" w:themeColor="accent1" w:themeShade="BF"/>
        </w:rPr>
        <w:t>Table of Contents</w:t>
      </w:r>
      <w:commentRangeEnd w:id="5"/>
      <w:r w:rsidR="00D25400">
        <w:rPr>
          <w:rStyle w:val="CommentReference"/>
          <w:rFonts w:ascii="Calibri" w:hAnsi="Calibri"/>
        </w:rPr>
        <w:commentReference w:id="5"/>
      </w:r>
    </w:p>
    <w:p w14:paraId="3027894F" w14:textId="651DCC45" w:rsidR="00524269" w:rsidRDefault="00A14F31">
      <w:pPr>
        <w:pStyle w:val="TOC1"/>
        <w:rPr>
          <w:rFonts w:asciiTheme="minorHAnsi" w:eastAsiaTheme="minorEastAsia" w:hAnsiTheme="minorHAnsi" w:cstheme="minorBidi"/>
          <w:b w:val="0"/>
          <w:bCs w:val="0"/>
          <w:color w:val="auto"/>
          <w:kern w:val="2"/>
          <w:sz w:val="24"/>
          <w:szCs w:val="24"/>
          <w:lang w:eastAsia="en-US"/>
          <w14:ligatures w14:val="standardContextual"/>
        </w:rPr>
      </w:pPr>
      <w:r>
        <w:rPr>
          <w:rFonts w:ascii="Arial Bold" w:hAnsi="Arial Bold" w:cs="Calibri"/>
          <w:szCs w:val="20"/>
        </w:rPr>
        <w:fldChar w:fldCharType="begin"/>
      </w:r>
      <w:r>
        <w:rPr>
          <w:rFonts w:ascii="Arial Bold" w:hAnsi="Arial Bold" w:cs="Calibri"/>
          <w:szCs w:val="20"/>
        </w:rPr>
        <w:instrText xml:space="preserve"> TOC \o "1-2" \h \z \u </w:instrText>
      </w:r>
      <w:r>
        <w:rPr>
          <w:rFonts w:ascii="Arial Bold" w:hAnsi="Arial Bold" w:cs="Calibri"/>
          <w:szCs w:val="20"/>
        </w:rPr>
        <w:fldChar w:fldCharType="separate"/>
      </w:r>
      <w:hyperlink w:anchor="_Toc185235888" w:history="1">
        <w:r w:rsidR="00524269" w:rsidRPr="0058769E">
          <w:rPr>
            <w:rStyle w:val="Hyperlink"/>
          </w:rPr>
          <w:t>1.</w:t>
        </w:r>
        <w:r w:rsidR="00524269">
          <w:rPr>
            <w:rFonts w:asciiTheme="minorHAnsi" w:eastAsiaTheme="minorEastAsia" w:hAnsiTheme="minorHAnsi" w:cstheme="minorBidi"/>
            <w:b w:val="0"/>
            <w:bCs w:val="0"/>
            <w:color w:val="auto"/>
            <w:kern w:val="2"/>
            <w:sz w:val="24"/>
            <w:szCs w:val="24"/>
            <w:lang w:eastAsia="en-US"/>
            <w14:ligatures w14:val="standardContextual"/>
          </w:rPr>
          <w:tab/>
        </w:r>
        <w:r w:rsidR="00524269" w:rsidRPr="0058769E">
          <w:rPr>
            <w:rStyle w:val="Hyperlink"/>
          </w:rPr>
          <w:t>Introduction</w:t>
        </w:r>
        <w:r w:rsidR="00524269">
          <w:rPr>
            <w:webHidden/>
          </w:rPr>
          <w:tab/>
        </w:r>
        <w:r w:rsidR="00524269">
          <w:rPr>
            <w:webHidden/>
          </w:rPr>
          <w:fldChar w:fldCharType="begin"/>
        </w:r>
        <w:r w:rsidR="00524269">
          <w:rPr>
            <w:webHidden/>
          </w:rPr>
          <w:instrText xml:space="preserve"> PAGEREF _Toc185235888 \h </w:instrText>
        </w:r>
        <w:r w:rsidR="00524269">
          <w:rPr>
            <w:webHidden/>
          </w:rPr>
        </w:r>
        <w:r w:rsidR="00524269">
          <w:rPr>
            <w:webHidden/>
          </w:rPr>
          <w:fldChar w:fldCharType="separate"/>
        </w:r>
        <w:r w:rsidR="00524269">
          <w:rPr>
            <w:webHidden/>
          </w:rPr>
          <w:t>1</w:t>
        </w:r>
        <w:r w:rsidR="00524269">
          <w:rPr>
            <w:webHidden/>
          </w:rPr>
          <w:fldChar w:fldCharType="end"/>
        </w:r>
      </w:hyperlink>
    </w:p>
    <w:p w14:paraId="77CB57CA" w14:textId="48B27B90"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89" w:history="1">
        <w:r w:rsidRPr="0058769E">
          <w:rPr>
            <w:rStyle w:val="Hyperlink"/>
            <w:noProof/>
          </w:rPr>
          <w:t>1.1</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Background - context and need for the study</w:t>
        </w:r>
        <w:r>
          <w:rPr>
            <w:noProof/>
            <w:webHidden/>
          </w:rPr>
          <w:tab/>
        </w:r>
        <w:r>
          <w:rPr>
            <w:noProof/>
            <w:webHidden/>
          </w:rPr>
          <w:fldChar w:fldCharType="begin"/>
        </w:r>
        <w:r>
          <w:rPr>
            <w:noProof/>
            <w:webHidden/>
          </w:rPr>
          <w:instrText xml:space="preserve"> PAGEREF _Toc185235889 \h </w:instrText>
        </w:r>
        <w:r>
          <w:rPr>
            <w:noProof/>
            <w:webHidden/>
          </w:rPr>
        </w:r>
        <w:r>
          <w:rPr>
            <w:noProof/>
            <w:webHidden/>
          </w:rPr>
          <w:fldChar w:fldCharType="separate"/>
        </w:r>
        <w:r>
          <w:rPr>
            <w:noProof/>
            <w:webHidden/>
          </w:rPr>
          <w:t>1</w:t>
        </w:r>
        <w:r>
          <w:rPr>
            <w:noProof/>
            <w:webHidden/>
          </w:rPr>
          <w:fldChar w:fldCharType="end"/>
        </w:r>
      </w:hyperlink>
    </w:p>
    <w:p w14:paraId="4EF3D425" w14:textId="7E25213F"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90" w:history="1">
        <w:r w:rsidRPr="0058769E">
          <w:rPr>
            <w:rStyle w:val="Hyperlink"/>
            <w:noProof/>
          </w:rPr>
          <w:t>1.2</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Our Approach for the study</w:t>
        </w:r>
        <w:r>
          <w:rPr>
            <w:noProof/>
            <w:webHidden/>
          </w:rPr>
          <w:tab/>
        </w:r>
        <w:r>
          <w:rPr>
            <w:noProof/>
            <w:webHidden/>
          </w:rPr>
          <w:fldChar w:fldCharType="begin"/>
        </w:r>
        <w:r>
          <w:rPr>
            <w:noProof/>
            <w:webHidden/>
          </w:rPr>
          <w:instrText xml:space="preserve"> PAGEREF _Toc185235890 \h </w:instrText>
        </w:r>
        <w:r>
          <w:rPr>
            <w:noProof/>
            <w:webHidden/>
          </w:rPr>
        </w:r>
        <w:r>
          <w:rPr>
            <w:noProof/>
            <w:webHidden/>
          </w:rPr>
          <w:fldChar w:fldCharType="separate"/>
        </w:r>
        <w:r>
          <w:rPr>
            <w:noProof/>
            <w:webHidden/>
          </w:rPr>
          <w:t>1</w:t>
        </w:r>
        <w:r>
          <w:rPr>
            <w:noProof/>
            <w:webHidden/>
          </w:rPr>
          <w:fldChar w:fldCharType="end"/>
        </w:r>
      </w:hyperlink>
    </w:p>
    <w:p w14:paraId="7B1E81B4" w14:textId="3443492D" w:rsidR="00524269" w:rsidRDefault="00524269">
      <w:pPr>
        <w:pStyle w:val="TOC1"/>
        <w:rPr>
          <w:rFonts w:asciiTheme="minorHAnsi" w:eastAsiaTheme="minorEastAsia" w:hAnsiTheme="minorHAnsi" w:cstheme="minorBidi"/>
          <w:b w:val="0"/>
          <w:bCs w:val="0"/>
          <w:color w:val="auto"/>
          <w:kern w:val="2"/>
          <w:sz w:val="24"/>
          <w:szCs w:val="24"/>
          <w:lang w:eastAsia="en-US"/>
          <w14:ligatures w14:val="standardContextual"/>
        </w:rPr>
      </w:pPr>
      <w:hyperlink w:anchor="_Toc185235891" w:history="1">
        <w:r w:rsidRPr="0058769E">
          <w:rPr>
            <w:rStyle w:val="Hyperlink"/>
          </w:rPr>
          <w:t>2.</w:t>
        </w:r>
        <w:r>
          <w:rPr>
            <w:rFonts w:asciiTheme="minorHAnsi" w:eastAsiaTheme="minorEastAsia" w:hAnsiTheme="minorHAnsi" w:cstheme="minorBidi"/>
            <w:b w:val="0"/>
            <w:bCs w:val="0"/>
            <w:color w:val="auto"/>
            <w:kern w:val="2"/>
            <w:sz w:val="24"/>
            <w:szCs w:val="24"/>
            <w:lang w:eastAsia="en-US"/>
            <w14:ligatures w14:val="standardContextual"/>
          </w:rPr>
          <w:tab/>
        </w:r>
        <w:r w:rsidRPr="0058769E">
          <w:rPr>
            <w:rStyle w:val="Hyperlink"/>
          </w:rPr>
          <w:t>Power Market in the BBINS</w:t>
        </w:r>
        <w:r>
          <w:rPr>
            <w:webHidden/>
          </w:rPr>
          <w:tab/>
        </w:r>
        <w:r>
          <w:rPr>
            <w:webHidden/>
          </w:rPr>
          <w:fldChar w:fldCharType="begin"/>
        </w:r>
        <w:r>
          <w:rPr>
            <w:webHidden/>
          </w:rPr>
          <w:instrText xml:space="preserve"> PAGEREF _Toc185235891 \h </w:instrText>
        </w:r>
        <w:r>
          <w:rPr>
            <w:webHidden/>
          </w:rPr>
        </w:r>
        <w:r>
          <w:rPr>
            <w:webHidden/>
          </w:rPr>
          <w:fldChar w:fldCharType="separate"/>
        </w:r>
        <w:r>
          <w:rPr>
            <w:webHidden/>
          </w:rPr>
          <w:t>2</w:t>
        </w:r>
        <w:r>
          <w:rPr>
            <w:webHidden/>
          </w:rPr>
          <w:fldChar w:fldCharType="end"/>
        </w:r>
      </w:hyperlink>
    </w:p>
    <w:p w14:paraId="5C62D6AB" w14:textId="58BFD17A"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92" w:history="1">
        <w:r w:rsidRPr="0058769E">
          <w:rPr>
            <w:rStyle w:val="Hyperlink"/>
            <w:noProof/>
          </w:rPr>
          <w:t>2.1</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Status</w:t>
        </w:r>
        <w:r>
          <w:rPr>
            <w:noProof/>
            <w:webHidden/>
          </w:rPr>
          <w:tab/>
        </w:r>
        <w:r>
          <w:rPr>
            <w:noProof/>
            <w:webHidden/>
          </w:rPr>
          <w:fldChar w:fldCharType="begin"/>
        </w:r>
        <w:r>
          <w:rPr>
            <w:noProof/>
            <w:webHidden/>
          </w:rPr>
          <w:instrText xml:space="preserve"> PAGEREF _Toc185235892 \h </w:instrText>
        </w:r>
        <w:r>
          <w:rPr>
            <w:noProof/>
            <w:webHidden/>
          </w:rPr>
        </w:r>
        <w:r>
          <w:rPr>
            <w:noProof/>
            <w:webHidden/>
          </w:rPr>
          <w:fldChar w:fldCharType="separate"/>
        </w:r>
        <w:r>
          <w:rPr>
            <w:noProof/>
            <w:webHidden/>
          </w:rPr>
          <w:t>2</w:t>
        </w:r>
        <w:r>
          <w:rPr>
            <w:noProof/>
            <w:webHidden/>
          </w:rPr>
          <w:fldChar w:fldCharType="end"/>
        </w:r>
      </w:hyperlink>
    </w:p>
    <w:p w14:paraId="56D236C3" w14:textId="523ABDA4"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93" w:history="1">
        <w:r w:rsidRPr="0058769E">
          <w:rPr>
            <w:rStyle w:val="Hyperlink"/>
            <w:noProof/>
          </w:rPr>
          <w:t>2.2</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Regulatory Landscape</w:t>
        </w:r>
        <w:r>
          <w:rPr>
            <w:noProof/>
            <w:webHidden/>
          </w:rPr>
          <w:tab/>
        </w:r>
        <w:r>
          <w:rPr>
            <w:noProof/>
            <w:webHidden/>
          </w:rPr>
          <w:fldChar w:fldCharType="begin"/>
        </w:r>
        <w:r>
          <w:rPr>
            <w:noProof/>
            <w:webHidden/>
          </w:rPr>
          <w:instrText xml:space="preserve"> PAGEREF _Toc185235893 \h </w:instrText>
        </w:r>
        <w:r>
          <w:rPr>
            <w:noProof/>
            <w:webHidden/>
          </w:rPr>
        </w:r>
        <w:r>
          <w:rPr>
            <w:noProof/>
            <w:webHidden/>
          </w:rPr>
          <w:fldChar w:fldCharType="separate"/>
        </w:r>
        <w:r>
          <w:rPr>
            <w:noProof/>
            <w:webHidden/>
          </w:rPr>
          <w:t>11</w:t>
        </w:r>
        <w:r>
          <w:rPr>
            <w:noProof/>
            <w:webHidden/>
          </w:rPr>
          <w:fldChar w:fldCharType="end"/>
        </w:r>
      </w:hyperlink>
    </w:p>
    <w:p w14:paraId="598BAC1B" w14:textId="321AC7A6"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94" w:history="1">
        <w:r w:rsidRPr="0058769E">
          <w:rPr>
            <w:rStyle w:val="Hyperlink"/>
            <w:noProof/>
          </w:rPr>
          <w:t>2.3</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Type of Multilateral Trading Models</w:t>
        </w:r>
        <w:r>
          <w:rPr>
            <w:noProof/>
            <w:webHidden/>
          </w:rPr>
          <w:tab/>
        </w:r>
        <w:r>
          <w:rPr>
            <w:noProof/>
            <w:webHidden/>
          </w:rPr>
          <w:fldChar w:fldCharType="begin"/>
        </w:r>
        <w:r>
          <w:rPr>
            <w:noProof/>
            <w:webHidden/>
          </w:rPr>
          <w:instrText xml:space="preserve"> PAGEREF _Toc185235894 \h </w:instrText>
        </w:r>
        <w:r>
          <w:rPr>
            <w:noProof/>
            <w:webHidden/>
          </w:rPr>
        </w:r>
        <w:r>
          <w:rPr>
            <w:noProof/>
            <w:webHidden/>
          </w:rPr>
          <w:fldChar w:fldCharType="separate"/>
        </w:r>
        <w:r>
          <w:rPr>
            <w:noProof/>
            <w:webHidden/>
          </w:rPr>
          <w:t>13</w:t>
        </w:r>
        <w:r>
          <w:rPr>
            <w:noProof/>
            <w:webHidden/>
          </w:rPr>
          <w:fldChar w:fldCharType="end"/>
        </w:r>
      </w:hyperlink>
    </w:p>
    <w:p w14:paraId="5E567CC5" w14:textId="3F938F7D" w:rsidR="00524269" w:rsidRDefault="00524269">
      <w:pPr>
        <w:pStyle w:val="TOC1"/>
        <w:rPr>
          <w:rFonts w:asciiTheme="minorHAnsi" w:eastAsiaTheme="minorEastAsia" w:hAnsiTheme="minorHAnsi" w:cstheme="minorBidi"/>
          <w:b w:val="0"/>
          <w:bCs w:val="0"/>
          <w:color w:val="auto"/>
          <w:kern w:val="2"/>
          <w:sz w:val="24"/>
          <w:szCs w:val="24"/>
          <w:lang w:eastAsia="en-US"/>
          <w14:ligatures w14:val="standardContextual"/>
        </w:rPr>
      </w:pPr>
      <w:hyperlink w:anchor="_Toc185235895" w:history="1">
        <w:r w:rsidRPr="0058769E">
          <w:rPr>
            <w:rStyle w:val="Hyperlink"/>
          </w:rPr>
          <w:t>3.</w:t>
        </w:r>
        <w:r>
          <w:rPr>
            <w:rFonts w:asciiTheme="minorHAnsi" w:eastAsiaTheme="minorEastAsia" w:hAnsiTheme="minorHAnsi" w:cstheme="minorBidi"/>
            <w:b w:val="0"/>
            <w:bCs w:val="0"/>
            <w:color w:val="auto"/>
            <w:kern w:val="2"/>
            <w:sz w:val="24"/>
            <w:szCs w:val="24"/>
            <w:lang w:eastAsia="en-US"/>
            <w14:ligatures w14:val="standardContextual"/>
          </w:rPr>
          <w:tab/>
        </w:r>
        <w:r w:rsidRPr="0058769E">
          <w:rPr>
            <w:rStyle w:val="Hyperlink"/>
          </w:rPr>
          <w:t>Minimum requirements for regional power market integration</w:t>
        </w:r>
        <w:r>
          <w:rPr>
            <w:webHidden/>
          </w:rPr>
          <w:tab/>
        </w:r>
        <w:r>
          <w:rPr>
            <w:webHidden/>
          </w:rPr>
          <w:fldChar w:fldCharType="begin"/>
        </w:r>
        <w:r>
          <w:rPr>
            <w:webHidden/>
          </w:rPr>
          <w:instrText xml:space="preserve"> PAGEREF _Toc185235895 \h </w:instrText>
        </w:r>
        <w:r>
          <w:rPr>
            <w:webHidden/>
          </w:rPr>
        </w:r>
        <w:r>
          <w:rPr>
            <w:webHidden/>
          </w:rPr>
          <w:fldChar w:fldCharType="separate"/>
        </w:r>
        <w:r>
          <w:rPr>
            <w:webHidden/>
          </w:rPr>
          <w:t>17</w:t>
        </w:r>
        <w:r>
          <w:rPr>
            <w:webHidden/>
          </w:rPr>
          <w:fldChar w:fldCharType="end"/>
        </w:r>
      </w:hyperlink>
    </w:p>
    <w:p w14:paraId="36FD8029" w14:textId="4908EFE2"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96" w:history="1">
        <w:r w:rsidRPr="0058769E">
          <w:rPr>
            <w:rStyle w:val="Hyperlink"/>
            <w:noProof/>
          </w:rPr>
          <w:t>3.1</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Political</w:t>
        </w:r>
        <w:r>
          <w:rPr>
            <w:noProof/>
            <w:webHidden/>
          </w:rPr>
          <w:tab/>
        </w:r>
        <w:r>
          <w:rPr>
            <w:noProof/>
            <w:webHidden/>
          </w:rPr>
          <w:fldChar w:fldCharType="begin"/>
        </w:r>
        <w:r>
          <w:rPr>
            <w:noProof/>
            <w:webHidden/>
          </w:rPr>
          <w:instrText xml:space="preserve"> PAGEREF _Toc185235896 \h </w:instrText>
        </w:r>
        <w:r>
          <w:rPr>
            <w:noProof/>
            <w:webHidden/>
          </w:rPr>
        </w:r>
        <w:r>
          <w:rPr>
            <w:noProof/>
            <w:webHidden/>
          </w:rPr>
          <w:fldChar w:fldCharType="separate"/>
        </w:r>
        <w:r>
          <w:rPr>
            <w:noProof/>
            <w:webHidden/>
          </w:rPr>
          <w:t>17</w:t>
        </w:r>
        <w:r>
          <w:rPr>
            <w:noProof/>
            <w:webHidden/>
          </w:rPr>
          <w:fldChar w:fldCharType="end"/>
        </w:r>
      </w:hyperlink>
    </w:p>
    <w:p w14:paraId="362A82A1" w14:textId="135FCFE3"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97" w:history="1">
        <w:r w:rsidRPr="0058769E">
          <w:rPr>
            <w:rStyle w:val="Hyperlink"/>
            <w:noProof/>
          </w:rPr>
          <w:t>3.2</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Technical</w:t>
        </w:r>
        <w:r>
          <w:rPr>
            <w:noProof/>
            <w:webHidden/>
          </w:rPr>
          <w:tab/>
        </w:r>
        <w:r>
          <w:rPr>
            <w:noProof/>
            <w:webHidden/>
          </w:rPr>
          <w:fldChar w:fldCharType="begin"/>
        </w:r>
        <w:r>
          <w:rPr>
            <w:noProof/>
            <w:webHidden/>
          </w:rPr>
          <w:instrText xml:space="preserve"> PAGEREF _Toc185235897 \h </w:instrText>
        </w:r>
        <w:r>
          <w:rPr>
            <w:noProof/>
            <w:webHidden/>
          </w:rPr>
        </w:r>
        <w:r>
          <w:rPr>
            <w:noProof/>
            <w:webHidden/>
          </w:rPr>
          <w:fldChar w:fldCharType="separate"/>
        </w:r>
        <w:r>
          <w:rPr>
            <w:noProof/>
            <w:webHidden/>
          </w:rPr>
          <w:t>19</w:t>
        </w:r>
        <w:r>
          <w:rPr>
            <w:noProof/>
            <w:webHidden/>
          </w:rPr>
          <w:fldChar w:fldCharType="end"/>
        </w:r>
      </w:hyperlink>
    </w:p>
    <w:p w14:paraId="17E23D3F" w14:textId="7A0D45F7"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898" w:history="1">
        <w:r w:rsidRPr="0058769E">
          <w:rPr>
            <w:rStyle w:val="Hyperlink"/>
            <w:noProof/>
          </w:rPr>
          <w:t>3.3</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Institutional Arrangements</w:t>
        </w:r>
        <w:r>
          <w:rPr>
            <w:noProof/>
            <w:webHidden/>
          </w:rPr>
          <w:tab/>
        </w:r>
        <w:r>
          <w:rPr>
            <w:noProof/>
            <w:webHidden/>
          </w:rPr>
          <w:fldChar w:fldCharType="begin"/>
        </w:r>
        <w:r>
          <w:rPr>
            <w:noProof/>
            <w:webHidden/>
          </w:rPr>
          <w:instrText xml:space="preserve"> PAGEREF _Toc185235898 \h </w:instrText>
        </w:r>
        <w:r>
          <w:rPr>
            <w:noProof/>
            <w:webHidden/>
          </w:rPr>
        </w:r>
        <w:r>
          <w:rPr>
            <w:noProof/>
            <w:webHidden/>
          </w:rPr>
          <w:fldChar w:fldCharType="separate"/>
        </w:r>
        <w:r>
          <w:rPr>
            <w:noProof/>
            <w:webHidden/>
          </w:rPr>
          <w:t>27</w:t>
        </w:r>
        <w:r>
          <w:rPr>
            <w:noProof/>
            <w:webHidden/>
          </w:rPr>
          <w:fldChar w:fldCharType="end"/>
        </w:r>
      </w:hyperlink>
    </w:p>
    <w:p w14:paraId="5D545CCC" w14:textId="061682A5" w:rsidR="00524269" w:rsidRDefault="00524269">
      <w:pPr>
        <w:pStyle w:val="TOC1"/>
        <w:rPr>
          <w:rFonts w:asciiTheme="minorHAnsi" w:eastAsiaTheme="minorEastAsia" w:hAnsiTheme="minorHAnsi" w:cstheme="minorBidi"/>
          <w:b w:val="0"/>
          <w:bCs w:val="0"/>
          <w:color w:val="auto"/>
          <w:kern w:val="2"/>
          <w:sz w:val="24"/>
          <w:szCs w:val="24"/>
          <w:lang w:eastAsia="en-US"/>
          <w14:ligatures w14:val="standardContextual"/>
        </w:rPr>
      </w:pPr>
      <w:hyperlink w:anchor="_Toc185235899" w:history="1">
        <w:r w:rsidRPr="0058769E">
          <w:rPr>
            <w:rStyle w:val="Hyperlink"/>
          </w:rPr>
          <w:t>4.</w:t>
        </w:r>
        <w:r>
          <w:rPr>
            <w:rFonts w:asciiTheme="minorHAnsi" w:eastAsiaTheme="minorEastAsia" w:hAnsiTheme="minorHAnsi" w:cstheme="minorBidi"/>
            <w:b w:val="0"/>
            <w:bCs w:val="0"/>
            <w:color w:val="auto"/>
            <w:kern w:val="2"/>
            <w:sz w:val="24"/>
            <w:szCs w:val="24"/>
            <w:lang w:eastAsia="en-US"/>
            <w14:ligatures w14:val="standardContextual"/>
          </w:rPr>
          <w:tab/>
        </w:r>
        <w:r w:rsidRPr="0058769E">
          <w:rPr>
            <w:rStyle w:val="Hyperlink"/>
          </w:rPr>
          <w:t>Market platforms and products, including derivatives</w:t>
        </w:r>
        <w:r>
          <w:rPr>
            <w:webHidden/>
          </w:rPr>
          <w:tab/>
        </w:r>
        <w:r>
          <w:rPr>
            <w:webHidden/>
          </w:rPr>
          <w:fldChar w:fldCharType="begin"/>
        </w:r>
        <w:r>
          <w:rPr>
            <w:webHidden/>
          </w:rPr>
          <w:instrText xml:space="preserve"> PAGEREF _Toc185235899 \h </w:instrText>
        </w:r>
        <w:r>
          <w:rPr>
            <w:webHidden/>
          </w:rPr>
        </w:r>
        <w:r>
          <w:rPr>
            <w:webHidden/>
          </w:rPr>
          <w:fldChar w:fldCharType="separate"/>
        </w:r>
        <w:r>
          <w:rPr>
            <w:webHidden/>
          </w:rPr>
          <w:t>33</w:t>
        </w:r>
        <w:r>
          <w:rPr>
            <w:webHidden/>
          </w:rPr>
          <w:fldChar w:fldCharType="end"/>
        </w:r>
      </w:hyperlink>
    </w:p>
    <w:p w14:paraId="0878DFD2" w14:textId="711FCE6C"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900" w:history="1">
        <w:r w:rsidRPr="0058769E">
          <w:rPr>
            <w:rStyle w:val="Hyperlink"/>
            <w:noProof/>
          </w:rPr>
          <w:t>4.1</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Regional Power Exchange</w:t>
        </w:r>
        <w:r>
          <w:rPr>
            <w:noProof/>
            <w:webHidden/>
          </w:rPr>
          <w:tab/>
        </w:r>
        <w:r>
          <w:rPr>
            <w:noProof/>
            <w:webHidden/>
          </w:rPr>
          <w:fldChar w:fldCharType="begin"/>
        </w:r>
        <w:r>
          <w:rPr>
            <w:noProof/>
            <w:webHidden/>
          </w:rPr>
          <w:instrText xml:space="preserve"> PAGEREF _Toc185235900 \h </w:instrText>
        </w:r>
        <w:r>
          <w:rPr>
            <w:noProof/>
            <w:webHidden/>
          </w:rPr>
        </w:r>
        <w:r>
          <w:rPr>
            <w:noProof/>
            <w:webHidden/>
          </w:rPr>
          <w:fldChar w:fldCharType="separate"/>
        </w:r>
        <w:r>
          <w:rPr>
            <w:noProof/>
            <w:webHidden/>
          </w:rPr>
          <w:t>33</w:t>
        </w:r>
        <w:r>
          <w:rPr>
            <w:noProof/>
            <w:webHidden/>
          </w:rPr>
          <w:fldChar w:fldCharType="end"/>
        </w:r>
      </w:hyperlink>
    </w:p>
    <w:p w14:paraId="202F295F" w14:textId="602731A5" w:rsidR="00524269" w:rsidRDefault="00524269">
      <w:pPr>
        <w:pStyle w:val="TOC2"/>
        <w:rPr>
          <w:rFonts w:asciiTheme="minorHAnsi" w:eastAsiaTheme="minorEastAsia" w:hAnsiTheme="minorHAnsi" w:cstheme="minorBidi"/>
          <w:iCs w:val="0"/>
          <w:noProof/>
          <w:kern w:val="2"/>
          <w:sz w:val="24"/>
          <w:szCs w:val="24"/>
          <w:lang w:eastAsia="en-US"/>
          <w14:ligatures w14:val="standardContextual"/>
        </w:rPr>
      </w:pPr>
      <w:hyperlink w:anchor="_Toc185235901" w:history="1">
        <w:r w:rsidRPr="0058769E">
          <w:rPr>
            <w:rStyle w:val="Hyperlink"/>
            <w:noProof/>
          </w:rPr>
          <w:t>4.2</w:t>
        </w:r>
        <w:r>
          <w:rPr>
            <w:rFonts w:asciiTheme="minorHAnsi" w:eastAsiaTheme="minorEastAsia" w:hAnsiTheme="minorHAnsi" w:cstheme="minorBidi"/>
            <w:iCs w:val="0"/>
            <w:noProof/>
            <w:kern w:val="2"/>
            <w:sz w:val="24"/>
            <w:szCs w:val="24"/>
            <w:lang w:eastAsia="en-US"/>
            <w14:ligatures w14:val="standardContextual"/>
          </w:rPr>
          <w:tab/>
        </w:r>
        <w:r w:rsidRPr="0058769E">
          <w:rPr>
            <w:rStyle w:val="Hyperlink"/>
            <w:noProof/>
          </w:rPr>
          <w:t>Market Products</w:t>
        </w:r>
        <w:r>
          <w:rPr>
            <w:noProof/>
            <w:webHidden/>
          </w:rPr>
          <w:tab/>
        </w:r>
        <w:r>
          <w:rPr>
            <w:noProof/>
            <w:webHidden/>
          </w:rPr>
          <w:fldChar w:fldCharType="begin"/>
        </w:r>
        <w:r>
          <w:rPr>
            <w:noProof/>
            <w:webHidden/>
          </w:rPr>
          <w:instrText xml:space="preserve"> PAGEREF _Toc185235901 \h </w:instrText>
        </w:r>
        <w:r>
          <w:rPr>
            <w:noProof/>
            <w:webHidden/>
          </w:rPr>
        </w:r>
        <w:r>
          <w:rPr>
            <w:noProof/>
            <w:webHidden/>
          </w:rPr>
          <w:fldChar w:fldCharType="separate"/>
        </w:r>
        <w:r>
          <w:rPr>
            <w:noProof/>
            <w:webHidden/>
          </w:rPr>
          <w:t>33</w:t>
        </w:r>
        <w:r>
          <w:rPr>
            <w:noProof/>
            <w:webHidden/>
          </w:rPr>
          <w:fldChar w:fldCharType="end"/>
        </w:r>
      </w:hyperlink>
    </w:p>
    <w:p w14:paraId="4C52F030" w14:textId="39A08B84" w:rsidR="00524269" w:rsidRDefault="00524269">
      <w:pPr>
        <w:pStyle w:val="TOC1"/>
        <w:rPr>
          <w:rFonts w:asciiTheme="minorHAnsi" w:eastAsiaTheme="minorEastAsia" w:hAnsiTheme="minorHAnsi" w:cstheme="minorBidi"/>
          <w:b w:val="0"/>
          <w:bCs w:val="0"/>
          <w:color w:val="auto"/>
          <w:kern w:val="2"/>
          <w:sz w:val="24"/>
          <w:szCs w:val="24"/>
          <w:lang w:eastAsia="en-US"/>
          <w14:ligatures w14:val="standardContextual"/>
        </w:rPr>
      </w:pPr>
      <w:hyperlink w:anchor="_Toc185235902" w:history="1">
        <w:r w:rsidRPr="0058769E">
          <w:rPr>
            <w:rStyle w:val="Hyperlink"/>
          </w:rPr>
          <w:t>5.</w:t>
        </w:r>
        <w:r>
          <w:rPr>
            <w:rFonts w:asciiTheme="minorHAnsi" w:eastAsiaTheme="minorEastAsia" w:hAnsiTheme="minorHAnsi" w:cstheme="minorBidi"/>
            <w:b w:val="0"/>
            <w:bCs w:val="0"/>
            <w:color w:val="auto"/>
            <w:kern w:val="2"/>
            <w:sz w:val="24"/>
            <w:szCs w:val="24"/>
            <w:lang w:eastAsia="en-US"/>
            <w14:ligatures w14:val="standardContextual"/>
          </w:rPr>
          <w:tab/>
        </w:r>
        <w:r w:rsidRPr="0058769E">
          <w:rPr>
            <w:rStyle w:val="Hyperlink"/>
          </w:rPr>
          <w:t>Appendix A: CBET Transmission Line Details</w:t>
        </w:r>
        <w:r>
          <w:rPr>
            <w:webHidden/>
          </w:rPr>
          <w:tab/>
        </w:r>
        <w:r>
          <w:rPr>
            <w:webHidden/>
          </w:rPr>
          <w:fldChar w:fldCharType="begin"/>
        </w:r>
        <w:r>
          <w:rPr>
            <w:webHidden/>
          </w:rPr>
          <w:instrText xml:space="preserve"> PAGEREF _Toc185235902 \h </w:instrText>
        </w:r>
        <w:r>
          <w:rPr>
            <w:webHidden/>
          </w:rPr>
        </w:r>
        <w:r>
          <w:rPr>
            <w:webHidden/>
          </w:rPr>
          <w:fldChar w:fldCharType="separate"/>
        </w:r>
        <w:r>
          <w:rPr>
            <w:webHidden/>
          </w:rPr>
          <w:t>- 1 -</w:t>
        </w:r>
        <w:r>
          <w:rPr>
            <w:webHidden/>
          </w:rPr>
          <w:fldChar w:fldCharType="end"/>
        </w:r>
      </w:hyperlink>
    </w:p>
    <w:p w14:paraId="4572BE7B" w14:textId="24D530A4" w:rsidR="00B01EE7" w:rsidRDefault="00A14F31" w:rsidP="00B01EE7">
      <w:r>
        <w:rPr>
          <w:rFonts w:ascii="Arial Bold" w:hAnsi="Arial Bold" w:cs="Calibri"/>
          <w:noProof/>
          <w:color w:val="002776" w:themeColor="accent1"/>
          <w:sz w:val="20"/>
          <w:szCs w:val="20"/>
          <w:lang w:eastAsia="hr-HR"/>
        </w:rPr>
        <w:fldChar w:fldCharType="end"/>
      </w:r>
    </w:p>
    <w:p w14:paraId="703763BC" w14:textId="77777777" w:rsidR="009146A6" w:rsidRDefault="009146A6">
      <w:pPr>
        <w:spacing w:after="0"/>
        <w:rPr>
          <w:rFonts w:cs="Arial"/>
          <w:color w:val="001D58" w:themeColor="accent1" w:themeShade="BF"/>
          <w:sz w:val="36"/>
          <w:szCs w:val="22"/>
          <w:lang w:eastAsia="hr-HR"/>
        </w:rPr>
      </w:pPr>
      <w:r>
        <w:rPr>
          <w:rFonts w:cs="Arial"/>
          <w:color w:val="001D58" w:themeColor="accent1" w:themeShade="BF"/>
        </w:rPr>
        <w:br w:type="page"/>
      </w:r>
    </w:p>
    <w:p w14:paraId="5E024169" w14:textId="36C64AFC" w:rsidR="00B01EE7" w:rsidRPr="005617FF" w:rsidRDefault="00B01EE7" w:rsidP="00B01EE7">
      <w:pPr>
        <w:pStyle w:val="Title"/>
        <w:rPr>
          <w:rFonts w:ascii="Arial" w:hAnsi="Arial" w:cs="Arial"/>
          <w:color w:val="001D58" w:themeColor="accent1" w:themeShade="BF"/>
        </w:rPr>
      </w:pPr>
      <w:commentRangeStart w:id="6"/>
      <w:r w:rsidRPr="005617FF">
        <w:rPr>
          <w:rFonts w:ascii="Arial" w:hAnsi="Arial" w:cs="Arial"/>
          <w:color w:val="001D58" w:themeColor="accent1" w:themeShade="BF"/>
        </w:rPr>
        <w:t>Acronyms</w:t>
      </w:r>
      <w:commentRangeEnd w:id="6"/>
      <w:r w:rsidR="00D25400">
        <w:rPr>
          <w:rStyle w:val="CommentReference"/>
          <w:rFonts w:ascii="Calibri" w:hAnsi="Calibri"/>
        </w:rPr>
        <w:commentReference w:id="6"/>
      </w:r>
    </w:p>
    <w:tbl>
      <w:tblPr>
        <w:tblStyle w:val="GridTable1Light-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7552"/>
      </w:tblGrid>
      <w:tr w:rsidR="00965FD0" w:rsidRPr="00965FD0" w14:paraId="6F56253E" w14:textId="77777777" w:rsidTr="0081064D">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700" w:type="dxa"/>
            <w:tcBorders>
              <w:bottom w:val="none" w:sz="0" w:space="0" w:color="auto"/>
            </w:tcBorders>
          </w:tcPr>
          <w:p w14:paraId="21346BB2" w14:textId="01DF58D1" w:rsidR="00965FD0" w:rsidRPr="00130E11" w:rsidRDefault="00965FD0" w:rsidP="000C1D67">
            <w:pPr>
              <w:pStyle w:val="TableText"/>
              <w:spacing w:beforeLines="0" w:before="40" w:afterLines="0" w:after="40"/>
              <w:rPr>
                <w:rFonts w:ascii="Arial" w:hAnsi="Arial" w:cs="Arial"/>
                <w:color w:val="auto"/>
                <w:highlight w:val="yellow"/>
              </w:rPr>
            </w:pPr>
            <w:r w:rsidRPr="00130E11">
              <w:rPr>
                <w:rFonts w:ascii="Arial" w:hAnsi="Arial" w:cs="Arial"/>
                <w:color w:val="auto"/>
                <w:highlight w:val="yellow"/>
              </w:rPr>
              <w:t>Acronym</w:t>
            </w:r>
          </w:p>
        </w:tc>
        <w:tc>
          <w:tcPr>
            <w:tcW w:w="7552" w:type="dxa"/>
            <w:tcBorders>
              <w:bottom w:val="none" w:sz="0" w:space="0" w:color="auto"/>
            </w:tcBorders>
          </w:tcPr>
          <w:p w14:paraId="73145D8F" w14:textId="67CB6B46" w:rsidR="00965FD0" w:rsidRPr="00130E11" w:rsidRDefault="00965FD0" w:rsidP="000C1D67">
            <w:pPr>
              <w:pStyle w:val="TableText"/>
              <w:spacing w:beforeLines="0" w:before="40" w:afterLines="0" w:after="40"/>
              <w:cnfStyle w:val="100000000000" w:firstRow="1"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Definition</w:t>
            </w:r>
          </w:p>
        </w:tc>
      </w:tr>
      <w:tr w:rsidR="00965FD0" w:rsidRPr="00965FD0" w14:paraId="38D8A0BC" w14:textId="77777777" w:rsidTr="0081064D">
        <w:trPr>
          <w:trHeight w:val="279"/>
        </w:trPr>
        <w:tc>
          <w:tcPr>
            <w:cnfStyle w:val="001000000000" w:firstRow="0" w:lastRow="0" w:firstColumn="1" w:lastColumn="0" w:oddVBand="0" w:evenVBand="0" w:oddHBand="0" w:evenHBand="0" w:firstRowFirstColumn="0" w:firstRowLastColumn="0" w:lastRowFirstColumn="0" w:lastRowLastColumn="0"/>
            <w:tcW w:w="1700" w:type="dxa"/>
          </w:tcPr>
          <w:p w14:paraId="179432FD" w14:textId="50D78682" w:rsidR="00B01EE7" w:rsidRPr="00130E11" w:rsidRDefault="00B01EE7" w:rsidP="000C1D67">
            <w:pPr>
              <w:pStyle w:val="TableText"/>
              <w:spacing w:beforeLines="0" w:before="40" w:afterLines="0" w:after="40"/>
              <w:rPr>
                <w:rFonts w:ascii="Arial" w:hAnsi="Arial" w:cs="Arial"/>
                <w:b w:val="0"/>
                <w:bCs w:val="0"/>
                <w:color w:val="auto"/>
                <w:highlight w:val="yellow"/>
              </w:rPr>
            </w:pPr>
            <w:bookmarkStart w:id="7" w:name="_Hlk23939159"/>
            <w:r w:rsidRPr="00130E11">
              <w:rPr>
                <w:rFonts w:ascii="Arial" w:hAnsi="Arial" w:cs="Arial"/>
                <w:color w:val="auto"/>
                <w:highlight w:val="yellow"/>
              </w:rPr>
              <w:t>BEH</w:t>
            </w:r>
          </w:p>
        </w:tc>
        <w:tc>
          <w:tcPr>
            <w:tcW w:w="7552" w:type="dxa"/>
          </w:tcPr>
          <w:p w14:paraId="2B74BF38"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Bulgarian Energy Holdings</w:t>
            </w:r>
          </w:p>
        </w:tc>
      </w:tr>
      <w:tr w:rsidR="00965FD0" w:rsidRPr="00965FD0" w14:paraId="2A48384E" w14:textId="77777777" w:rsidTr="0081064D">
        <w:trPr>
          <w:trHeight w:val="135"/>
        </w:trPr>
        <w:tc>
          <w:tcPr>
            <w:cnfStyle w:val="001000000000" w:firstRow="0" w:lastRow="0" w:firstColumn="1" w:lastColumn="0" w:oddVBand="0" w:evenVBand="0" w:oddHBand="0" w:evenHBand="0" w:firstRowFirstColumn="0" w:firstRowLastColumn="0" w:lastRowFirstColumn="0" w:lastRowLastColumn="0"/>
            <w:tcW w:w="1700" w:type="dxa"/>
          </w:tcPr>
          <w:p w14:paraId="699B1A85"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BESS</w:t>
            </w:r>
          </w:p>
        </w:tc>
        <w:tc>
          <w:tcPr>
            <w:tcW w:w="7552" w:type="dxa"/>
          </w:tcPr>
          <w:p w14:paraId="7E55526E"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Battery Energy Storage Systems</w:t>
            </w:r>
          </w:p>
        </w:tc>
      </w:tr>
      <w:tr w:rsidR="00965FD0" w:rsidRPr="00965FD0" w14:paraId="676C48B0" w14:textId="77777777" w:rsidTr="0081064D">
        <w:trPr>
          <w:trHeight w:val="81"/>
        </w:trPr>
        <w:tc>
          <w:tcPr>
            <w:cnfStyle w:val="001000000000" w:firstRow="0" w:lastRow="0" w:firstColumn="1" w:lastColumn="0" w:oddVBand="0" w:evenVBand="0" w:oddHBand="0" w:evenHBand="0" w:firstRowFirstColumn="0" w:firstRowLastColumn="0" w:lastRowFirstColumn="0" w:lastRowLastColumn="0"/>
            <w:tcW w:w="1700" w:type="dxa"/>
          </w:tcPr>
          <w:p w14:paraId="2FA4C302"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BPA</w:t>
            </w:r>
          </w:p>
        </w:tc>
        <w:tc>
          <w:tcPr>
            <w:tcW w:w="7552" w:type="dxa"/>
          </w:tcPr>
          <w:p w14:paraId="5ED9DFD1"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Blanket Purchase Agreement</w:t>
            </w:r>
          </w:p>
        </w:tc>
      </w:tr>
      <w:tr w:rsidR="00965FD0" w:rsidRPr="00965FD0" w14:paraId="1083AB97" w14:textId="77777777" w:rsidTr="0081064D">
        <w:trPr>
          <w:trHeight w:val="126"/>
        </w:trPr>
        <w:tc>
          <w:tcPr>
            <w:cnfStyle w:val="001000000000" w:firstRow="0" w:lastRow="0" w:firstColumn="1" w:lastColumn="0" w:oddVBand="0" w:evenVBand="0" w:oddHBand="0" w:evenHBand="0" w:firstRowFirstColumn="0" w:firstRowLastColumn="0" w:lastRowFirstColumn="0" w:lastRowLastColumn="0"/>
            <w:tcW w:w="1700" w:type="dxa"/>
          </w:tcPr>
          <w:p w14:paraId="402D7A21"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CI</w:t>
            </w:r>
          </w:p>
        </w:tc>
        <w:tc>
          <w:tcPr>
            <w:tcW w:w="7552" w:type="dxa"/>
          </w:tcPr>
          <w:p w14:paraId="2BB316EF"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Confidential Information</w:t>
            </w:r>
          </w:p>
        </w:tc>
      </w:tr>
      <w:tr w:rsidR="00965FD0" w:rsidRPr="00965FD0" w14:paraId="01428ED5"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265A6E63"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COR</w:t>
            </w:r>
          </w:p>
        </w:tc>
        <w:tc>
          <w:tcPr>
            <w:tcW w:w="7552" w:type="dxa"/>
          </w:tcPr>
          <w:p w14:paraId="76499E15"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Contracting Officer Representative</w:t>
            </w:r>
          </w:p>
        </w:tc>
      </w:tr>
      <w:tr w:rsidR="00965FD0" w:rsidRPr="00965FD0" w14:paraId="087A5C4E"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716E36F3"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DOS</w:t>
            </w:r>
          </w:p>
        </w:tc>
        <w:tc>
          <w:tcPr>
            <w:tcW w:w="7552" w:type="dxa"/>
          </w:tcPr>
          <w:p w14:paraId="2C3F039D"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U.S. Department of State</w:t>
            </w:r>
          </w:p>
        </w:tc>
      </w:tr>
      <w:tr w:rsidR="00965FD0" w:rsidRPr="00965FD0" w14:paraId="5A0857FD" w14:textId="77777777" w:rsidTr="0081064D">
        <w:trPr>
          <w:trHeight w:val="171"/>
        </w:trPr>
        <w:tc>
          <w:tcPr>
            <w:cnfStyle w:val="001000000000" w:firstRow="0" w:lastRow="0" w:firstColumn="1" w:lastColumn="0" w:oddVBand="0" w:evenVBand="0" w:oddHBand="0" w:evenHBand="0" w:firstRowFirstColumn="0" w:firstRowLastColumn="0" w:lastRowFirstColumn="0" w:lastRowLastColumn="0"/>
            <w:tcW w:w="1700" w:type="dxa"/>
          </w:tcPr>
          <w:p w14:paraId="40718F27"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ENR</w:t>
            </w:r>
          </w:p>
        </w:tc>
        <w:tc>
          <w:tcPr>
            <w:tcW w:w="7552" w:type="dxa"/>
          </w:tcPr>
          <w:p w14:paraId="5F8DB291"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Bureau of Energy Resources</w:t>
            </w:r>
          </w:p>
        </w:tc>
      </w:tr>
      <w:tr w:rsidR="00965FD0" w:rsidRPr="00965FD0" w14:paraId="2154191F" w14:textId="77777777" w:rsidTr="0081064D">
        <w:trPr>
          <w:trHeight w:val="297"/>
        </w:trPr>
        <w:tc>
          <w:tcPr>
            <w:cnfStyle w:val="001000000000" w:firstRow="0" w:lastRow="0" w:firstColumn="1" w:lastColumn="0" w:oddVBand="0" w:evenVBand="0" w:oddHBand="0" w:evenHBand="0" w:firstRowFirstColumn="0" w:firstRowLastColumn="0" w:lastRowFirstColumn="0" w:lastRowLastColumn="0"/>
            <w:tcW w:w="1700" w:type="dxa"/>
          </w:tcPr>
          <w:p w14:paraId="0D2473A8"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ESO</w:t>
            </w:r>
          </w:p>
        </w:tc>
        <w:tc>
          <w:tcPr>
            <w:tcW w:w="7552" w:type="dxa"/>
          </w:tcPr>
          <w:p w14:paraId="4A75B957"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Electricity System Operator</w:t>
            </w:r>
          </w:p>
        </w:tc>
      </w:tr>
      <w:tr w:rsidR="00965FD0" w:rsidRPr="00965FD0" w14:paraId="4B8F97A7" w14:textId="77777777" w:rsidTr="0081064D">
        <w:trPr>
          <w:trHeight w:val="68"/>
        </w:trPr>
        <w:tc>
          <w:tcPr>
            <w:cnfStyle w:val="001000000000" w:firstRow="0" w:lastRow="0" w:firstColumn="1" w:lastColumn="0" w:oddVBand="0" w:evenVBand="0" w:oddHBand="0" w:evenHBand="0" w:firstRowFirstColumn="0" w:firstRowLastColumn="0" w:lastRowFirstColumn="0" w:lastRowLastColumn="0"/>
            <w:tcW w:w="1700" w:type="dxa"/>
          </w:tcPr>
          <w:p w14:paraId="32547DEC"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EU</w:t>
            </w:r>
          </w:p>
        </w:tc>
        <w:tc>
          <w:tcPr>
            <w:tcW w:w="7552" w:type="dxa"/>
          </w:tcPr>
          <w:p w14:paraId="6E6FA165"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European Union</w:t>
            </w:r>
          </w:p>
        </w:tc>
      </w:tr>
      <w:tr w:rsidR="00205D8C" w:rsidRPr="00965FD0" w14:paraId="4B5BC8AD" w14:textId="77777777" w:rsidTr="0081064D">
        <w:trPr>
          <w:trHeight w:val="68"/>
        </w:trPr>
        <w:tc>
          <w:tcPr>
            <w:cnfStyle w:val="001000000000" w:firstRow="0" w:lastRow="0" w:firstColumn="1" w:lastColumn="0" w:oddVBand="0" w:evenVBand="0" w:oddHBand="0" w:evenHBand="0" w:firstRowFirstColumn="0" w:firstRowLastColumn="0" w:lastRowFirstColumn="0" w:lastRowLastColumn="0"/>
            <w:tcW w:w="1700" w:type="dxa"/>
          </w:tcPr>
          <w:p w14:paraId="10245D9F" w14:textId="71474988" w:rsidR="00205D8C" w:rsidRPr="00130E11" w:rsidRDefault="00205D8C" w:rsidP="000C1D67">
            <w:pPr>
              <w:pStyle w:val="TableText"/>
              <w:spacing w:beforeLines="0" w:before="40" w:afterLines="0" w:after="40"/>
              <w:rPr>
                <w:rFonts w:ascii="Arial" w:hAnsi="Arial" w:cs="Arial"/>
                <w:color w:val="auto"/>
                <w:highlight w:val="yellow"/>
              </w:rPr>
            </w:pPr>
            <w:r w:rsidRPr="00130E11">
              <w:rPr>
                <w:rFonts w:ascii="Arial" w:hAnsi="Arial" w:cs="Arial"/>
                <w:color w:val="auto"/>
                <w:highlight w:val="yellow"/>
              </w:rPr>
              <w:t>GT&amp;D</w:t>
            </w:r>
          </w:p>
        </w:tc>
        <w:tc>
          <w:tcPr>
            <w:tcW w:w="7552" w:type="dxa"/>
          </w:tcPr>
          <w:p w14:paraId="5E284E96" w14:textId="6E2FE111" w:rsidR="00205D8C" w:rsidRPr="00130E11" w:rsidRDefault="00205D8C"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Generation, Transmission &amp; Distribution</w:t>
            </w:r>
          </w:p>
        </w:tc>
      </w:tr>
      <w:tr w:rsidR="00965FD0" w:rsidRPr="00965FD0" w14:paraId="0E2136AA" w14:textId="77777777" w:rsidTr="0081064D">
        <w:trPr>
          <w:trHeight w:val="189"/>
        </w:trPr>
        <w:tc>
          <w:tcPr>
            <w:cnfStyle w:val="001000000000" w:firstRow="0" w:lastRow="0" w:firstColumn="1" w:lastColumn="0" w:oddVBand="0" w:evenVBand="0" w:oddHBand="0" w:evenHBand="0" w:firstRowFirstColumn="0" w:firstRowLastColumn="0" w:lastRowFirstColumn="0" w:lastRowLastColumn="0"/>
            <w:tcW w:w="1700" w:type="dxa"/>
          </w:tcPr>
          <w:p w14:paraId="5EB9B42A" w14:textId="0F93E5B6"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KPI</w:t>
            </w:r>
          </w:p>
        </w:tc>
        <w:tc>
          <w:tcPr>
            <w:tcW w:w="7552" w:type="dxa"/>
          </w:tcPr>
          <w:p w14:paraId="15418893" w14:textId="30D6F7F9"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Key Performance Indicator</w:t>
            </w:r>
          </w:p>
        </w:tc>
      </w:tr>
      <w:tr w:rsidR="00965FD0" w:rsidRPr="00965FD0" w14:paraId="32386787"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2B3AC145"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LOE</w:t>
            </w:r>
          </w:p>
        </w:tc>
        <w:tc>
          <w:tcPr>
            <w:tcW w:w="7552" w:type="dxa"/>
          </w:tcPr>
          <w:p w14:paraId="08153FAC"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Level of Effort</w:t>
            </w:r>
          </w:p>
        </w:tc>
      </w:tr>
      <w:tr w:rsidR="00965FD0" w:rsidRPr="00965FD0" w14:paraId="51B168FE"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38E868CE"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MW</w:t>
            </w:r>
          </w:p>
        </w:tc>
        <w:tc>
          <w:tcPr>
            <w:tcW w:w="7552" w:type="dxa"/>
          </w:tcPr>
          <w:p w14:paraId="47097A9B"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Megawatt</w:t>
            </w:r>
          </w:p>
        </w:tc>
      </w:tr>
      <w:tr w:rsidR="00965FD0" w:rsidRPr="00965FD0" w14:paraId="7D17D20B"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1E15CC91"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NEK</w:t>
            </w:r>
          </w:p>
        </w:tc>
        <w:tc>
          <w:tcPr>
            <w:tcW w:w="7552" w:type="dxa"/>
          </w:tcPr>
          <w:p w14:paraId="4555868E"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National Electric Company</w:t>
            </w:r>
          </w:p>
        </w:tc>
      </w:tr>
      <w:tr w:rsidR="00965FD0" w:rsidRPr="00965FD0" w14:paraId="35C6F6AB"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079D5D7F" w14:textId="0DE9DFFE" w:rsidR="00FA19E7" w:rsidRPr="00130E11" w:rsidRDefault="00B01EE7" w:rsidP="00AF5AEF">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POP</w:t>
            </w:r>
          </w:p>
        </w:tc>
        <w:tc>
          <w:tcPr>
            <w:tcW w:w="7552" w:type="dxa"/>
          </w:tcPr>
          <w:p w14:paraId="3B187ED8" w14:textId="497716F0" w:rsidR="006B0479"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Period of Performance</w:t>
            </w:r>
          </w:p>
        </w:tc>
      </w:tr>
      <w:tr w:rsidR="00A239E1" w:rsidRPr="00965FD0" w14:paraId="23300C61"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04C7FB07" w14:textId="6499F757" w:rsidR="00A239E1" w:rsidRPr="00130E11" w:rsidRDefault="00A239E1" w:rsidP="00AF5AEF">
            <w:pPr>
              <w:pStyle w:val="TableText"/>
              <w:spacing w:beforeLines="0" w:before="40" w:afterLines="0" w:after="40"/>
              <w:rPr>
                <w:rFonts w:ascii="Arial" w:hAnsi="Arial" w:cs="Arial"/>
                <w:color w:val="auto"/>
                <w:highlight w:val="yellow"/>
              </w:rPr>
            </w:pPr>
            <w:r w:rsidRPr="00130E11">
              <w:rPr>
                <w:rFonts w:ascii="Arial" w:hAnsi="Arial" w:cs="Arial"/>
                <w:color w:val="auto"/>
                <w:highlight w:val="yellow"/>
              </w:rPr>
              <w:t>PSP</w:t>
            </w:r>
          </w:p>
        </w:tc>
        <w:tc>
          <w:tcPr>
            <w:tcW w:w="7552" w:type="dxa"/>
          </w:tcPr>
          <w:p w14:paraId="06F5EA74" w14:textId="2B73EFBC" w:rsidR="00A239E1" w:rsidRPr="00130E11" w:rsidRDefault="00A239E1"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Power Sector Program</w:t>
            </w:r>
          </w:p>
        </w:tc>
      </w:tr>
      <w:tr w:rsidR="00965FD0" w:rsidRPr="00965FD0" w14:paraId="2DBB70A0"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7AB90BCF" w14:textId="44727DEF" w:rsidR="00AF5AEF" w:rsidRPr="00130E11" w:rsidRDefault="00AF5AEF" w:rsidP="00AF5AEF">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QR</w:t>
            </w:r>
          </w:p>
        </w:tc>
        <w:tc>
          <w:tcPr>
            <w:tcW w:w="7552" w:type="dxa"/>
          </w:tcPr>
          <w:p w14:paraId="2806F395" w14:textId="0C8B0F99" w:rsidR="00AF5AEF" w:rsidRPr="00130E11" w:rsidRDefault="00AF5AEF"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Quarterly Report</w:t>
            </w:r>
          </w:p>
        </w:tc>
      </w:tr>
      <w:tr w:rsidR="00965FD0" w:rsidRPr="00965FD0" w14:paraId="79AFC60A"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7394E347" w14:textId="074A3EC8" w:rsidR="00A90A6D" w:rsidRPr="00130E11" w:rsidRDefault="00AF5AEF" w:rsidP="00FA19E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RE</w:t>
            </w:r>
          </w:p>
        </w:tc>
        <w:tc>
          <w:tcPr>
            <w:tcW w:w="7552" w:type="dxa"/>
          </w:tcPr>
          <w:p w14:paraId="31E001BF" w14:textId="00F01092" w:rsidR="00A90A6D" w:rsidRPr="00130E11" w:rsidRDefault="00AF5AEF" w:rsidP="000765CA">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Renewable Energy</w:t>
            </w:r>
          </w:p>
        </w:tc>
      </w:tr>
      <w:tr w:rsidR="00965FD0" w:rsidRPr="00965FD0" w14:paraId="5872F676"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2CF1BB90" w14:textId="1BFE25AF"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RRP</w:t>
            </w:r>
          </w:p>
        </w:tc>
        <w:tc>
          <w:tcPr>
            <w:tcW w:w="7552" w:type="dxa"/>
          </w:tcPr>
          <w:p w14:paraId="50B55B0E" w14:textId="4C164E76"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Recovery and Resilience Plan</w:t>
            </w:r>
          </w:p>
        </w:tc>
      </w:tr>
      <w:tr w:rsidR="00965FD0" w:rsidRPr="00965FD0" w14:paraId="23A87E35"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4D65E68E" w14:textId="77777777" w:rsidR="00B01EE7"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SOW</w:t>
            </w:r>
          </w:p>
        </w:tc>
        <w:tc>
          <w:tcPr>
            <w:tcW w:w="7552" w:type="dxa"/>
          </w:tcPr>
          <w:p w14:paraId="594ABFAF" w14:textId="77777777" w:rsidR="00B01EE7"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Scope of Work</w:t>
            </w:r>
          </w:p>
        </w:tc>
      </w:tr>
      <w:tr w:rsidR="00CB44B6" w:rsidRPr="00965FD0" w14:paraId="507B26A1"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29CE64BA" w14:textId="47C08BA6" w:rsidR="00CB44B6" w:rsidRPr="00130E11" w:rsidRDefault="00CB44B6" w:rsidP="000C1D67">
            <w:pPr>
              <w:pStyle w:val="TableText"/>
              <w:spacing w:beforeLines="0" w:before="40" w:afterLines="0" w:after="40"/>
              <w:rPr>
                <w:rFonts w:ascii="Arial" w:hAnsi="Arial" w:cs="Arial"/>
                <w:color w:val="auto"/>
                <w:highlight w:val="yellow"/>
              </w:rPr>
            </w:pPr>
            <w:r w:rsidRPr="00130E11">
              <w:rPr>
                <w:rFonts w:ascii="Arial" w:hAnsi="Arial" w:cs="Arial"/>
                <w:color w:val="auto"/>
                <w:highlight w:val="yellow"/>
              </w:rPr>
              <w:t>USG</w:t>
            </w:r>
          </w:p>
        </w:tc>
        <w:tc>
          <w:tcPr>
            <w:tcW w:w="7552" w:type="dxa"/>
          </w:tcPr>
          <w:p w14:paraId="6DFAFAF9" w14:textId="11B71627" w:rsidR="00CB44B6" w:rsidRPr="00130E11" w:rsidRDefault="00CB44B6"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United States Government</w:t>
            </w:r>
          </w:p>
        </w:tc>
      </w:tr>
      <w:tr w:rsidR="00965FD0" w:rsidRPr="00965FD0" w14:paraId="0D58F0C3"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11FE84BC" w14:textId="685BF5A0" w:rsidR="00643640" w:rsidRPr="00130E11" w:rsidRDefault="00B01EE7"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VRE</w:t>
            </w:r>
          </w:p>
        </w:tc>
        <w:tc>
          <w:tcPr>
            <w:tcW w:w="7552" w:type="dxa"/>
          </w:tcPr>
          <w:p w14:paraId="6C36CCBA" w14:textId="0F744856" w:rsidR="00643640" w:rsidRPr="00130E11" w:rsidRDefault="00B01EE7"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Variable Renewable Energy</w:t>
            </w:r>
          </w:p>
        </w:tc>
      </w:tr>
      <w:tr w:rsidR="00965FD0" w:rsidRPr="00965FD0" w14:paraId="3952C9AD" w14:textId="77777777" w:rsidTr="0081064D">
        <w:tc>
          <w:tcPr>
            <w:cnfStyle w:val="001000000000" w:firstRow="0" w:lastRow="0" w:firstColumn="1" w:lastColumn="0" w:oddVBand="0" w:evenVBand="0" w:oddHBand="0" w:evenHBand="0" w:firstRowFirstColumn="0" w:firstRowLastColumn="0" w:lastRowFirstColumn="0" w:lastRowLastColumn="0"/>
            <w:tcW w:w="1700" w:type="dxa"/>
          </w:tcPr>
          <w:p w14:paraId="4A898226" w14:textId="50175B58" w:rsidR="00AF5AEF" w:rsidRPr="00130E11" w:rsidRDefault="00AF5AEF" w:rsidP="000C1D67">
            <w:pPr>
              <w:pStyle w:val="TableText"/>
              <w:spacing w:beforeLines="0" w:before="40" w:afterLines="0" w:after="40"/>
              <w:rPr>
                <w:rFonts w:ascii="Arial" w:hAnsi="Arial" w:cs="Arial"/>
                <w:b w:val="0"/>
                <w:bCs w:val="0"/>
                <w:color w:val="auto"/>
                <w:highlight w:val="yellow"/>
              </w:rPr>
            </w:pPr>
            <w:r w:rsidRPr="00130E11">
              <w:rPr>
                <w:rFonts w:ascii="Arial" w:hAnsi="Arial" w:cs="Arial"/>
                <w:color w:val="auto"/>
                <w:highlight w:val="yellow"/>
              </w:rPr>
              <w:t>WP</w:t>
            </w:r>
          </w:p>
        </w:tc>
        <w:tc>
          <w:tcPr>
            <w:tcW w:w="7552" w:type="dxa"/>
          </w:tcPr>
          <w:p w14:paraId="1852BE14" w14:textId="1C260272" w:rsidR="00AF5AEF" w:rsidRPr="00130E11" w:rsidRDefault="00AF5AEF" w:rsidP="000C1D67">
            <w:pPr>
              <w:pStyle w:val="TableText"/>
              <w:spacing w:beforeLines="0" w:before="40" w:afterLines="0" w:after="40"/>
              <w:cnfStyle w:val="000000000000" w:firstRow="0" w:lastRow="0" w:firstColumn="0" w:lastColumn="0" w:oddVBand="0" w:evenVBand="0" w:oddHBand="0" w:evenHBand="0" w:firstRowFirstColumn="0" w:firstRowLastColumn="0" w:lastRowFirstColumn="0" w:lastRowLastColumn="0"/>
              <w:rPr>
                <w:rFonts w:ascii="Arial" w:hAnsi="Arial" w:cs="Arial"/>
                <w:color w:val="auto"/>
                <w:highlight w:val="yellow"/>
              </w:rPr>
            </w:pPr>
            <w:r w:rsidRPr="00130E11">
              <w:rPr>
                <w:rFonts w:ascii="Arial" w:hAnsi="Arial" w:cs="Arial"/>
                <w:color w:val="auto"/>
                <w:highlight w:val="yellow"/>
              </w:rPr>
              <w:t>Work Plan</w:t>
            </w:r>
          </w:p>
        </w:tc>
      </w:tr>
      <w:bookmarkEnd w:id="7"/>
    </w:tbl>
    <w:p w14:paraId="28191F9D" w14:textId="77777777" w:rsidR="00B01EE7" w:rsidRDefault="00B01EE7" w:rsidP="00B01EE7">
      <w:pPr>
        <w:rPr>
          <w:rFonts w:cs="Calibri"/>
        </w:rPr>
      </w:pPr>
    </w:p>
    <w:p w14:paraId="31ADC9D1" w14:textId="77777777" w:rsidR="00B01EE7" w:rsidRDefault="00B01EE7" w:rsidP="00B01EE7">
      <w:pPr>
        <w:rPr>
          <w:rFonts w:cs="Calibri"/>
        </w:rPr>
      </w:pPr>
    </w:p>
    <w:p w14:paraId="727B0701" w14:textId="77777777" w:rsidR="00103A04" w:rsidRDefault="00103A04">
      <w:pPr>
        <w:spacing w:after="0"/>
        <w:jc w:val="left"/>
        <w:rPr>
          <w:rFonts w:cs="Arial"/>
          <w:color w:val="001D58" w:themeColor="accent1" w:themeShade="BF"/>
          <w:sz w:val="36"/>
          <w:szCs w:val="22"/>
          <w:lang w:eastAsia="hr-HR"/>
        </w:rPr>
      </w:pPr>
      <w:r>
        <w:rPr>
          <w:rFonts w:cs="Arial"/>
          <w:color w:val="001D58" w:themeColor="accent1" w:themeShade="BF"/>
        </w:rPr>
        <w:br w:type="page"/>
      </w:r>
    </w:p>
    <w:p w14:paraId="1913123E" w14:textId="362CDF30" w:rsidR="00521A1D" w:rsidRPr="0054020E" w:rsidRDefault="00521A1D" w:rsidP="0054020E">
      <w:pPr>
        <w:pStyle w:val="Title"/>
        <w:rPr>
          <w:rFonts w:ascii="Arial" w:hAnsi="Arial" w:cs="Arial"/>
          <w:color w:val="001D58" w:themeColor="accent1" w:themeShade="BF"/>
        </w:rPr>
      </w:pPr>
      <w:commentRangeStart w:id="8"/>
      <w:r>
        <w:rPr>
          <w:rFonts w:ascii="Arial" w:hAnsi="Arial" w:cs="Arial"/>
          <w:color w:val="001D58" w:themeColor="accent1" w:themeShade="BF"/>
        </w:rPr>
        <w:t xml:space="preserve">List of </w:t>
      </w:r>
      <w:r w:rsidR="00AD6A72">
        <w:rPr>
          <w:rFonts w:ascii="Arial" w:hAnsi="Arial" w:cs="Arial"/>
          <w:color w:val="001D58" w:themeColor="accent1" w:themeShade="BF"/>
        </w:rPr>
        <w:t>Figures and Tables</w:t>
      </w:r>
      <w:commentRangeEnd w:id="8"/>
      <w:r w:rsidR="006A0F8B">
        <w:rPr>
          <w:rStyle w:val="CommentReference"/>
          <w:rFonts w:ascii="Calibri" w:hAnsi="Calibri"/>
        </w:rPr>
        <w:commentReference w:id="8"/>
      </w:r>
    </w:p>
    <w:p w14:paraId="3C9E2D9D" w14:textId="7C164EBC" w:rsidR="00524269" w:rsidRDefault="0054020E">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r w:rsidRPr="001C6769">
        <w:rPr>
          <w:rFonts w:cs="Calibri"/>
          <w:highlight w:val="yellow"/>
        </w:rPr>
        <w:fldChar w:fldCharType="begin"/>
      </w:r>
      <w:r w:rsidRPr="001C6769">
        <w:rPr>
          <w:rFonts w:cs="Calibri"/>
          <w:highlight w:val="yellow"/>
        </w:rPr>
        <w:instrText xml:space="preserve"> TOC \h \z \c "Figure" </w:instrText>
      </w:r>
      <w:r w:rsidRPr="001C6769">
        <w:rPr>
          <w:rFonts w:cs="Calibri"/>
          <w:highlight w:val="yellow"/>
        </w:rPr>
        <w:fldChar w:fldCharType="separate"/>
      </w:r>
      <w:hyperlink w:anchor="_Toc185235903" w:history="1">
        <w:r w:rsidR="00524269" w:rsidRPr="00C93C28">
          <w:rPr>
            <w:rStyle w:val="Hyperlink"/>
            <w:noProof/>
          </w:rPr>
          <w:t>Figure 1: Generation mix and Installed capacity in Bangladesh</w:t>
        </w:r>
        <w:r w:rsidR="00524269">
          <w:rPr>
            <w:noProof/>
            <w:webHidden/>
          </w:rPr>
          <w:tab/>
        </w:r>
        <w:r w:rsidR="00524269">
          <w:rPr>
            <w:noProof/>
            <w:webHidden/>
          </w:rPr>
          <w:fldChar w:fldCharType="begin"/>
        </w:r>
        <w:r w:rsidR="00524269">
          <w:rPr>
            <w:noProof/>
            <w:webHidden/>
          </w:rPr>
          <w:instrText xml:space="preserve"> PAGEREF _Toc185235903 \h </w:instrText>
        </w:r>
        <w:r w:rsidR="00524269">
          <w:rPr>
            <w:noProof/>
            <w:webHidden/>
          </w:rPr>
        </w:r>
        <w:r w:rsidR="00524269">
          <w:rPr>
            <w:noProof/>
            <w:webHidden/>
          </w:rPr>
          <w:fldChar w:fldCharType="separate"/>
        </w:r>
        <w:r w:rsidR="00524269">
          <w:rPr>
            <w:noProof/>
            <w:webHidden/>
          </w:rPr>
          <w:t>2</w:t>
        </w:r>
        <w:r w:rsidR="00524269">
          <w:rPr>
            <w:noProof/>
            <w:webHidden/>
          </w:rPr>
          <w:fldChar w:fldCharType="end"/>
        </w:r>
      </w:hyperlink>
    </w:p>
    <w:p w14:paraId="1B48BD40" w14:textId="00145570"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04" w:history="1">
        <w:r w:rsidRPr="00C93C28">
          <w:rPr>
            <w:rStyle w:val="Hyperlink"/>
            <w:noProof/>
          </w:rPr>
          <w:t>Figure 2: Generation Mix and Installed Capacity in Bhutan</w:t>
        </w:r>
        <w:r>
          <w:rPr>
            <w:noProof/>
            <w:webHidden/>
          </w:rPr>
          <w:tab/>
        </w:r>
        <w:r>
          <w:rPr>
            <w:noProof/>
            <w:webHidden/>
          </w:rPr>
          <w:fldChar w:fldCharType="begin"/>
        </w:r>
        <w:r>
          <w:rPr>
            <w:noProof/>
            <w:webHidden/>
          </w:rPr>
          <w:instrText xml:space="preserve"> PAGEREF _Toc185235904 \h </w:instrText>
        </w:r>
        <w:r>
          <w:rPr>
            <w:noProof/>
            <w:webHidden/>
          </w:rPr>
        </w:r>
        <w:r>
          <w:rPr>
            <w:noProof/>
            <w:webHidden/>
          </w:rPr>
          <w:fldChar w:fldCharType="separate"/>
        </w:r>
        <w:r>
          <w:rPr>
            <w:noProof/>
            <w:webHidden/>
          </w:rPr>
          <w:t>3</w:t>
        </w:r>
        <w:r>
          <w:rPr>
            <w:noProof/>
            <w:webHidden/>
          </w:rPr>
          <w:fldChar w:fldCharType="end"/>
        </w:r>
      </w:hyperlink>
    </w:p>
    <w:p w14:paraId="5090F23A" w14:textId="0F016FE8"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05" w:history="1">
        <w:r w:rsidRPr="00C93C28">
          <w:rPr>
            <w:rStyle w:val="Hyperlink"/>
            <w:noProof/>
          </w:rPr>
          <w:t>Figure 3: Generation Mix and Installed Capacity in India</w:t>
        </w:r>
        <w:r>
          <w:rPr>
            <w:noProof/>
            <w:webHidden/>
          </w:rPr>
          <w:tab/>
        </w:r>
        <w:r>
          <w:rPr>
            <w:noProof/>
            <w:webHidden/>
          </w:rPr>
          <w:fldChar w:fldCharType="begin"/>
        </w:r>
        <w:r>
          <w:rPr>
            <w:noProof/>
            <w:webHidden/>
          </w:rPr>
          <w:instrText xml:space="preserve"> PAGEREF _Toc185235905 \h </w:instrText>
        </w:r>
        <w:r>
          <w:rPr>
            <w:noProof/>
            <w:webHidden/>
          </w:rPr>
        </w:r>
        <w:r>
          <w:rPr>
            <w:noProof/>
            <w:webHidden/>
          </w:rPr>
          <w:fldChar w:fldCharType="separate"/>
        </w:r>
        <w:r>
          <w:rPr>
            <w:noProof/>
            <w:webHidden/>
          </w:rPr>
          <w:t>4</w:t>
        </w:r>
        <w:r>
          <w:rPr>
            <w:noProof/>
            <w:webHidden/>
          </w:rPr>
          <w:fldChar w:fldCharType="end"/>
        </w:r>
      </w:hyperlink>
    </w:p>
    <w:p w14:paraId="63A97AD4" w14:textId="555D37FB"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06" w:history="1">
        <w:r w:rsidRPr="00C93C28">
          <w:rPr>
            <w:rStyle w:val="Hyperlink"/>
            <w:noProof/>
          </w:rPr>
          <w:t>Figure 2: Generation Mix and Installed Capacity in Nepal</w:t>
        </w:r>
        <w:r>
          <w:rPr>
            <w:noProof/>
            <w:webHidden/>
          </w:rPr>
          <w:tab/>
        </w:r>
        <w:r>
          <w:rPr>
            <w:noProof/>
            <w:webHidden/>
          </w:rPr>
          <w:fldChar w:fldCharType="begin"/>
        </w:r>
        <w:r>
          <w:rPr>
            <w:noProof/>
            <w:webHidden/>
          </w:rPr>
          <w:instrText xml:space="preserve"> PAGEREF _Toc185235906 \h </w:instrText>
        </w:r>
        <w:r>
          <w:rPr>
            <w:noProof/>
            <w:webHidden/>
          </w:rPr>
        </w:r>
        <w:r>
          <w:rPr>
            <w:noProof/>
            <w:webHidden/>
          </w:rPr>
          <w:fldChar w:fldCharType="separate"/>
        </w:r>
        <w:r>
          <w:rPr>
            <w:noProof/>
            <w:webHidden/>
          </w:rPr>
          <w:t>4</w:t>
        </w:r>
        <w:r>
          <w:rPr>
            <w:noProof/>
            <w:webHidden/>
          </w:rPr>
          <w:fldChar w:fldCharType="end"/>
        </w:r>
      </w:hyperlink>
    </w:p>
    <w:p w14:paraId="77D9F619" w14:textId="35EED688"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07" w:history="1">
        <w:r w:rsidRPr="00C93C28">
          <w:rPr>
            <w:rStyle w:val="Hyperlink"/>
            <w:noProof/>
          </w:rPr>
          <w:t>Figure 4: Generation Mix and Installed Capacity for Sri Lanka</w:t>
        </w:r>
        <w:r>
          <w:rPr>
            <w:noProof/>
            <w:webHidden/>
          </w:rPr>
          <w:tab/>
        </w:r>
        <w:r>
          <w:rPr>
            <w:noProof/>
            <w:webHidden/>
          </w:rPr>
          <w:fldChar w:fldCharType="begin"/>
        </w:r>
        <w:r>
          <w:rPr>
            <w:noProof/>
            <w:webHidden/>
          </w:rPr>
          <w:instrText xml:space="preserve"> PAGEREF _Toc185235907 \h </w:instrText>
        </w:r>
        <w:r>
          <w:rPr>
            <w:noProof/>
            <w:webHidden/>
          </w:rPr>
        </w:r>
        <w:r>
          <w:rPr>
            <w:noProof/>
            <w:webHidden/>
          </w:rPr>
          <w:fldChar w:fldCharType="separate"/>
        </w:r>
        <w:r>
          <w:rPr>
            <w:noProof/>
            <w:webHidden/>
          </w:rPr>
          <w:t>5</w:t>
        </w:r>
        <w:r>
          <w:rPr>
            <w:noProof/>
            <w:webHidden/>
          </w:rPr>
          <w:fldChar w:fldCharType="end"/>
        </w:r>
      </w:hyperlink>
    </w:p>
    <w:p w14:paraId="7FC30A2D" w14:textId="60B06D69"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08" w:history="1">
        <w:r w:rsidRPr="00C93C28">
          <w:rPr>
            <w:rStyle w:val="Hyperlink"/>
            <w:noProof/>
          </w:rPr>
          <w:t>Figure 5: Maximum Demand vs Demand Met trend in Bangladesh</w:t>
        </w:r>
        <w:r>
          <w:rPr>
            <w:noProof/>
            <w:webHidden/>
          </w:rPr>
          <w:tab/>
        </w:r>
        <w:r>
          <w:rPr>
            <w:noProof/>
            <w:webHidden/>
          </w:rPr>
          <w:fldChar w:fldCharType="begin"/>
        </w:r>
        <w:r>
          <w:rPr>
            <w:noProof/>
            <w:webHidden/>
          </w:rPr>
          <w:instrText xml:space="preserve"> PAGEREF _Toc185235908 \h </w:instrText>
        </w:r>
        <w:r>
          <w:rPr>
            <w:noProof/>
            <w:webHidden/>
          </w:rPr>
        </w:r>
        <w:r>
          <w:rPr>
            <w:noProof/>
            <w:webHidden/>
          </w:rPr>
          <w:fldChar w:fldCharType="separate"/>
        </w:r>
        <w:r>
          <w:rPr>
            <w:noProof/>
            <w:webHidden/>
          </w:rPr>
          <w:t>6</w:t>
        </w:r>
        <w:r>
          <w:rPr>
            <w:noProof/>
            <w:webHidden/>
          </w:rPr>
          <w:fldChar w:fldCharType="end"/>
        </w:r>
      </w:hyperlink>
    </w:p>
    <w:p w14:paraId="786A4C2B" w14:textId="2D7F4719"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09" w:history="1">
        <w:r w:rsidRPr="00C93C28">
          <w:rPr>
            <w:rStyle w:val="Hyperlink"/>
            <w:noProof/>
          </w:rPr>
          <w:t>Figure 6: Demand-Supply and Power Export-Import Trend in Bhutan</w:t>
        </w:r>
        <w:r>
          <w:rPr>
            <w:noProof/>
            <w:webHidden/>
          </w:rPr>
          <w:tab/>
        </w:r>
        <w:r>
          <w:rPr>
            <w:noProof/>
            <w:webHidden/>
          </w:rPr>
          <w:fldChar w:fldCharType="begin"/>
        </w:r>
        <w:r>
          <w:rPr>
            <w:noProof/>
            <w:webHidden/>
          </w:rPr>
          <w:instrText xml:space="preserve"> PAGEREF _Toc185235909 \h </w:instrText>
        </w:r>
        <w:r>
          <w:rPr>
            <w:noProof/>
            <w:webHidden/>
          </w:rPr>
        </w:r>
        <w:r>
          <w:rPr>
            <w:noProof/>
            <w:webHidden/>
          </w:rPr>
          <w:fldChar w:fldCharType="separate"/>
        </w:r>
        <w:r>
          <w:rPr>
            <w:noProof/>
            <w:webHidden/>
          </w:rPr>
          <w:t>7</w:t>
        </w:r>
        <w:r>
          <w:rPr>
            <w:noProof/>
            <w:webHidden/>
          </w:rPr>
          <w:fldChar w:fldCharType="end"/>
        </w:r>
      </w:hyperlink>
    </w:p>
    <w:p w14:paraId="20F8F626" w14:textId="32652BD4"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0" w:history="1">
        <w:r w:rsidRPr="00C93C28">
          <w:rPr>
            <w:rStyle w:val="Hyperlink"/>
            <w:noProof/>
          </w:rPr>
          <w:t>Figure 7: India - Peak Demand and Deficit (FY 2023-24)</w:t>
        </w:r>
        <w:r>
          <w:rPr>
            <w:noProof/>
            <w:webHidden/>
          </w:rPr>
          <w:tab/>
        </w:r>
        <w:r>
          <w:rPr>
            <w:noProof/>
            <w:webHidden/>
          </w:rPr>
          <w:fldChar w:fldCharType="begin"/>
        </w:r>
        <w:r>
          <w:rPr>
            <w:noProof/>
            <w:webHidden/>
          </w:rPr>
          <w:instrText xml:space="preserve"> PAGEREF _Toc185235910 \h </w:instrText>
        </w:r>
        <w:r>
          <w:rPr>
            <w:noProof/>
            <w:webHidden/>
          </w:rPr>
        </w:r>
        <w:r>
          <w:rPr>
            <w:noProof/>
            <w:webHidden/>
          </w:rPr>
          <w:fldChar w:fldCharType="separate"/>
        </w:r>
        <w:r>
          <w:rPr>
            <w:noProof/>
            <w:webHidden/>
          </w:rPr>
          <w:t>7</w:t>
        </w:r>
        <w:r>
          <w:rPr>
            <w:noProof/>
            <w:webHidden/>
          </w:rPr>
          <w:fldChar w:fldCharType="end"/>
        </w:r>
      </w:hyperlink>
    </w:p>
    <w:p w14:paraId="0A07D245" w14:textId="5CCA7945"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1" w:history="1">
        <w:r w:rsidRPr="00C93C28">
          <w:rPr>
            <w:rStyle w:val="Hyperlink"/>
            <w:noProof/>
          </w:rPr>
          <w:t>Figure 8: Peak Demand and Consumption trend</w:t>
        </w:r>
        <w:r>
          <w:rPr>
            <w:noProof/>
            <w:webHidden/>
          </w:rPr>
          <w:tab/>
        </w:r>
        <w:r>
          <w:rPr>
            <w:noProof/>
            <w:webHidden/>
          </w:rPr>
          <w:fldChar w:fldCharType="begin"/>
        </w:r>
        <w:r>
          <w:rPr>
            <w:noProof/>
            <w:webHidden/>
          </w:rPr>
          <w:instrText xml:space="preserve"> PAGEREF _Toc185235911 \h </w:instrText>
        </w:r>
        <w:r>
          <w:rPr>
            <w:noProof/>
            <w:webHidden/>
          </w:rPr>
        </w:r>
        <w:r>
          <w:rPr>
            <w:noProof/>
            <w:webHidden/>
          </w:rPr>
          <w:fldChar w:fldCharType="separate"/>
        </w:r>
        <w:r>
          <w:rPr>
            <w:noProof/>
            <w:webHidden/>
          </w:rPr>
          <w:t>8</w:t>
        </w:r>
        <w:r>
          <w:rPr>
            <w:noProof/>
            <w:webHidden/>
          </w:rPr>
          <w:fldChar w:fldCharType="end"/>
        </w:r>
      </w:hyperlink>
    </w:p>
    <w:p w14:paraId="691A58F6" w14:textId="643F521B"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2" w:history="1">
        <w:r w:rsidRPr="00C93C28">
          <w:rPr>
            <w:rStyle w:val="Hyperlink"/>
            <w:noProof/>
          </w:rPr>
          <w:t>Figure 9: Key aspirations/ targets in BBINS region</w:t>
        </w:r>
        <w:r>
          <w:rPr>
            <w:noProof/>
            <w:webHidden/>
          </w:rPr>
          <w:tab/>
        </w:r>
        <w:r>
          <w:rPr>
            <w:noProof/>
            <w:webHidden/>
          </w:rPr>
          <w:fldChar w:fldCharType="begin"/>
        </w:r>
        <w:r>
          <w:rPr>
            <w:noProof/>
            <w:webHidden/>
          </w:rPr>
          <w:instrText xml:space="preserve"> PAGEREF _Toc185235912 \h </w:instrText>
        </w:r>
        <w:r>
          <w:rPr>
            <w:noProof/>
            <w:webHidden/>
          </w:rPr>
        </w:r>
        <w:r>
          <w:rPr>
            <w:noProof/>
            <w:webHidden/>
          </w:rPr>
          <w:fldChar w:fldCharType="separate"/>
        </w:r>
        <w:r>
          <w:rPr>
            <w:noProof/>
            <w:webHidden/>
          </w:rPr>
          <w:t>9</w:t>
        </w:r>
        <w:r>
          <w:rPr>
            <w:noProof/>
            <w:webHidden/>
          </w:rPr>
          <w:fldChar w:fldCharType="end"/>
        </w:r>
      </w:hyperlink>
    </w:p>
    <w:p w14:paraId="32D3C28A" w14:textId="564A3191"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3" w:history="1">
        <w:r w:rsidRPr="00C93C28">
          <w:rPr>
            <w:rStyle w:val="Hyperlink"/>
            <w:noProof/>
          </w:rPr>
          <w:t>Figure 10: Key elements of Harmonized bilateral model</w:t>
        </w:r>
        <w:r>
          <w:rPr>
            <w:noProof/>
            <w:webHidden/>
          </w:rPr>
          <w:tab/>
        </w:r>
        <w:r>
          <w:rPr>
            <w:noProof/>
            <w:webHidden/>
          </w:rPr>
          <w:fldChar w:fldCharType="begin"/>
        </w:r>
        <w:r>
          <w:rPr>
            <w:noProof/>
            <w:webHidden/>
          </w:rPr>
          <w:instrText xml:space="preserve"> PAGEREF _Toc185235913 \h </w:instrText>
        </w:r>
        <w:r>
          <w:rPr>
            <w:noProof/>
            <w:webHidden/>
          </w:rPr>
        </w:r>
        <w:r>
          <w:rPr>
            <w:noProof/>
            <w:webHidden/>
          </w:rPr>
          <w:fldChar w:fldCharType="separate"/>
        </w:r>
        <w:r>
          <w:rPr>
            <w:noProof/>
            <w:webHidden/>
          </w:rPr>
          <w:t>14</w:t>
        </w:r>
        <w:r>
          <w:rPr>
            <w:noProof/>
            <w:webHidden/>
          </w:rPr>
          <w:fldChar w:fldCharType="end"/>
        </w:r>
      </w:hyperlink>
    </w:p>
    <w:p w14:paraId="00DAF490" w14:textId="16F6AEB3"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4" w:history="1">
        <w:r w:rsidRPr="00C93C28">
          <w:rPr>
            <w:rStyle w:val="Hyperlink"/>
            <w:noProof/>
          </w:rPr>
          <w:t>Figure 11: Trade flow in Integrated Power Trading Model</w:t>
        </w:r>
        <w:r>
          <w:rPr>
            <w:noProof/>
            <w:webHidden/>
          </w:rPr>
          <w:tab/>
        </w:r>
        <w:r>
          <w:rPr>
            <w:noProof/>
            <w:webHidden/>
          </w:rPr>
          <w:fldChar w:fldCharType="begin"/>
        </w:r>
        <w:r>
          <w:rPr>
            <w:noProof/>
            <w:webHidden/>
          </w:rPr>
          <w:instrText xml:space="preserve"> PAGEREF _Toc185235914 \h </w:instrText>
        </w:r>
        <w:r>
          <w:rPr>
            <w:noProof/>
            <w:webHidden/>
          </w:rPr>
        </w:r>
        <w:r>
          <w:rPr>
            <w:noProof/>
            <w:webHidden/>
          </w:rPr>
          <w:fldChar w:fldCharType="separate"/>
        </w:r>
        <w:r>
          <w:rPr>
            <w:noProof/>
            <w:webHidden/>
          </w:rPr>
          <w:t>16</w:t>
        </w:r>
        <w:r>
          <w:rPr>
            <w:noProof/>
            <w:webHidden/>
          </w:rPr>
          <w:fldChar w:fldCharType="end"/>
        </w:r>
      </w:hyperlink>
    </w:p>
    <w:p w14:paraId="6AE4F647" w14:textId="228C7F7E"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5" w:history="1">
        <w:r w:rsidRPr="00C93C28">
          <w:rPr>
            <w:rStyle w:val="Hyperlink"/>
            <w:noProof/>
          </w:rPr>
          <w:t>Figure 12: Basic considerations for harmonization of wheeling charges</w:t>
        </w:r>
        <w:r>
          <w:rPr>
            <w:noProof/>
            <w:webHidden/>
          </w:rPr>
          <w:tab/>
        </w:r>
        <w:r>
          <w:rPr>
            <w:noProof/>
            <w:webHidden/>
          </w:rPr>
          <w:fldChar w:fldCharType="begin"/>
        </w:r>
        <w:r>
          <w:rPr>
            <w:noProof/>
            <w:webHidden/>
          </w:rPr>
          <w:instrText xml:space="preserve"> PAGEREF _Toc185235915 \h </w:instrText>
        </w:r>
        <w:r>
          <w:rPr>
            <w:noProof/>
            <w:webHidden/>
          </w:rPr>
        </w:r>
        <w:r>
          <w:rPr>
            <w:noProof/>
            <w:webHidden/>
          </w:rPr>
          <w:fldChar w:fldCharType="separate"/>
        </w:r>
        <w:r>
          <w:rPr>
            <w:noProof/>
            <w:webHidden/>
          </w:rPr>
          <w:t>22</w:t>
        </w:r>
        <w:r>
          <w:rPr>
            <w:noProof/>
            <w:webHidden/>
          </w:rPr>
          <w:fldChar w:fldCharType="end"/>
        </w:r>
      </w:hyperlink>
    </w:p>
    <w:p w14:paraId="6CC8E3F3" w14:textId="1FCDDFBD"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6" w:history="1">
        <w:r w:rsidRPr="00C93C28">
          <w:rPr>
            <w:rStyle w:val="Hyperlink"/>
            <w:noProof/>
          </w:rPr>
          <w:t>Figure 13: Rights and Obligations of involved parties in Third Party Access (TPA)</w:t>
        </w:r>
        <w:r>
          <w:rPr>
            <w:noProof/>
            <w:webHidden/>
          </w:rPr>
          <w:tab/>
        </w:r>
        <w:r>
          <w:rPr>
            <w:noProof/>
            <w:webHidden/>
          </w:rPr>
          <w:fldChar w:fldCharType="begin"/>
        </w:r>
        <w:r>
          <w:rPr>
            <w:noProof/>
            <w:webHidden/>
          </w:rPr>
          <w:instrText xml:space="preserve"> PAGEREF _Toc185235916 \h </w:instrText>
        </w:r>
        <w:r>
          <w:rPr>
            <w:noProof/>
            <w:webHidden/>
          </w:rPr>
        </w:r>
        <w:r>
          <w:rPr>
            <w:noProof/>
            <w:webHidden/>
          </w:rPr>
          <w:fldChar w:fldCharType="separate"/>
        </w:r>
        <w:r>
          <w:rPr>
            <w:noProof/>
            <w:webHidden/>
          </w:rPr>
          <w:t>25</w:t>
        </w:r>
        <w:r>
          <w:rPr>
            <w:noProof/>
            <w:webHidden/>
          </w:rPr>
          <w:fldChar w:fldCharType="end"/>
        </w:r>
      </w:hyperlink>
    </w:p>
    <w:p w14:paraId="71DDC4B4" w14:textId="08CC5AB8"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7" w:history="1">
        <w:r w:rsidRPr="00C93C28">
          <w:rPr>
            <w:rStyle w:val="Hyperlink"/>
            <w:noProof/>
          </w:rPr>
          <w:t>Figure 14: Division of regulatory authority in the United States and the European Union</w:t>
        </w:r>
        <w:r>
          <w:rPr>
            <w:noProof/>
            <w:webHidden/>
          </w:rPr>
          <w:tab/>
        </w:r>
        <w:r>
          <w:rPr>
            <w:noProof/>
            <w:webHidden/>
          </w:rPr>
          <w:fldChar w:fldCharType="begin"/>
        </w:r>
        <w:r>
          <w:rPr>
            <w:noProof/>
            <w:webHidden/>
          </w:rPr>
          <w:instrText xml:space="preserve"> PAGEREF _Toc185235917 \h </w:instrText>
        </w:r>
        <w:r>
          <w:rPr>
            <w:noProof/>
            <w:webHidden/>
          </w:rPr>
        </w:r>
        <w:r>
          <w:rPr>
            <w:noProof/>
            <w:webHidden/>
          </w:rPr>
          <w:fldChar w:fldCharType="separate"/>
        </w:r>
        <w:r>
          <w:rPr>
            <w:noProof/>
            <w:webHidden/>
          </w:rPr>
          <w:t>29</w:t>
        </w:r>
        <w:r>
          <w:rPr>
            <w:noProof/>
            <w:webHidden/>
          </w:rPr>
          <w:fldChar w:fldCharType="end"/>
        </w:r>
      </w:hyperlink>
    </w:p>
    <w:p w14:paraId="63D02F17" w14:textId="408E2FD2" w:rsidR="00524269" w:rsidRDefault="00524269">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hyperlink w:anchor="_Toc185235918" w:history="1">
        <w:r w:rsidRPr="00C93C28">
          <w:rPr>
            <w:rStyle w:val="Hyperlink"/>
            <w:noProof/>
          </w:rPr>
          <w:t>Figure 15: Overview of CCP Function</w:t>
        </w:r>
        <w:r>
          <w:rPr>
            <w:noProof/>
            <w:webHidden/>
          </w:rPr>
          <w:tab/>
        </w:r>
        <w:r>
          <w:rPr>
            <w:noProof/>
            <w:webHidden/>
          </w:rPr>
          <w:fldChar w:fldCharType="begin"/>
        </w:r>
        <w:r>
          <w:rPr>
            <w:noProof/>
            <w:webHidden/>
          </w:rPr>
          <w:instrText xml:space="preserve"> PAGEREF _Toc185235918 \h </w:instrText>
        </w:r>
        <w:r>
          <w:rPr>
            <w:noProof/>
            <w:webHidden/>
          </w:rPr>
        </w:r>
        <w:r>
          <w:rPr>
            <w:noProof/>
            <w:webHidden/>
          </w:rPr>
          <w:fldChar w:fldCharType="separate"/>
        </w:r>
        <w:r>
          <w:rPr>
            <w:noProof/>
            <w:webHidden/>
          </w:rPr>
          <w:t>31</w:t>
        </w:r>
        <w:r>
          <w:rPr>
            <w:noProof/>
            <w:webHidden/>
          </w:rPr>
          <w:fldChar w:fldCharType="end"/>
        </w:r>
      </w:hyperlink>
    </w:p>
    <w:p w14:paraId="53AC12C3" w14:textId="44AB6F61" w:rsidR="0038065A" w:rsidRPr="001C6769" w:rsidRDefault="0054020E">
      <w:pPr>
        <w:pStyle w:val="TableofFigures"/>
        <w:tabs>
          <w:tab w:val="right" w:leader="dot" w:pos="9350"/>
        </w:tabs>
        <w:rPr>
          <w:rFonts w:cs="Calibri"/>
          <w:highlight w:val="yellow"/>
        </w:rPr>
      </w:pPr>
      <w:r w:rsidRPr="001C6769">
        <w:rPr>
          <w:rFonts w:cs="Calibri"/>
          <w:highlight w:val="yellow"/>
        </w:rPr>
        <w:fldChar w:fldCharType="end"/>
      </w:r>
    </w:p>
    <w:p w14:paraId="63712205" w14:textId="2963C3C5" w:rsidR="00524269" w:rsidRDefault="00103A04">
      <w:pPr>
        <w:pStyle w:val="TableofFigures"/>
        <w:tabs>
          <w:tab w:val="right" w:leader="dot" w:pos="9350"/>
        </w:tabs>
        <w:rPr>
          <w:rFonts w:asciiTheme="minorHAnsi" w:eastAsiaTheme="minorEastAsia" w:hAnsiTheme="minorHAnsi" w:cstheme="minorBidi"/>
          <w:bCs w:val="0"/>
          <w:noProof/>
          <w:kern w:val="2"/>
          <w:sz w:val="24"/>
          <w:szCs w:val="24"/>
          <w:lang w:eastAsia="en-US"/>
          <w14:ligatures w14:val="standardContextual"/>
        </w:rPr>
      </w:pPr>
      <w:r w:rsidRPr="001C6769">
        <w:rPr>
          <w:rFonts w:cs="Calibri"/>
          <w:highlight w:val="yellow"/>
        </w:rPr>
        <w:fldChar w:fldCharType="begin"/>
      </w:r>
      <w:r w:rsidRPr="001C6769">
        <w:rPr>
          <w:rFonts w:cs="Calibri"/>
          <w:highlight w:val="yellow"/>
        </w:rPr>
        <w:instrText xml:space="preserve"> TOC \h \z \c "Table" </w:instrText>
      </w:r>
      <w:r w:rsidRPr="001C6769">
        <w:rPr>
          <w:rFonts w:cs="Calibri"/>
          <w:highlight w:val="yellow"/>
        </w:rPr>
        <w:fldChar w:fldCharType="separate"/>
      </w:r>
      <w:hyperlink w:anchor="_Toc185235919" w:history="1">
        <w:r w:rsidR="00524269" w:rsidRPr="00405B1F">
          <w:rPr>
            <w:rStyle w:val="Hyperlink"/>
            <w:noProof/>
          </w:rPr>
          <w:t>Table 1: Macroeconomic (GDP) trend in Bangladesh</w:t>
        </w:r>
        <w:r w:rsidR="00524269">
          <w:rPr>
            <w:noProof/>
            <w:webHidden/>
          </w:rPr>
          <w:tab/>
        </w:r>
        <w:r w:rsidR="00524269">
          <w:rPr>
            <w:noProof/>
            <w:webHidden/>
          </w:rPr>
          <w:fldChar w:fldCharType="begin"/>
        </w:r>
        <w:r w:rsidR="00524269">
          <w:rPr>
            <w:noProof/>
            <w:webHidden/>
          </w:rPr>
          <w:instrText xml:space="preserve"> PAGEREF _Toc185235919 \h </w:instrText>
        </w:r>
        <w:r w:rsidR="00524269">
          <w:rPr>
            <w:noProof/>
            <w:webHidden/>
          </w:rPr>
        </w:r>
        <w:r w:rsidR="00524269">
          <w:rPr>
            <w:noProof/>
            <w:webHidden/>
          </w:rPr>
          <w:fldChar w:fldCharType="separate"/>
        </w:r>
        <w:r w:rsidR="00524269">
          <w:rPr>
            <w:noProof/>
            <w:webHidden/>
          </w:rPr>
          <w:t>6</w:t>
        </w:r>
        <w:r w:rsidR="00524269">
          <w:rPr>
            <w:noProof/>
            <w:webHidden/>
          </w:rPr>
          <w:fldChar w:fldCharType="end"/>
        </w:r>
      </w:hyperlink>
    </w:p>
    <w:p w14:paraId="66DE9B68" w14:textId="0633123B" w:rsidR="00AD6A72" w:rsidRPr="00CA0C35" w:rsidRDefault="00103A04" w:rsidP="00B01EE7">
      <w:pPr>
        <w:rPr>
          <w:rFonts w:cs="Calibri"/>
        </w:rPr>
        <w:sectPr w:rsidR="00AD6A72" w:rsidRPr="00CA0C35" w:rsidSect="009E4578">
          <w:footerReference w:type="default" r:id="rId20"/>
          <w:headerReference w:type="first" r:id="rId21"/>
          <w:pgSz w:w="12240" w:h="15840" w:code="1"/>
          <w:pgMar w:top="1440" w:right="1440" w:bottom="1440" w:left="1440" w:header="720" w:footer="720" w:gutter="0"/>
          <w:pgNumType w:fmt="lowerRoman" w:start="1"/>
          <w:cols w:space="720"/>
          <w:noEndnote/>
          <w:titlePg/>
          <w:docGrid w:linePitch="299"/>
        </w:sectPr>
      </w:pPr>
      <w:r w:rsidRPr="001C6769">
        <w:rPr>
          <w:rFonts w:cs="Calibri"/>
          <w:highlight w:val="yellow"/>
        </w:rPr>
        <w:fldChar w:fldCharType="end"/>
      </w:r>
    </w:p>
    <w:bookmarkStart w:id="9" w:name="_Ref505354503"/>
    <w:bookmarkStart w:id="10" w:name="_Toc497369012"/>
    <w:bookmarkStart w:id="11" w:name="_Toc497397898"/>
    <w:bookmarkStart w:id="12" w:name="_Toc506215935"/>
    <w:bookmarkStart w:id="13" w:name="_Toc528056235"/>
    <w:bookmarkStart w:id="14" w:name="_Toc528058151"/>
    <w:bookmarkEnd w:id="4"/>
    <w:p w14:paraId="04FCC8AA" w14:textId="77777777" w:rsidR="00B01EE7" w:rsidRPr="00AC203F" w:rsidRDefault="00B01EE7" w:rsidP="005E5987">
      <w:pPr>
        <w:pStyle w:val="Heading1"/>
        <w:numPr>
          <w:ilvl w:val="0"/>
          <w:numId w:val="14"/>
        </w:numPr>
        <w:spacing w:before="0"/>
        <w:ind w:left="0" w:firstLine="0"/>
      </w:pPr>
      <w:r w:rsidRPr="00AC203F">
        <w:fldChar w:fldCharType="begin"/>
      </w:r>
      <w:r w:rsidRPr="00AC203F">
        <w:instrText xml:space="preserve"> SET ChapterStart "1" </w:instrText>
      </w:r>
      <w:r w:rsidRPr="00AC203F">
        <w:fldChar w:fldCharType="separate"/>
      </w:r>
      <w:bookmarkStart w:id="15" w:name="ChapterStart"/>
      <w:r w:rsidRPr="00AC203F">
        <w:rPr>
          <w:noProof/>
        </w:rPr>
        <w:t>1</w:t>
      </w:r>
      <w:bookmarkEnd w:id="15"/>
      <w:r w:rsidRPr="00AC203F">
        <w:fldChar w:fldCharType="end"/>
      </w:r>
      <w:bookmarkStart w:id="16" w:name="_Ref528572403"/>
      <w:bookmarkStart w:id="17" w:name="_Toc31632272"/>
      <w:bookmarkStart w:id="18" w:name="_Toc121403074"/>
      <w:bookmarkStart w:id="19" w:name="_Toc126831062"/>
      <w:bookmarkStart w:id="20" w:name="_Toc126831095"/>
      <w:bookmarkStart w:id="21" w:name="_Toc146033778"/>
      <w:bookmarkStart w:id="22" w:name="_Toc185235888"/>
      <w:r>
        <w:t>Introduction</w:t>
      </w:r>
      <w:bookmarkEnd w:id="16"/>
      <w:bookmarkEnd w:id="17"/>
      <w:bookmarkEnd w:id="18"/>
      <w:bookmarkEnd w:id="19"/>
      <w:bookmarkEnd w:id="20"/>
      <w:bookmarkEnd w:id="21"/>
      <w:bookmarkEnd w:id="22"/>
    </w:p>
    <w:p w14:paraId="5A34A18E" w14:textId="18AE7EA1" w:rsidR="00B01EE7" w:rsidRPr="0032268E" w:rsidRDefault="00170491" w:rsidP="00331FA5">
      <w:pPr>
        <w:rPr>
          <w:rFonts w:cs="Arial"/>
        </w:rPr>
      </w:pPr>
      <w:bookmarkStart w:id="23" w:name="ChapterText"/>
      <w:bookmarkEnd w:id="23"/>
      <w:r>
        <w:rPr>
          <w:rFonts w:eastAsia="Arial" w:cs="Arial"/>
        </w:rPr>
        <w:t>XXXXXXXX</w:t>
      </w:r>
      <w:r w:rsidR="007571AD" w:rsidRPr="00384F31">
        <w:rPr>
          <w:rFonts w:cs="Arial"/>
          <w:color w:val="000000" w:themeColor="text1"/>
        </w:rPr>
        <w:t xml:space="preserve"> </w:t>
      </w:r>
    </w:p>
    <w:p w14:paraId="3026BAAD" w14:textId="36E4027F" w:rsidR="00B01EE7" w:rsidRPr="00474CBD" w:rsidRDefault="00170491" w:rsidP="00FE61BC">
      <w:pPr>
        <w:pStyle w:val="Heading2"/>
      </w:pPr>
      <w:bookmarkStart w:id="24" w:name="_Toc528056145"/>
      <w:bookmarkStart w:id="25" w:name="_Toc185235889"/>
      <w:bookmarkEnd w:id="24"/>
      <w:r w:rsidRPr="00170491">
        <w:t>Background - context and need for the study</w:t>
      </w:r>
      <w:bookmarkEnd w:id="25"/>
      <w:r w:rsidR="00B01EE7" w:rsidRPr="00474CBD">
        <w:t xml:space="preserve"> </w:t>
      </w:r>
    </w:p>
    <w:p w14:paraId="49162402" w14:textId="51B160F1" w:rsidR="000B1E1F" w:rsidRDefault="000B1E1F" w:rsidP="002D72CD">
      <w:pPr>
        <w:pStyle w:val="Caption"/>
        <w:spacing w:before="0"/>
        <w:jc w:val="both"/>
        <w:rPr>
          <w:rFonts w:eastAsia="Times New Roman"/>
          <w:b w:val="0"/>
          <w:iCs w:val="0"/>
          <w:color w:val="auto"/>
          <w:spacing w:val="-1"/>
          <w:sz w:val="22"/>
          <w:szCs w:val="24"/>
        </w:rPr>
      </w:pPr>
      <w:bookmarkStart w:id="26" w:name="_Ref497401285"/>
      <w:bookmarkStart w:id="27" w:name="_Toc470073376"/>
      <w:bookmarkStart w:id="28" w:name="_Toc497369013"/>
      <w:bookmarkStart w:id="29" w:name="_Toc497397901"/>
      <w:bookmarkStart w:id="30" w:name="_Toc506285811"/>
      <w:bookmarkStart w:id="31" w:name="_Toc509221891"/>
      <w:bookmarkStart w:id="32" w:name="_Toc121403096"/>
    </w:p>
    <w:p w14:paraId="51C1FE2F" w14:textId="564FB4CE" w:rsidR="00533C1C" w:rsidRPr="00533C1C" w:rsidRDefault="00533C1C" w:rsidP="00533C1C">
      <w:pPr>
        <w:spacing w:before="100" w:beforeAutospacing="1" w:after="100" w:afterAutospacing="1"/>
        <w:rPr>
          <w:rFonts w:cs="Arial"/>
        </w:rPr>
      </w:pPr>
      <w:bookmarkStart w:id="33" w:name="_Toc31632276"/>
      <w:bookmarkStart w:id="34" w:name="_Toc121403077"/>
      <w:bookmarkStart w:id="35" w:name="_Toc126831065"/>
      <w:bookmarkStart w:id="36" w:name="_Toc126831098"/>
      <w:bookmarkEnd w:id="26"/>
      <w:bookmarkEnd w:id="27"/>
      <w:bookmarkEnd w:id="28"/>
      <w:bookmarkEnd w:id="29"/>
      <w:bookmarkEnd w:id="30"/>
      <w:bookmarkEnd w:id="31"/>
      <w:bookmarkEnd w:id="32"/>
    </w:p>
    <w:p w14:paraId="7024B60A" w14:textId="48E973CD" w:rsidR="00B01EE7" w:rsidRPr="00713EA5" w:rsidRDefault="00170491" w:rsidP="00FE61BC">
      <w:pPr>
        <w:pStyle w:val="Heading2"/>
      </w:pPr>
      <w:bookmarkStart w:id="37" w:name="_Toc185235890"/>
      <w:bookmarkStart w:id="38" w:name="_Hlk145080021"/>
      <w:bookmarkEnd w:id="33"/>
      <w:bookmarkEnd w:id="34"/>
      <w:bookmarkEnd w:id="35"/>
      <w:bookmarkEnd w:id="36"/>
      <w:r w:rsidRPr="00170491">
        <w:t>Our Approach for the study</w:t>
      </w:r>
      <w:bookmarkEnd w:id="37"/>
    </w:p>
    <w:p w14:paraId="705363B0" w14:textId="0EF420E5" w:rsidR="00B01EE7" w:rsidRDefault="00FE61BC" w:rsidP="00170491">
      <w:bookmarkStart w:id="39" w:name="_Hlk145080131"/>
      <w:bookmarkEnd w:id="9"/>
      <w:bookmarkEnd w:id="10"/>
      <w:bookmarkEnd w:id="11"/>
      <w:bookmarkEnd w:id="12"/>
      <w:bookmarkEnd w:id="13"/>
      <w:bookmarkEnd w:id="14"/>
      <w:bookmarkEnd w:id="38"/>
      <w:r>
        <w:rPr>
          <w:rFonts w:cs="Arial"/>
        </w:rPr>
        <w:t>XXXXXXXXXXX</w:t>
      </w:r>
    </w:p>
    <w:p w14:paraId="0B091337" w14:textId="77777777" w:rsidR="009F4D5B" w:rsidRPr="009F4D5B" w:rsidRDefault="009F4D5B" w:rsidP="009F4D5B"/>
    <w:bookmarkEnd w:id="39"/>
    <w:p w14:paraId="761F40A3" w14:textId="7AFA01B7" w:rsidR="003D6058" w:rsidRPr="006C4907" w:rsidRDefault="003D6058" w:rsidP="00A739AC">
      <w:pPr>
        <w:jc w:val="center"/>
        <w:sectPr w:rsidR="003D6058" w:rsidRPr="006C4907" w:rsidSect="009E4578">
          <w:pgSz w:w="12240" w:h="15840" w:code="1"/>
          <w:pgMar w:top="1440" w:right="1440" w:bottom="1440" w:left="1440" w:header="720" w:footer="720" w:gutter="0"/>
          <w:pgNumType w:start="1"/>
          <w:cols w:space="720"/>
          <w:noEndnote/>
          <w:docGrid w:linePitch="299"/>
        </w:sectPr>
      </w:pPr>
    </w:p>
    <w:p w14:paraId="27FFB643" w14:textId="44EF906C" w:rsidR="00B01EE7" w:rsidRPr="004C3AF8" w:rsidRDefault="00170491" w:rsidP="005E5987">
      <w:pPr>
        <w:pStyle w:val="Heading1"/>
        <w:numPr>
          <w:ilvl w:val="0"/>
          <w:numId w:val="14"/>
        </w:numPr>
      </w:pPr>
      <w:bookmarkStart w:id="40" w:name="_Toc185235891"/>
      <w:bookmarkStart w:id="41" w:name="_Hlk145080157"/>
      <w:r>
        <w:t>Power Market in the BBINS</w:t>
      </w:r>
      <w:bookmarkEnd w:id="40"/>
    </w:p>
    <w:p w14:paraId="4EE863DB" w14:textId="250983F0" w:rsidR="00B01EE7" w:rsidRDefault="006914E0" w:rsidP="006B7D95">
      <w:pPr>
        <w:spacing w:before="100" w:beforeAutospacing="1" w:after="100" w:afterAutospacing="1"/>
        <w:rPr>
          <w:szCs w:val="22"/>
        </w:rPr>
      </w:pPr>
      <w:bookmarkStart w:id="42" w:name="_Toc425364542"/>
      <w:bookmarkStart w:id="43" w:name="_Toc470076416"/>
      <w:bookmarkStart w:id="44" w:name="_Toc497394053"/>
      <w:bookmarkEnd w:id="41"/>
      <w:r w:rsidRPr="006914E0">
        <w:rPr>
          <w:rFonts w:cs="Arial"/>
        </w:rPr>
        <w:t xml:space="preserve">The BBINS region is witnessing a rapid transformation backed by high economic growth which requires the power sector to support the economic backbone of the region. Most of the countries have planned aggressive supply capacity addition to meet the ever-growing demand for energy. Apart from capacity addition the region is undergoing a transformation journey in terms of the sector portfolio and market regimes. A few of the emerging trends in the region </w:t>
      </w:r>
      <w:r w:rsidR="003C413E" w:rsidRPr="006914E0">
        <w:rPr>
          <w:rFonts w:cs="Arial"/>
        </w:rPr>
        <w:t>are</w:t>
      </w:r>
      <w:r w:rsidRPr="006914E0">
        <w:rPr>
          <w:rFonts w:cs="Arial"/>
        </w:rPr>
        <w:t xml:space="preserve"> highlighted in subsequent sections.</w:t>
      </w:r>
    </w:p>
    <w:p w14:paraId="444B9882" w14:textId="301CB805" w:rsidR="00B01EE7" w:rsidRDefault="00170491" w:rsidP="00FE61BC">
      <w:pPr>
        <w:pStyle w:val="Heading2"/>
      </w:pPr>
      <w:bookmarkStart w:id="45" w:name="_Toc185235892"/>
      <w:bookmarkStart w:id="46" w:name="_Toc121403079"/>
      <w:r>
        <w:t>Status</w:t>
      </w:r>
      <w:bookmarkEnd w:id="45"/>
    </w:p>
    <w:bookmarkEnd w:id="42"/>
    <w:bookmarkEnd w:id="43"/>
    <w:bookmarkEnd w:id="44"/>
    <w:bookmarkEnd w:id="46"/>
    <w:p w14:paraId="232685CD" w14:textId="0680ED9C" w:rsidR="00B01EE7" w:rsidRDefault="005E2D5C" w:rsidP="00B01EE7">
      <w:pPr>
        <w:pStyle w:val="Heading3"/>
      </w:pPr>
      <w:r>
        <w:t>Energy Mix</w:t>
      </w:r>
      <w:r w:rsidR="001E02F1">
        <w:t xml:space="preserve"> and Electricity Scenario</w:t>
      </w:r>
    </w:p>
    <w:p w14:paraId="2897CE82" w14:textId="20494893" w:rsidR="004D0633" w:rsidRDefault="008D1AC7" w:rsidP="00862E4C">
      <w:r w:rsidRPr="008D1AC7">
        <w:t>The electricity generation mix of the BBINS region plays a crucial role in assessing the potential for cross-border electricity trade. Each country in the region has unique energy resources and needs, creating opportunities for mutually beneficial energy cooperation.</w:t>
      </w:r>
    </w:p>
    <w:p w14:paraId="0143C0D6" w14:textId="1473103D" w:rsidR="004C4C2F" w:rsidRDefault="001A3026" w:rsidP="00862E4C">
      <w:pPr>
        <w:rPr>
          <w:b/>
          <w:bCs/>
        </w:rPr>
      </w:pPr>
      <w:r w:rsidRPr="001A3026">
        <w:rPr>
          <w:b/>
          <w:bCs/>
        </w:rPr>
        <w:t>Bangladesh</w:t>
      </w:r>
    </w:p>
    <w:p w14:paraId="5BB69BB7" w14:textId="5909322B" w:rsidR="008D0EEA" w:rsidRDefault="00C947C0" w:rsidP="00862E4C">
      <w:r w:rsidRPr="00C947C0">
        <w:t xml:space="preserve">Bangladesh heavily relies on thermal-based electricity generation, with natural gas (52%), coal (11%), and diesel &amp; furnace oil (23%) collectively contributing 87% of the total generation </w:t>
      </w:r>
      <w:r w:rsidR="001646FE">
        <w:t>of 88,450 GWh</w:t>
      </w:r>
      <w:r w:rsidRPr="00C947C0">
        <w:t xml:space="preserve">. The remaining share comes from hydropower, renewables, and imported energy. In terms of installed capacity, gas-based power plants accounted for </w:t>
      </w:r>
      <w:r w:rsidR="00AC739B">
        <w:t>43</w:t>
      </w:r>
      <w:r w:rsidRPr="00C947C0">
        <w:t>% of the total</w:t>
      </w:r>
      <w:r w:rsidR="003C2757">
        <w:t xml:space="preserve"> </w:t>
      </w:r>
      <w:r w:rsidR="00AC739B">
        <w:t>installed capacity (</w:t>
      </w:r>
      <w:r w:rsidR="00175E15">
        <w:t>~24.9 GW)</w:t>
      </w:r>
      <w:r w:rsidRPr="00C947C0">
        <w:t xml:space="preserve"> </w:t>
      </w:r>
      <w:r w:rsidR="00175E15">
        <w:t>in</w:t>
      </w:r>
      <w:r w:rsidRPr="00C947C0">
        <w:t xml:space="preserve"> FY 2022-23.</w:t>
      </w:r>
      <w:r w:rsidR="003B1FA1">
        <w:t xml:space="preserve"> Thus, </w:t>
      </w:r>
      <w:r w:rsidR="003B1FA1" w:rsidRPr="003B1FA1">
        <w:t>Bangladesh's heavy reliance on thermal-based electricity generation, particularly natural gas and imported fuels, makes it vulnerable to supply disruptions and price volatility. The limited share of hydropower and renewables in its energy mix further emphasizes the need for diversification to enhance energy security and sustainability. Regional energy cooperation with neighboring countries, particularly leveraging Bhutan and Nepal's abundant hydropower resources and India's diverse energy mix, could help Bangladesh reduce its dependency on fossil fuels, stabilize costs, and meet its growing energy demand more sustainably.</w:t>
      </w:r>
    </w:p>
    <w:p w14:paraId="6AFC83B4" w14:textId="7147FDEB" w:rsidR="005E5987" w:rsidRPr="005E5987" w:rsidRDefault="005E5987" w:rsidP="005E5987">
      <w:pPr>
        <w:pStyle w:val="Caption"/>
        <w:keepNext/>
        <w:rPr>
          <w:color w:val="auto"/>
        </w:rPr>
      </w:pPr>
      <w:bookmarkStart w:id="47" w:name="_Toc185235903"/>
      <w:r w:rsidRPr="005E5987">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w:t>
      </w:r>
      <w:r w:rsidR="0017404E">
        <w:rPr>
          <w:color w:val="auto"/>
        </w:rPr>
        <w:fldChar w:fldCharType="end"/>
      </w:r>
      <w:r w:rsidRPr="005E5987">
        <w:rPr>
          <w:color w:val="auto"/>
        </w:rPr>
        <w:t xml:space="preserve">: Generation mix and Installed capacity </w:t>
      </w:r>
      <w:r w:rsidR="007E3A9B">
        <w:rPr>
          <w:color w:val="auto"/>
        </w:rPr>
        <w:t>in</w:t>
      </w:r>
      <w:r w:rsidRPr="005E5987">
        <w:rPr>
          <w:color w:val="auto"/>
        </w:rPr>
        <w:t xml:space="preserve"> Bangladesh</w:t>
      </w:r>
      <w:bookmarkEnd w:id="47"/>
    </w:p>
    <w:p w14:paraId="2D1209C5" w14:textId="7B8ED9E7" w:rsidR="000A27E7" w:rsidRPr="001A3026" w:rsidRDefault="00F30D39" w:rsidP="00B70D74">
      <w:pPr>
        <w:jc w:val="center"/>
      </w:pPr>
      <w:r>
        <w:rPr>
          <w:noProof/>
        </w:rPr>
        <w:drawing>
          <wp:inline distT="0" distB="0" distL="0" distR="0" wp14:anchorId="298428C9" wp14:editId="3558925C">
            <wp:extent cx="2855343" cy="2194560"/>
            <wp:effectExtent l="0" t="0" r="2540" b="15240"/>
            <wp:docPr id="34049765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007A6F39">
        <w:rPr>
          <w:noProof/>
        </w:rPr>
        <w:drawing>
          <wp:inline distT="0" distB="0" distL="0" distR="0" wp14:anchorId="59333820" wp14:editId="537E1481">
            <wp:extent cx="2855343" cy="2194560"/>
            <wp:effectExtent l="0" t="0" r="2540" b="15240"/>
            <wp:docPr id="145408474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26BA989" w14:textId="6C551900" w:rsidR="007E3A9B" w:rsidRPr="00A3235E" w:rsidRDefault="00A3235E" w:rsidP="0074448E">
      <w:pPr>
        <w:rPr>
          <w:sz w:val="18"/>
          <w:szCs w:val="18"/>
        </w:rPr>
      </w:pPr>
      <w:r w:rsidRPr="00A3235E">
        <w:rPr>
          <w:sz w:val="18"/>
          <w:szCs w:val="18"/>
        </w:rPr>
        <w:t>Source: BPDB</w:t>
      </w:r>
      <w:r w:rsidR="00C93C1B">
        <w:rPr>
          <w:rStyle w:val="FootnoteReference"/>
          <w:sz w:val="18"/>
          <w:szCs w:val="18"/>
        </w:rPr>
        <w:footnoteReference w:id="2"/>
      </w:r>
    </w:p>
    <w:p w14:paraId="6A52FA36" w14:textId="17C16C7D" w:rsidR="0074448E" w:rsidRDefault="0074448E" w:rsidP="0074448E">
      <w:pPr>
        <w:rPr>
          <w:b/>
          <w:bCs/>
        </w:rPr>
      </w:pPr>
      <w:r w:rsidRPr="001A3026">
        <w:rPr>
          <w:b/>
          <w:bCs/>
        </w:rPr>
        <w:t>B</w:t>
      </w:r>
      <w:r>
        <w:rPr>
          <w:b/>
          <w:bCs/>
        </w:rPr>
        <w:t>hutan</w:t>
      </w:r>
    </w:p>
    <w:p w14:paraId="1550AD3E" w14:textId="2FA14498" w:rsidR="00653E8C" w:rsidRDefault="00B02D2F" w:rsidP="0074448E">
      <w:r w:rsidRPr="00B02D2F">
        <w:t xml:space="preserve">Bhutan's electricity generation is predominantly hydropower-based, with minimal contributions from solar and wind energy. </w:t>
      </w:r>
      <w:r w:rsidR="00090E44">
        <w:t xml:space="preserve">Out of total </w:t>
      </w:r>
      <w:r w:rsidR="00775822">
        <w:t xml:space="preserve">generation capacity of 10,700 GWh in 2022, 99.99% is from Hydro while remaining trace amounts of generation is from </w:t>
      </w:r>
      <w:r w:rsidR="00827B33">
        <w:t>solar and wind.</w:t>
      </w:r>
      <w:r w:rsidR="00C16B52">
        <w:t xml:space="preserve"> Accordingly, with respect to installed capacity, </w:t>
      </w:r>
      <w:r w:rsidR="00ED0D88">
        <w:t xml:space="preserve">hydro accounts for 2334.10 MW, solar for 0.5 MW while </w:t>
      </w:r>
      <w:r w:rsidR="006F3FE7">
        <w:t>wind accounts for 0.16 MW only</w:t>
      </w:r>
      <w:r w:rsidR="00195648">
        <w:t xml:space="preserve"> (as in 2022)</w:t>
      </w:r>
      <w:r w:rsidR="006F3FE7">
        <w:t>.</w:t>
      </w:r>
      <w:r w:rsidR="00D94BBC">
        <w:t xml:space="preserve"> Thus, </w:t>
      </w:r>
      <w:r w:rsidR="00D94BBC" w:rsidRPr="00D94BBC">
        <w:t>Bhutan’s electricity generation is predominantly reliant on hydropower, which accounts for nearly its entire energy mix. While this provides Bhutan with a clean and sustainable energy source, the country's heavy dependence on hydropower makes it susceptible to seasonal variations and climate-related challenges such as fluctuating rainfall and snowmelt. Regional energy cooperation can enable Bhutan to diversify its electricity trade, optimize surplus generation during peak hydropower seasons, and access additional energy sources during low-output periods.</w:t>
      </w:r>
      <w:r w:rsidRPr="00B02D2F">
        <w:t xml:space="preserve"> </w:t>
      </w:r>
    </w:p>
    <w:p w14:paraId="64104DBA" w14:textId="1B8FA22F" w:rsidR="00314B42" w:rsidRPr="00314B42" w:rsidRDefault="00314B42" w:rsidP="00314B42">
      <w:pPr>
        <w:pStyle w:val="Caption"/>
        <w:keepNext/>
        <w:rPr>
          <w:color w:val="auto"/>
        </w:rPr>
      </w:pPr>
      <w:bookmarkStart w:id="48" w:name="_Toc185235904"/>
      <w:r w:rsidRPr="00314B42">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2</w:t>
      </w:r>
      <w:r w:rsidR="0017404E">
        <w:rPr>
          <w:color w:val="auto"/>
        </w:rPr>
        <w:fldChar w:fldCharType="end"/>
      </w:r>
      <w:r w:rsidRPr="00314B42">
        <w:rPr>
          <w:color w:val="auto"/>
        </w:rPr>
        <w:t>: Generation Mix and Installed Cap</w:t>
      </w:r>
      <w:r>
        <w:rPr>
          <w:color w:val="auto"/>
        </w:rPr>
        <w:t>a</w:t>
      </w:r>
      <w:r w:rsidRPr="00314B42">
        <w:rPr>
          <w:color w:val="auto"/>
        </w:rPr>
        <w:t xml:space="preserve">city </w:t>
      </w:r>
      <w:r w:rsidR="007E3A9B">
        <w:rPr>
          <w:color w:val="auto"/>
        </w:rPr>
        <w:t>in</w:t>
      </w:r>
      <w:r w:rsidRPr="00314B42">
        <w:rPr>
          <w:color w:val="auto"/>
        </w:rPr>
        <w:t xml:space="preserve"> Bhutan</w:t>
      </w:r>
      <w:bookmarkEnd w:id="48"/>
    </w:p>
    <w:p w14:paraId="5E5EB793" w14:textId="711A99F0" w:rsidR="009B1421" w:rsidRDefault="004D5778" w:rsidP="0074448E">
      <w:r>
        <w:rPr>
          <w:noProof/>
        </w:rPr>
        <w:drawing>
          <wp:inline distT="0" distB="0" distL="0" distR="0" wp14:anchorId="24908101" wp14:editId="0ACC09A1">
            <wp:extent cx="2854960" cy="1762897"/>
            <wp:effectExtent l="0" t="0" r="2540" b="8890"/>
            <wp:docPr id="211653830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5F62E6">
        <w:rPr>
          <w:noProof/>
        </w:rPr>
        <w:drawing>
          <wp:inline distT="0" distB="0" distL="0" distR="0" wp14:anchorId="3443680B" wp14:editId="3D53788D">
            <wp:extent cx="2855343" cy="1764792"/>
            <wp:effectExtent l="0" t="0" r="2540" b="6985"/>
            <wp:docPr id="1456068290"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A3677D4" w14:textId="621EA79E" w:rsidR="00C93C1B" w:rsidRDefault="00C93C1B" w:rsidP="0074448E">
      <w:pPr>
        <w:rPr>
          <w:sz w:val="18"/>
          <w:szCs w:val="18"/>
        </w:rPr>
      </w:pPr>
      <w:r w:rsidRPr="00A3235E">
        <w:rPr>
          <w:sz w:val="18"/>
          <w:szCs w:val="18"/>
        </w:rPr>
        <w:t xml:space="preserve">Source: </w:t>
      </w:r>
      <w:r w:rsidR="005F4ABD" w:rsidRPr="005F4ABD">
        <w:rPr>
          <w:sz w:val="18"/>
          <w:szCs w:val="18"/>
        </w:rPr>
        <w:t>Ministry of Energy and Natural Resources</w:t>
      </w:r>
      <w:r w:rsidR="005F4ABD">
        <w:rPr>
          <w:sz w:val="18"/>
          <w:szCs w:val="18"/>
        </w:rPr>
        <w:t xml:space="preserve"> (MoENR)</w:t>
      </w:r>
      <w:r w:rsidR="00A32591">
        <w:rPr>
          <w:rStyle w:val="FootnoteReference"/>
          <w:sz w:val="18"/>
          <w:szCs w:val="18"/>
        </w:rPr>
        <w:footnoteReference w:id="3"/>
      </w:r>
    </w:p>
    <w:p w14:paraId="4D4A6E08" w14:textId="77777777" w:rsidR="00765D73" w:rsidRDefault="00765D73" w:rsidP="0074448E"/>
    <w:p w14:paraId="3629CCF4" w14:textId="1C049A49" w:rsidR="006520ED" w:rsidRDefault="006520ED" w:rsidP="006520ED">
      <w:pPr>
        <w:rPr>
          <w:b/>
          <w:bCs/>
        </w:rPr>
      </w:pPr>
      <w:r>
        <w:rPr>
          <w:b/>
          <w:bCs/>
        </w:rPr>
        <w:t>India</w:t>
      </w:r>
    </w:p>
    <w:p w14:paraId="6E401C75" w14:textId="61E27932" w:rsidR="006520ED" w:rsidRDefault="00384F2F" w:rsidP="006520ED">
      <w:r w:rsidRPr="00384F2F">
        <w:t>India, as the largest producer and consumer of electricity in the region, primarily generates power from coal-fired plants, which constitute the largest share of its electricity generation capacity. In addition to coal, India’s power generation mix includes hydro, wind, solar, and nuclear energy, contributing to a more diversified energy portfolio. The growth of renewable energy sources, particularly solar and wind, aligns with the country's efforts to transition towards a greener energy future. India’s advanced transmission infrastructure, coupled with its diverse generation mix, positions the country as a central hub for facilitating regional electricity trade. This strategic advantage allows India to play a pivotal role in enhancing energy security and supporting power exchanges within the broader regional context.</w:t>
      </w:r>
      <w:r>
        <w:t xml:space="preserve"> Relevant generation and capacity details are provided as follows. </w:t>
      </w:r>
      <w:r w:rsidR="00E95E7E">
        <w:t xml:space="preserve"> </w:t>
      </w:r>
    </w:p>
    <w:p w14:paraId="5CBF4D18" w14:textId="30A6DC1A" w:rsidR="007E3A9B" w:rsidRPr="007E3A9B" w:rsidRDefault="007E3A9B" w:rsidP="007E3A9B">
      <w:pPr>
        <w:pStyle w:val="Caption"/>
        <w:keepNext/>
        <w:rPr>
          <w:color w:val="auto"/>
        </w:rPr>
      </w:pPr>
      <w:bookmarkStart w:id="49" w:name="_Toc185235905"/>
      <w:r w:rsidRPr="007E3A9B">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3</w:t>
      </w:r>
      <w:r w:rsidR="0017404E">
        <w:rPr>
          <w:color w:val="auto"/>
        </w:rPr>
        <w:fldChar w:fldCharType="end"/>
      </w:r>
      <w:r w:rsidRPr="007E3A9B">
        <w:rPr>
          <w:color w:val="auto"/>
        </w:rPr>
        <w:t>: Generation Mix and Installed Capacity</w:t>
      </w:r>
      <w:r w:rsidRPr="007E3A9B">
        <w:rPr>
          <w:noProof/>
          <w:color w:val="auto"/>
        </w:rPr>
        <w:t xml:space="preserve"> in India</w:t>
      </w:r>
      <w:bookmarkEnd w:id="49"/>
    </w:p>
    <w:p w14:paraId="465496CB" w14:textId="6B5AF9CF" w:rsidR="006520ED" w:rsidRDefault="006E282B" w:rsidP="006E282B">
      <w:pPr>
        <w:jc w:val="center"/>
      </w:pPr>
      <w:r>
        <w:rPr>
          <w:noProof/>
        </w:rPr>
        <w:drawing>
          <wp:inline distT="0" distB="0" distL="0" distR="0" wp14:anchorId="1C2E58E9" wp14:editId="27B75F92">
            <wp:extent cx="2855343" cy="2011680"/>
            <wp:effectExtent l="0" t="0" r="2540" b="7620"/>
            <wp:docPr id="64546549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45410A">
        <w:rPr>
          <w:noProof/>
        </w:rPr>
        <w:drawing>
          <wp:inline distT="0" distB="0" distL="0" distR="0" wp14:anchorId="2C4CC629" wp14:editId="39B5A995">
            <wp:extent cx="2855343" cy="2011680"/>
            <wp:effectExtent l="0" t="0" r="2540" b="7620"/>
            <wp:docPr id="24343302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67EC8EB" w14:textId="3781BA95" w:rsidR="00893F3B" w:rsidRDefault="00035412" w:rsidP="003A7ED0">
      <w:pPr>
        <w:rPr>
          <w:b/>
          <w:bCs/>
        </w:rPr>
      </w:pPr>
      <w:r w:rsidRPr="001D26DB">
        <w:rPr>
          <w:sz w:val="18"/>
          <w:szCs w:val="20"/>
        </w:rPr>
        <w:t xml:space="preserve">Source: </w:t>
      </w:r>
      <w:r>
        <w:rPr>
          <w:sz w:val="18"/>
          <w:szCs w:val="20"/>
        </w:rPr>
        <w:t>CEA, National Power Porta</w:t>
      </w:r>
      <w:r w:rsidR="00C232CC">
        <w:rPr>
          <w:sz w:val="18"/>
          <w:szCs w:val="20"/>
        </w:rPr>
        <w:t>l</w:t>
      </w:r>
    </w:p>
    <w:p w14:paraId="173166BB" w14:textId="6E15D44F" w:rsidR="003A7ED0" w:rsidRDefault="003A7ED0" w:rsidP="003A7ED0">
      <w:pPr>
        <w:rPr>
          <w:b/>
          <w:bCs/>
        </w:rPr>
      </w:pPr>
      <w:r>
        <w:rPr>
          <w:b/>
          <w:bCs/>
        </w:rPr>
        <w:t>Nepal</w:t>
      </w:r>
    </w:p>
    <w:p w14:paraId="09623254" w14:textId="0A3405B1" w:rsidR="003A7ED0" w:rsidRDefault="00A1031E" w:rsidP="003A7ED0">
      <w:proofErr w:type="gramStart"/>
      <w:r>
        <w:t>Similar to</w:t>
      </w:r>
      <w:proofErr w:type="gramEnd"/>
      <w:r>
        <w:t xml:space="preserve"> Bhutan, Nepal is also almost entirely dependent on its hydro based energy generation.</w:t>
      </w:r>
      <w:r w:rsidR="00FB0B60">
        <w:t xml:space="preserve"> Out of total installed capacity </w:t>
      </w:r>
      <w:r w:rsidR="00EB1C54">
        <w:t>of 3.16 GW as on March 2024, 2.99 GW (</w:t>
      </w:r>
      <w:r w:rsidR="001013DB">
        <w:t xml:space="preserve">~95%) is comprised of hydro capacity, </w:t>
      </w:r>
      <w:r w:rsidR="00A054EE">
        <w:t xml:space="preserve">while solar, bagasse and thermal make up for </w:t>
      </w:r>
      <w:proofErr w:type="gramStart"/>
      <w:r w:rsidR="00A054EE">
        <w:t>remaining</w:t>
      </w:r>
      <w:proofErr w:type="gramEnd"/>
      <w:r w:rsidR="00A054EE">
        <w:t xml:space="preserve"> 1</w:t>
      </w:r>
      <w:r w:rsidR="000B09E5">
        <w:t>66</w:t>
      </w:r>
      <w:r w:rsidR="00A054EE">
        <w:t xml:space="preserve"> MW</w:t>
      </w:r>
      <w:r w:rsidR="000B09E5">
        <w:t xml:space="preserve">. In FY 2023-24, </w:t>
      </w:r>
      <w:proofErr w:type="gramStart"/>
      <w:r w:rsidR="000B09E5">
        <w:t>entire</w:t>
      </w:r>
      <w:proofErr w:type="gramEnd"/>
      <w:r w:rsidR="000B09E5">
        <w:t xml:space="preserve"> generation of </w:t>
      </w:r>
      <w:r w:rsidR="00856F18">
        <w:t>2,878 GWh has been completely attributable to hydro based power generation.</w:t>
      </w:r>
      <w:r w:rsidR="00EB1C54">
        <w:t xml:space="preserve"> </w:t>
      </w:r>
      <w:r w:rsidR="00C554DE">
        <w:t xml:space="preserve">Therefore, owing to the seasonality aspect associated with hydro power generation, </w:t>
      </w:r>
      <w:r w:rsidR="00217B29">
        <w:t xml:space="preserve">energy cooperation </w:t>
      </w:r>
      <w:r w:rsidR="00026C16">
        <w:t xml:space="preserve">with </w:t>
      </w:r>
      <w:r w:rsidR="00DE2008">
        <w:t>neighboring</w:t>
      </w:r>
      <w:r w:rsidR="00026C16">
        <w:t xml:space="preserve"> countries is and would be </w:t>
      </w:r>
      <w:r w:rsidR="002D4CB7">
        <w:t>crucial for Nepal in meeting its energy needs.</w:t>
      </w:r>
    </w:p>
    <w:p w14:paraId="1E90A80B" w14:textId="5371A34F" w:rsidR="0024201D" w:rsidRPr="00314B42" w:rsidRDefault="0024201D" w:rsidP="0024201D">
      <w:pPr>
        <w:pStyle w:val="Caption"/>
        <w:keepNext/>
        <w:rPr>
          <w:color w:val="auto"/>
        </w:rPr>
      </w:pPr>
      <w:bookmarkStart w:id="50" w:name="_Toc185235906"/>
      <w:r w:rsidRPr="00314B42">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4</w:t>
      </w:r>
      <w:r w:rsidR="0017404E">
        <w:rPr>
          <w:color w:val="auto"/>
        </w:rPr>
        <w:fldChar w:fldCharType="end"/>
      </w:r>
      <w:r w:rsidRPr="00314B42">
        <w:rPr>
          <w:color w:val="auto"/>
        </w:rPr>
        <w:t>: Generation Mix and Installed Cap</w:t>
      </w:r>
      <w:r>
        <w:rPr>
          <w:color w:val="auto"/>
        </w:rPr>
        <w:t>a</w:t>
      </w:r>
      <w:r w:rsidRPr="00314B42">
        <w:rPr>
          <w:color w:val="auto"/>
        </w:rPr>
        <w:t xml:space="preserve">city </w:t>
      </w:r>
      <w:r>
        <w:rPr>
          <w:color w:val="auto"/>
        </w:rPr>
        <w:t>in</w:t>
      </w:r>
      <w:r w:rsidRPr="00314B42">
        <w:rPr>
          <w:color w:val="auto"/>
        </w:rPr>
        <w:t xml:space="preserve"> </w:t>
      </w:r>
      <w:r>
        <w:rPr>
          <w:color w:val="auto"/>
        </w:rPr>
        <w:t>Nepal</w:t>
      </w:r>
      <w:bookmarkEnd w:id="50"/>
    </w:p>
    <w:p w14:paraId="2E8B813E" w14:textId="77777777" w:rsidR="0024201D" w:rsidRDefault="0024201D" w:rsidP="0024201D">
      <w:r>
        <w:rPr>
          <w:noProof/>
        </w:rPr>
        <w:drawing>
          <wp:inline distT="0" distB="0" distL="0" distR="0" wp14:anchorId="38E9F9CC" wp14:editId="7CDA4EAB">
            <wp:extent cx="2854960" cy="1762897"/>
            <wp:effectExtent l="0" t="0" r="2540" b="8890"/>
            <wp:docPr id="9041065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Pr>
          <w:noProof/>
        </w:rPr>
        <w:drawing>
          <wp:inline distT="0" distB="0" distL="0" distR="0" wp14:anchorId="1C2C80F0" wp14:editId="066A4CB5">
            <wp:extent cx="2855343" cy="1764792"/>
            <wp:effectExtent l="0" t="0" r="2540" b="6985"/>
            <wp:docPr id="148341177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04BFF5F" w14:textId="657AB0D0" w:rsidR="0024201D" w:rsidRDefault="00C64F2A" w:rsidP="003A7ED0">
      <w:r w:rsidRPr="001D26DB">
        <w:rPr>
          <w:sz w:val="18"/>
          <w:szCs w:val="20"/>
        </w:rPr>
        <w:t>Source: NEA</w:t>
      </w:r>
      <w:r w:rsidR="00310C13" w:rsidRPr="001D26DB">
        <w:rPr>
          <w:rStyle w:val="FootnoteReference"/>
          <w:sz w:val="18"/>
          <w:szCs w:val="20"/>
        </w:rPr>
        <w:footnoteReference w:id="4"/>
      </w:r>
    </w:p>
    <w:p w14:paraId="5CD3B9FE" w14:textId="77777777" w:rsidR="001D26DB" w:rsidRDefault="001D26DB" w:rsidP="00195648">
      <w:pPr>
        <w:rPr>
          <w:b/>
          <w:bCs/>
        </w:rPr>
      </w:pPr>
    </w:p>
    <w:p w14:paraId="6C985A38" w14:textId="4864C483" w:rsidR="00195648" w:rsidRDefault="00195648" w:rsidP="00195648">
      <w:pPr>
        <w:rPr>
          <w:b/>
          <w:bCs/>
        </w:rPr>
      </w:pPr>
      <w:r>
        <w:rPr>
          <w:b/>
          <w:bCs/>
        </w:rPr>
        <w:t>Sri Lanka</w:t>
      </w:r>
    </w:p>
    <w:p w14:paraId="109D7930" w14:textId="0528D910" w:rsidR="00195648" w:rsidRDefault="00264911" w:rsidP="00195648">
      <w:r w:rsidRPr="00264911">
        <w:t>Sri Lanka’s electricity generation is primarily reliant on thermal power, including coal and petroleum-based fuels, complemented by hydropower and a growing share of renewables. While hydropower provides a renewable backbone, the country's dependence on imported fuels makes it vulnerable to price fluctuations and supply chain disruptions. Regional energy cooperation could help Sri Lanka diversify its energy sources by accessing surplus electricity from neighboring countries, particularly renewable energy from India and hydropower from Bhutan and Nepal. Such collaboration would enhance energy security, reduce costs, and support Sri Lanka’s transition to a more sustainable energy mix.</w:t>
      </w:r>
    </w:p>
    <w:p w14:paraId="56F20AC5" w14:textId="0688F549" w:rsidR="007C6F80" w:rsidRPr="00240498" w:rsidRDefault="007C6F80" w:rsidP="007C6F80">
      <w:pPr>
        <w:pStyle w:val="Caption"/>
        <w:keepNext/>
        <w:rPr>
          <w:color w:val="auto"/>
        </w:rPr>
      </w:pPr>
      <w:bookmarkStart w:id="51" w:name="_Toc185235907"/>
      <w:r w:rsidRPr="00240498">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5</w:t>
      </w:r>
      <w:r w:rsidR="0017404E">
        <w:rPr>
          <w:color w:val="auto"/>
        </w:rPr>
        <w:fldChar w:fldCharType="end"/>
      </w:r>
      <w:r w:rsidRPr="00240498">
        <w:rPr>
          <w:color w:val="auto"/>
        </w:rPr>
        <w:t>: Generation Mix and Installed Capacity for Sri Lanka</w:t>
      </w:r>
      <w:bookmarkEnd w:id="51"/>
    </w:p>
    <w:p w14:paraId="6DB55584" w14:textId="3AF57711" w:rsidR="002D4CB7" w:rsidRDefault="0035276B" w:rsidP="006803EA">
      <w:pPr>
        <w:jc w:val="center"/>
      </w:pPr>
      <w:r>
        <w:rPr>
          <w:noProof/>
        </w:rPr>
        <w:drawing>
          <wp:inline distT="0" distB="0" distL="0" distR="0" wp14:anchorId="75E58F8E" wp14:editId="4BF51739">
            <wp:extent cx="2855343" cy="2194560"/>
            <wp:effectExtent l="0" t="0" r="2540" b="15240"/>
            <wp:docPr id="68345609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sidR="00875481">
        <w:rPr>
          <w:noProof/>
        </w:rPr>
        <w:drawing>
          <wp:inline distT="0" distB="0" distL="0" distR="0" wp14:anchorId="4EE087B1" wp14:editId="51F17D6F">
            <wp:extent cx="2855343" cy="2194560"/>
            <wp:effectExtent l="0" t="0" r="2540" b="15240"/>
            <wp:docPr id="50667176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FC6CC8F" w14:textId="22B2C77D" w:rsidR="002D4CB7" w:rsidRDefault="00384F2F" w:rsidP="003A7ED0">
      <w:pPr>
        <w:rPr>
          <w:noProof/>
        </w:rPr>
      </w:pPr>
      <w:r w:rsidRPr="001D26DB">
        <w:rPr>
          <w:sz w:val="18"/>
          <w:szCs w:val="20"/>
        </w:rPr>
        <w:t xml:space="preserve">Source: </w:t>
      </w:r>
      <w:r w:rsidR="001F47D0">
        <w:rPr>
          <w:sz w:val="18"/>
          <w:szCs w:val="20"/>
        </w:rPr>
        <w:t>Ministry of Power and Energy, Sri Lanka</w:t>
      </w:r>
      <w:r w:rsidR="001F47D0">
        <w:rPr>
          <w:rStyle w:val="FootnoteReference"/>
          <w:sz w:val="18"/>
          <w:szCs w:val="20"/>
        </w:rPr>
        <w:footnoteReference w:id="5"/>
      </w:r>
    </w:p>
    <w:p w14:paraId="3584B42B" w14:textId="40C9E041" w:rsidR="001562A4" w:rsidRDefault="00174198" w:rsidP="001562A4">
      <w:pPr>
        <w:pStyle w:val="Heading3"/>
      </w:pPr>
      <w:r>
        <w:t xml:space="preserve">Demand </w:t>
      </w:r>
      <w:r w:rsidR="00BC46A9">
        <w:t xml:space="preserve">and </w:t>
      </w:r>
      <w:r>
        <w:t>Supply</w:t>
      </w:r>
    </w:p>
    <w:p w14:paraId="3F00A5CB" w14:textId="23358571" w:rsidR="001562A4" w:rsidRPr="00862E4C" w:rsidRDefault="009B5392" w:rsidP="001562A4">
      <w:r w:rsidRPr="009B5392">
        <w:t xml:space="preserve">The BBINS region benefits from complementary demand, supply, and load patterns, making </w:t>
      </w:r>
      <w:r w:rsidR="00C23DC7">
        <w:t>substantial</w:t>
      </w:r>
      <w:r w:rsidRPr="009B5392">
        <w:t xml:space="preserve"> case for enhanced energy cooperation. Bhutan and Nepal, with their hydropower-dominated energy mix, generate surplus electricity during the monsoon season, aligning with peak demand periods in energy-deficit countries like Bangladesh and parts of India. Additionally, varying daily load </w:t>
      </w:r>
      <w:proofErr w:type="gramStart"/>
      <w:r w:rsidRPr="009B5392">
        <w:t>patterns</w:t>
      </w:r>
      <w:r w:rsidR="00C23DC7">
        <w:t>;</w:t>
      </w:r>
      <w:proofErr w:type="gramEnd"/>
      <w:r w:rsidR="00C23DC7">
        <w:t xml:space="preserve"> </w:t>
      </w:r>
      <w:r w:rsidRPr="009B5392">
        <w:t>such as evening peaks in India and Bangladesh</w:t>
      </w:r>
      <w:r w:rsidR="00C23DC7">
        <w:t xml:space="preserve">, </w:t>
      </w:r>
      <w:r w:rsidRPr="009B5392">
        <w:t>can be balanced through cross-border electricity trade, utilizing surplus generation from Bhutan and Nepal. This complementarity is further enhanced by the region’s diverse generation mix, where renewable hydropower resources in Bhutan and Nepal can offset fossil fuel dependency in Bangladesh and complement the intermittent nature of solar and wind in India. Regional integration would optimize resource utilization, enhance energy security, and support the transition to a sustainable energy future for all BBINS countries.</w:t>
      </w:r>
    </w:p>
    <w:p w14:paraId="0BFA022C" w14:textId="06090BB2" w:rsidR="00C40181" w:rsidRDefault="007F09B9" w:rsidP="00862E4C">
      <w:pPr>
        <w:rPr>
          <w:lang w:val="en-GB"/>
        </w:rPr>
      </w:pPr>
      <w:r w:rsidRPr="001A3026">
        <w:rPr>
          <w:b/>
          <w:bCs/>
        </w:rPr>
        <w:t>Bangladesh</w:t>
      </w:r>
    </w:p>
    <w:p w14:paraId="75E91C8B" w14:textId="465D26B1" w:rsidR="000375E9" w:rsidRDefault="0047783E" w:rsidP="00862E4C">
      <w:r w:rsidRPr="00DD42FD">
        <w:rPr>
          <w:lang w:val="en-GB"/>
        </w:rPr>
        <w:t xml:space="preserve">Bangladesh </w:t>
      </w:r>
      <w:r>
        <w:rPr>
          <w:lang w:val="en-GB"/>
        </w:rPr>
        <w:t>had been</w:t>
      </w:r>
      <w:r w:rsidRPr="00DD42FD">
        <w:rPr>
          <w:lang w:val="en-GB"/>
        </w:rPr>
        <w:t xml:space="preserve"> Asia’s fastest growing economies </w:t>
      </w:r>
      <w:r>
        <w:rPr>
          <w:lang w:val="en-GB"/>
        </w:rPr>
        <w:t>over</w:t>
      </w:r>
      <w:r w:rsidRPr="00DD42FD">
        <w:rPr>
          <w:lang w:val="en-GB"/>
        </w:rPr>
        <w:t xml:space="preserve"> the past decade</w:t>
      </w:r>
      <w:r>
        <w:rPr>
          <w:lang w:val="en-GB"/>
        </w:rPr>
        <w:t>, with average</w:t>
      </w:r>
      <w:r w:rsidRPr="00DD42FD">
        <w:rPr>
          <w:lang w:val="en-GB"/>
        </w:rPr>
        <w:t xml:space="preserve"> growth of around 6% p.a. Growth </w:t>
      </w:r>
      <w:r>
        <w:rPr>
          <w:lang w:val="en-GB"/>
        </w:rPr>
        <w:t>had been</w:t>
      </w:r>
      <w:r w:rsidRPr="00DD42FD">
        <w:rPr>
          <w:lang w:val="en-GB"/>
        </w:rPr>
        <w:t xml:space="preserve"> accelerating, reaching </w:t>
      </w:r>
      <w:r>
        <w:rPr>
          <w:lang w:val="en-GB"/>
        </w:rPr>
        <w:t>6</w:t>
      </w:r>
      <w:r w:rsidRPr="00DD42FD">
        <w:rPr>
          <w:lang w:val="en-GB"/>
        </w:rPr>
        <w:t>.9</w:t>
      </w:r>
      <w:r>
        <w:rPr>
          <w:lang w:val="en-GB"/>
        </w:rPr>
        <w:t>4</w:t>
      </w:r>
      <w:r w:rsidRPr="00DD42FD">
        <w:rPr>
          <w:lang w:val="en-GB"/>
        </w:rPr>
        <w:t>% in 20</w:t>
      </w:r>
      <w:r>
        <w:rPr>
          <w:lang w:val="en-GB"/>
        </w:rPr>
        <w:t>21, 7.1</w:t>
      </w:r>
      <w:r w:rsidRPr="00DD42FD">
        <w:rPr>
          <w:lang w:val="en-GB"/>
        </w:rPr>
        <w:t>% in 20</w:t>
      </w:r>
      <w:r>
        <w:rPr>
          <w:lang w:val="en-GB"/>
        </w:rPr>
        <w:t>22 and 6.03% in 2023</w:t>
      </w:r>
      <w:r>
        <w:rPr>
          <w:rStyle w:val="FootnoteReference"/>
          <w:lang w:val="en-GB"/>
        </w:rPr>
        <w:footnoteReference w:id="6"/>
      </w:r>
      <w:r w:rsidRPr="00DD42FD">
        <w:rPr>
          <w:lang w:val="en-GB"/>
        </w:rPr>
        <w:t>. Th</w:t>
      </w:r>
      <w:r>
        <w:rPr>
          <w:lang w:val="en-GB"/>
        </w:rPr>
        <w:t>e</w:t>
      </w:r>
      <w:r w:rsidRPr="00DD42FD">
        <w:rPr>
          <w:lang w:val="en-GB"/>
        </w:rPr>
        <w:t xml:space="preserve"> accelerated growth</w:t>
      </w:r>
      <w:r>
        <w:rPr>
          <w:lang w:val="en-GB"/>
        </w:rPr>
        <w:t xml:space="preserve"> in the past decade</w:t>
      </w:r>
      <w:r w:rsidRPr="00DD42FD">
        <w:rPr>
          <w:lang w:val="en-GB"/>
        </w:rPr>
        <w:t xml:space="preserve"> </w:t>
      </w:r>
      <w:r>
        <w:rPr>
          <w:lang w:val="en-GB"/>
        </w:rPr>
        <w:t>was</w:t>
      </w:r>
      <w:r w:rsidRPr="00DD42FD">
        <w:rPr>
          <w:lang w:val="en-GB"/>
        </w:rPr>
        <w:t xml:space="preserve"> attributed to a “demographic dividend”, strong ready-made garment exports and stable macroeconomic conditions.</w:t>
      </w:r>
      <w:r>
        <w:rPr>
          <w:lang w:val="en-GB"/>
        </w:rPr>
        <w:t xml:space="preserve"> However, recent political unrest in July and August 2024 has affected this growth trend. Factors like r</w:t>
      </w:r>
      <w:r w:rsidRPr="003B7A7C">
        <w:rPr>
          <w:lang w:val="en-GB"/>
        </w:rPr>
        <w:t>educed export demand</w:t>
      </w:r>
      <w:r>
        <w:rPr>
          <w:lang w:val="en-GB"/>
        </w:rPr>
        <w:t xml:space="preserve">, </w:t>
      </w:r>
      <w:r w:rsidRPr="003B7A7C">
        <w:rPr>
          <w:lang w:val="en-GB"/>
        </w:rPr>
        <w:t xml:space="preserve">domestic energy shortages </w:t>
      </w:r>
      <w:r>
        <w:rPr>
          <w:lang w:val="en-GB"/>
        </w:rPr>
        <w:t xml:space="preserve">and </w:t>
      </w:r>
      <w:r w:rsidRPr="003B7A7C">
        <w:rPr>
          <w:lang w:val="en-GB"/>
        </w:rPr>
        <w:t>adverse weather constrained agriculture</w:t>
      </w:r>
      <w:r>
        <w:rPr>
          <w:lang w:val="en-GB"/>
        </w:rPr>
        <w:t xml:space="preserve"> have significantly contributed to decrease in GDP growth rate wherein same is expected to reach 5.8% in 2024 only 5.1% in 2025</w:t>
      </w:r>
      <w:r>
        <w:rPr>
          <w:rStyle w:val="FootnoteReference"/>
          <w:lang w:val="en-GB"/>
        </w:rPr>
        <w:footnoteReference w:id="7"/>
      </w:r>
      <w:r>
        <w:rPr>
          <w:lang w:val="en-GB"/>
        </w:rPr>
        <w:t>.</w:t>
      </w:r>
      <w:r w:rsidR="0008050A">
        <w:t xml:space="preserve"> </w:t>
      </w:r>
    </w:p>
    <w:p w14:paraId="5A84026B" w14:textId="77777777" w:rsidR="00CB4395" w:rsidRDefault="00CB4395" w:rsidP="00240498">
      <w:pPr>
        <w:pStyle w:val="Caption"/>
        <w:keepNext/>
        <w:rPr>
          <w:color w:val="auto"/>
        </w:rPr>
      </w:pPr>
    </w:p>
    <w:p w14:paraId="3E830B24" w14:textId="65790056" w:rsidR="00240498" w:rsidRPr="006225BA" w:rsidRDefault="00240498" w:rsidP="00240498">
      <w:pPr>
        <w:pStyle w:val="Caption"/>
        <w:keepNext/>
        <w:rPr>
          <w:color w:val="auto"/>
        </w:rPr>
      </w:pPr>
      <w:bookmarkStart w:id="52" w:name="_Toc185235919"/>
      <w:r w:rsidRPr="006225BA">
        <w:rPr>
          <w:color w:val="auto"/>
        </w:rPr>
        <w:t xml:space="preserve">Table </w:t>
      </w:r>
      <w:r w:rsidRPr="006225BA">
        <w:rPr>
          <w:color w:val="auto"/>
        </w:rPr>
        <w:fldChar w:fldCharType="begin"/>
      </w:r>
      <w:r w:rsidRPr="006225BA">
        <w:rPr>
          <w:color w:val="auto"/>
        </w:rPr>
        <w:instrText xml:space="preserve"> SEQ Table \* ARABIC </w:instrText>
      </w:r>
      <w:r w:rsidRPr="006225BA">
        <w:rPr>
          <w:color w:val="auto"/>
        </w:rPr>
        <w:fldChar w:fldCharType="separate"/>
      </w:r>
      <w:r w:rsidR="0053735A">
        <w:rPr>
          <w:noProof/>
          <w:color w:val="auto"/>
        </w:rPr>
        <w:t>1</w:t>
      </w:r>
      <w:r w:rsidRPr="006225BA">
        <w:rPr>
          <w:color w:val="auto"/>
        </w:rPr>
        <w:fldChar w:fldCharType="end"/>
      </w:r>
      <w:r w:rsidRPr="006225BA">
        <w:rPr>
          <w:color w:val="auto"/>
        </w:rPr>
        <w:t xml:space="preserve">: Macroeconomic </w:t>
      </w:r>
      <w:r w:rsidR="006225BA" w:rsidRPr="006225BA">
        <w:rPr>
          <w:color w:val="auto"/>
        </w:rPr>
        <w:t xml:space="preserve">(GDP) </w:t>
      </w:r>
      <w:r w:rsidRPr="006225BA">
        <w:rPr>
          <w:color w:val="auto"/>
        </w:rPr>
        <w:t>trend in Bangladesh</w:t>
      </w:r>
      <w:bookmarkEnd w:id="52"/>
    </w:p>
    <w:tbl>
      <w:tblPr>
        <w:tblStyle w:val="GridTable4-Accent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0"/>
        <w:gridCol w:w="862"/>
        <w:gridCol w:w="862"/>
        <w:gridCol w:w="862"/>
        <w:gridCol w:w="862"/>
        <w:gridCol w:w="862"/>
        <w:gridCol w:w="862"/>
        <w:gridCol w:w="862"/>
        <w:gridCol w:w="862"/>
        <w:gridCol w:w="864"/>
      </w:tblGrid>
      <w:tr w:rsidR="00AB5408" w:rsidRPr="00DD42FD" w14:paraId="272B32A7" w14:textId="77777777" w:rsidTr="00240498">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850" w:type="pct"/>
            <w:tcBorders>
              <w:top w:val="none" w:sz="0" w:space="0" w:color="auto"/>
              <w:left w:val="none" w:sz="0" w:space="0" w:color="auto"/>
              <w:bottom w:val="none" w:sz="0" w:space="0" w:color="auto"/>
              <w:right w:val="none" w:sz="0" w:space="0" w:color="auto"/>
            </w:tcBorders>
            <w:shd w:val="clear" w:color="auto" w:fill="002776" w:themeFill="accent1"/>
            <w:hideMark/>
          </w:tcPr>
          <w:p w14:paraId="7ECB5DFA" w14:textId="77777777" w:rsidR="00AB5408" w:rsidRPr="00DD42FD" w:rsidRDefault="00AB5408" w:rsidP="00A11603">
            <w:pPr>
              <w:autoSpaceDE w:val="0"/>
              <w:autoSpaceDN w:val="0"/>
              <w:adjustRightInd w:val="0"/>
              <w:snapToGrid w:val="0"/>
              <w:jc w:val="center"/>
              <w:rPr>
                <w:rFonts w:cs="Arial"/>
                <w:b w:val="0"/>
                <w:sz w:val="18"/>
                <w:szCs w:val="18"/>
                <w:lang w:val="en-GB"/>
              </w:rPr>
            </w:pPr>
            <w:r w:rsidRPr="00DD42FD">
              <w:rPr>
                <w:rFonts w:cs="Arial"/>
                <w:sz w:val="18"/>
                <w:szCs w:val="18"/>
                <w:lang w:val="en-GB"/>
              </w:rPr>
              <w:t>Macroeconomic parameter</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hideMark/>
          </w:tcPr>
          <w:p w14:paraId="5AE13BD3" w14:textId="77777777" w:rsidR="00AB5408" w:rsidRPr="00DD42FD" w:rsidRDefault="00AB5408" w:rsidP="00A11603">
            <w:pPr>
              <w:autoSpaceDE w:val="0"/>
              <w:autoSpaceDN w:val="0"/>
              <w:adjustRightInd w:val="0"/>
              <w:snapToGrid w:val="0"/>
              <w:jc w:val="center"/>
              <w:cnfStyle w:val="100000000000" w:firstRow="1" w:lastRow="0" w:firstColumn="0" w:lastColumn="0" w:oddVBand="0" w:evenVBand="0" w:oddHBand="0" w:evenHBand="0" w:firstRowFirstColumn="0" w:firstRowLastColumn="0" w:lastRowFirstColumn="0" w:lastRowLastColumn="0"/>
              <w:rPr>
                <w:rFonts w:cs="Arial"/>
                <w:b w:val="0"/>
                <w:sz w:val="18"/>
                <w:szCs w:val="18"/>
                <w:lang w:val="en-GB"/>
              </w:rPr>
            </w:pPr>
            <w:r w:rsidRPr="00DD42FD">
              <w:rPr>
                <w:rFonts w:cs="Arial"/>
                <w:sz w:val="18"/>
                <w:szCs w:val="18"/>
                <w:lang w:val="en-GB"/>
              </w:rPr>
              <w:t>2015-16</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hideMark/>
          </w:tcPr>
          <w:p w14:paraId="0DC0FF2C" w14:textId="77777777" w:rsidR="00AB5408" w:rsidRPr="00DD42FD" w:rsidRDefault="00AB5408" w:rsidP="00A11603">
            <w:pPr>
              <w:autoSpaceDE w:val="0"/>
              <w:autoSpaceDN w:val="0"/>
              <w:adjustRightInd w:val="0"/>
              <w:snapToGrid w:val="0"/>
              <w:jc w:val="center"/>
              <w:cnfStyle w:val="100000000000" w:firstRow="1" w:lastRow="0" w:firstColumn="0" w:lastColumn="0" w:oddVBand="0" w:evenVBand="0" w:oddHBand="0" w:evenHBand="0" w:firstRowFirstColumn="0" w:firstRowLastColumn="0" w:lastRowFirstColumn="0" w:lastRowLastColumn="0"/>
              <w:rPr>
                <w:rFonts w:cs="Arial"/>
                <w:b w:val="0"/>
                <w:sz w:val="18"/>
                <w:szCs w:val="18"/>
                <w:lang w:val="en-GB"/>
              </w:rPr>
            </w:pPr>
            <w:r w:rsidRPr="00DD42FD">
              <w:rPr>
                <w:rFonts w:cs="Arial"/>
                <w:sz w:val="18"/>
                <w:szCs w:val="18"/>
                <w:lang w:val="en-GB"/>
              </w:rPr>
              <w:t>2016-17</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hideMark/>
          </w:tcPr>
          <w:p w14:paraId="4009F594" w14:textId="77777777" w:rsidR="00AB5408" w:rsidRPr="00DD42FD" w:rsidRDefault="00AB5408" w:rsidP="00A11603">
            <w:pPr>
              <w:autoSpaceDE w:val="0"/>
              <w:autoSpaceDN w:val="0"/>
              <w:adjustRightInd w:val="0"/>
              <w:snapToGrid w:val="0"/>
              <w:jc w:val="center"/>
              <w:cnfStyle w:val="100000000000" w:firstRow="1" w:lastRow="0" w:firstColumn="0" w:lastColumn="0" w:oddVBand="0" w:evenVBand="0" w:oddHBand="0" w:evenHBand="0" w:firstRowFirstColumn="0" w:firstRowLastColumn="0" w:lastRowFirstColumn="0" w:lastRowLastColumn="0"/>
              <w:rPr>
                <w:rFonts w:cs="Arial"/>
                <w:b w:val="0"/>
                <w:sz w:val="18"/>
                <w:szCs w:val="18"/>
                <w:lang w:val="en-GB"/>
              </w:rPr>
            </w:pPr>
            <w:r w:rsidRPr="00DD42FD">
              <w:rPr>
                <w:rFonts w:cs="Arial"/>
                <w:sz w:val="18"/>
                <w:szCs w:val="18"/>
                <w:lang w:val="en-GB"/>
              </w:rPr>
              <w:t>2017-18</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hideMark/>
          </w:tcPr>
          <w:p w14:paraId="591F0A40" w14:textId="77777777" w:rsidR="00AB5408" w:rsidRPr="00DD42FD" w:rsidRDefault="00AB5408" w:rsidP="00A11603">
            <w:pPr>
              <w:autoSpaceDE w:val="0"/>
              <w:autoSpaceDN w:val="0"/>
              <w:adjustRightInd w:val="0"/>
              <w:snapToGrid w:val="0"/>
              <w:jc w:val="center"/>
              <w:cnfStyle w:val="100000000000" w:firstRow="1" w:lastRow="0" w:firstColumn="0" w:lastColumn="0" w:oddVBand="0" w:evenVBand="0" w:oddHBand="0" w:evenHBand="0" w:firstRowFirstColumn="0" w:firstRowLastColumn="0" w:lastRowFirstColumn="0" w:lastRowLastColumn="0"/>
              <w:rPr>
                <w:rFonts w:cs="Arial"/>
                <w:b w:val="0"/>
                <w:sz w:val="18"/>
                <w:szCs w:val="18"/>
                <w:lang w:val="en-GB"/>
              </w:rPr>
            </w:pPr>
            <w:r w:rsidRPr="00DD42FD">
              <w:rPr>
                <w:rFonts w:cs="Arial"/>
                <w:sz w:val="18"/>
                <w:szCs w:val="18"/>
                <w:lang w:val="en-GB"/>
              </w:rPr>
              <w:t>2018-19</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tcPr>
          <w:p w14:paraId="16D93123" w14:textId="77777777" w:rsidR="00AB5408" w:rsidRPr="00DD42FD" w:rsidRDefault="00AB5408" w:rsidP="00A11603">
            <w:pPr>
              <w:autoSpaceDE w:val="0"/>
              <w:autoSpaceDN w:val="0"/>
              <w:adjustRightInd w:val="0"/>
              <w:snapToGrid w:val="0"/>
              <w:jc w:val="center"/>
              <w:cnfStyle w:val="100000000000" w:firstRow="1" w:lastRow="0" w:firstColumn="0" w:lastColumn="0" w:oddVBand="0" w:evenVBand="0" w:oddHBand="0" w:evenHBand="0" w:firstRowFirstColumn="0" w:firstRowLastColumn="0" w:lastRowFirstColumn="0" w:lastRowLastColumn="0"/>
              <w:rPr>
                <w:rFonts w:cs="Arial"/>
                <w:sz w:val="18"/>
                <w:szCs w:val="18"/>
                <w:lang w:val="en-GB"/>
              </w:rPr>
            </w:pPr>
            <w:r w:rsidRPr="00DD42FD">
              <w:rPr>
                <w:rFonts w:cs="Arial"/>
                <w:sz w:val="18"/>
                <w:szCs w:val="18"/>
                <w:lang w:val="en-GB"/>
              </w:rPr>
              <w:t>2019-20</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tcPr>
          <w:p w14:paraId="253ED72B" w14:textId="77777777" w:rsidR="00AB5408" w:rsidRPr="00DD42FD" w:rsidRDefault="00AB5408" w:rsidP="00A11603">
            <w:pPr>
              <w:autoSpaceDE w:val="0"/>
              <w:autoSpaceDN w:val="0"/>
              <w:adjustRightInd w:val="0"/>
              <w:snapToGrid w:val="0"/>
              <w:cnfStyle w:val="100000000000" w:firstRow="1" w:lastRow="0" w:firstColumn="0" w:lastColumn="0" w:oddVBand="0" w:evenVBand="0" w:oddHBand="0" w:evenHBand="0" w:firstRowFirstColumn="0" w:firstRowLastColumn="0" w:lastRowFirstColumn="0" w:lastRowLastColumn="0"/>
              <w:rPr>
                <w:rFonts w:cs="Arial"/>
                <w:sz w:val="18"/>
                <w:szCs w:val="18"/>
                <w:lang w:val="en-GB"/>
              </w:rPr>
            </w:pPr>
            <w:r w:rsidRPr="00DD42FD">
              <w:rPr>
                <w:rFonts w:cs="Arial"/>
                <w:sz w:val="18"/>
                <w:szCs w:val="18"/>
                <w:lang w:val="en-GB"/>
              </w:rPr>
              <w:t xml:space="preserve">  2020-21</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tcPr>
          <w:p w14:paraId="76D16316" w14:textId="77777777" w:rsidR="00AB5408" w:rsidRPr="00DD42FD" w:rsidRDefault="00AB5408" w:rsidP="00A11603">
            <w:pPr>
              <w:autoSpaceDE w:val="0"/>
              <w:autoSpaceDN w:val="0"/>
              <w:adjustRightInd w:val="0"/>
              <w:snapToGrid w:val="0"/>
              <w:cnfStyle w:val="100000000000" w:firstRow="1" w:lastRow="0" w:firstColumn="0" w:lastColumn="0" w:oddVBand="0" w:evenVBand="0" w:oddHBand="0" w:evenHBand="0" w:firstRowFirstColumn="0" w:firstRowLastColumn="0" w:lastRowFirstColumn="0" w:lastRowLastColumn="0"/>
              <w:rPr>
                <w:rFonts w:cs="Arial"/>
                <w:sz w:val="18"/>
                <w:szCs w:val="18"/>
                <w:lang w:val="en-GB"/>
              </w:rPr>
            </w:pPr>
            <w:r>
              <w:rPr>
                <w:rFonts w:cs="Arial"/>
                <w:sz w:val="18"/>
                <w:szCs w:val="18"/>
                <w:lang w:val="en-GB"/>
              </w:rPr>
              <w:t>2021-22</w:t>
            </w:r>
          </w:p>
        </w:tc>
        <w:tc>
          <w:tcPr>
            <w:tcW w:w="461" w:type="pct"/>
            <w:tcBorders>
              <w:top w:val="none" w:sz="0" w:space="0" w:color="auto"/>
              <w:left w:val="none" w:sz="0" w:space="0" w:color="auto"/>
              <w:bottom w:val="none" w:sz="0" w:space="0" w:color="auto"/>
              <w:right w:val="none" w:sz="0" w:space="0" w:color="auto"/>
            </w:tcBorders>
            <w:shd w:val="clear" w:color="auto" w:fill="002776" w:themeFill="accent1"/>
          </w:tcPr>
          <w:p w14:paraId="59D3345C" w14:textId="77777777" w:rsidR="00AB5408" w:rsidRPr="00DD42FD" w:rsidRDefault="00AB5408" w:rsidP="00A11603">
            <w:pPr>
              <w:autoSpaceDE w:val="0"/>
              <w:autoSpaceDN w:val="0"/>
              <w:adjustRightInd w:val="0"/>
              <w:snapToGrid w:val="0"/>
              <w:cnfStyle w:val="100000000000" w:firstRow="1" w:lastRow="0" w:firstColumn="0" w:lastColumn="0" w:oddVBand="0" w:evenVBand="0" w:oddHBand="0" w:evenHBand="0" w:firstRowFirstColumn="0" w:firstRowLastColumn="0" w:lastRowFirstColumn="0" w:lastRowLastColumn="0"/>
              <w:rPr>
                <w:rFonts w:cs="Arial"/>
                <w:sz w:val="18"/>
                <w:szCs w:val="18"/>
                <w:lang w:val="en-GB"/>
              </w:rPr>
            </w:pPr>
            <w:r>
              <w:rPr>
                <w:rFonts w:cs="Arial"/>
                <w:sz w:val="18"/>
                <w:szCs w:val="18"/>
                <w:lang w:val="en-GB"/>
              </w:rPr>
              <w:t>2022-23</w:t>
            </w:r>
          </w:p>
        </w:tc>
        <w:tc>
          <w:tcPr>
            <w:tcW w:w="462" w:type="pct"/>
            <w:tcBorders>
              <w:top w:val="none" w:sz="0" w:space="0" w:color="auto"/>
              <w:left w:val="none" w:sz="0" w:space="0" w:color="auto"/>
              <w:bottom w:val="none" w:sz="0" w:space="0" w:color="auto"/>
              <w:right w:val="none" w:sz="0" w:space="0" w:color="auto"/>
            </w:tcBorders>
            <w:shd w:val="clear" w:color="auto" w:fill="002776" w:themeFill="accent1"/>
          </w:tcPr>
          <w:p w14:paraId="168C8085" w14:textId="77777777" w:rsidR="00AB5408" w:rsidRDefault="00AB5408" w:rsidP="00A11603">
            <w:pPr>
              <w:autoSpaceDE w:val="0"/>
              <w:autoSpaceDN w:val="0"/>
              <w:adjustRightInd w:val="0"/>
              <w:snapToGrid w:val="0"/>
              <w:cnfStyle w:val="100000000000" w:firstRow="1" w:lastRow="0" w:firstColumn="0" w:lastColumn="0" w:oddVBand="0" w:evenVBand="0" w:oddHBand="0" w:evenHBand="0" w:firstRowFirstColumn="0" w:firstRowLastColumn="0" w:lastRowFirstColumn="0" w:lastRowLastColumn="0"/>
              <w:rPr>
                <w:rFonts w:cs="Arial"/>
                <w:sz w:val="18"/>
                <w:szCs w:val="18"/>
                <w:lang w:val="en-GB"/>
              </w:rPr>
            </w:pPr>
            <w:r>
              <w:rPr>
                <w:rFonts w:cs="Arial"/>
                <w:sz w:val="18"/>
                <w:szCs w:val="18"/>
                <w:lang w:val="en-GB"/>
              </w:rPr>
              <w:t>2023-24</w:t>
            </w:r>
          </w:p>
        </w:tc>
      </w:tr>
      <w:tr w:rsidR="00AB5408" w:rsidRPr="00DD42FD" w14:paraId="7905E959" w14:textId="77777777" w:rsidTr="00240498">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50" w:type="pct"/>
            <w:shd w:val="clear" w:color="auto" w:fill="auto"/>
            <w:hideMark/>
          </w:tcPr>
          <w:p w14:paraId="3F42FD52" w14:textId="77777777" w:rsidR="00AB5408" w:rsidRPr="00DD42FD" w:rsidRDefault="00AB5408" w:rsidP="00A11603">
            <w:pPr>
              <w:autoSpaceDE w:val="0"/>
              <w:autoSpaceDN w:val="0"/>
              <w:adjustRightInd w:val="0"/>
              <w:snapToGrid w:val="0"/>
              <w:rPr>
                <w:rFonts w:cs="Arial"/>
                <w:b w:val="0"/>
                <w:color w:val="000000" w:themeColor="text1"/>
                <w:sz w:val="18"/>
                <w:szCs w:val="18"/>
                <w:lang w:val="en-GB"/>
              </w:rPr>
            </w:pPr>
            <w:r w:rsidRPr="00DD42FD">
              <w:rPr>
                <w:rFonts w:cs="Arial"/>
                <w:color w:val="000000" w:themeColor="text1"/>
                <w:sz w:val="18"/>
                <w:szCs w:val="18"/>
                <w:lang w:val="en-GB"/>
              </w:rPr>
              <w:t>GDP growth</w:t>
            </w:r>
          </w:p>
        </w:tc>
        <w:tc>
          <w:tcPr>
            <w:tcW w:w="461" w:type="pct"/>
            <w:shd w:val="clear" w:color="auto" w:fill="auto"/>
            <w:hideMark/>
          </w:tcPr>
          <w:p w14:paraId="07FD05AA" w14:textId="77777777" w:rsidR="00AB5408" w:rsidRPr="00DD42FD" w:rsidRDefault="00AB5408" w:rsidP="00A11603">
            <w:pPr>
              <w:autoSpaceDE w:val="0"/>
              <w:autoSpaceDN w:val="0"/>
              <w:adjustRightInd w:val="0"/>
              <w:snapToGrid w:val="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sidRPr="00DD42FD">
              <w:rPr>
                <w:rFonts w:cs="Arial"/>
                <w:color w:val="000000" w:themeColor="text1"/>
                <w:sz w:val="18"/>
                <w:szCs w:val="18"/>
                <w:lang w:val="en-GB"/>
              </w:rPr>
              <w:t>6.56%</w:t>
            </w:r>
          </w:p>
        </w:tc>
        <w:tc>
          <w:tcPr>
            <w:tcW w:w="461" w:type="pct"/>
            <w:shd w:val="clear" w:color="auto" w:fill="auto"/>
            <w:hideMark/>
          </w:tcPr>
          <w:p w14:paraId="10CEFA31" w14:textId="77777777" w:rsidR="00AB5408" w:rsidRPr="00DD42FD" w:rsidRDefault="00AB5408" w:rsidP="00A11603">
            <w:pPr>
              <w:autoSpaceDE w:val="0"/>
              <w:autoSpaceDN w:val="0"/>
              <w:adjustRightInd w:val="0"/>
              <w:snapToGrid w:val="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sidRPr="00DD42FD">
              <w:rPr>
                <w:rFonts w:cs="Arial"/>
                <w:color w:val="000000" w:themeColor="text1"/>
                <w:sz w:val="18"/>
                <w:szCs w:val="18"/>
                <w:lang w:val="en-GB"/>
              </w:rPr>
              <w:t>7.11%</w:t>
            </w:r>
          </w:p>
        </w:tc>
        <w:tc>
          <w:tcPr>
            <w:tcW w:w="461" w:type="pct"/>
            <w:shd w:val="clear" w:color="auto" w:fill="auto"/>
            <w:hideMark/>
          </w:tcPr>
          <w:p w14:paraId="6F60DC73" w14:textId="77777777" w:rsidR="00AB5408" w:rsidRPr="00DD42FD" w:rsidRDefault="00AB5408" w:rsidP="00A11603">
            <w:pPr>
              <w:autoSpaceDE w:val="0"/>
              <w:autoSpaceDN w:val="0"/>
              <w:adjustRightInd w:val="0"/>
              <w:snapToGrid w:val="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sidRPr="00DD42FD">
              <w:rPr>
                <w:rFonts w:cs="Arial"/>
                <w:color w:val="000000" w:themeColor="text1"/>
                <w:sz w:val="18"/>
                <w:szCs w:val="18"/>
                <w:lang w:val="en-GB"/>
              </w:rPr>
              <w:t>7.28%</w:t>
            </w:r>
          </w:p>
        </w:tc>
        <w:tc>
          <w:tcPr>
            <w:tcW w:w="461" w:type="pct"/>
            <w:shd w:val="clear" w:color="auto" w:fill="auto"/>
            <w:hideMark/>
          </w:tcPr>
          <w:p w14:paraId="71F61FE2" w14:textId="77777777" w:rsidR="00AB5408" w:rsidRPr="00DD42FD" w:rsidRDefault="00AB5408" w:rsidP="00A11603">
            <w:pPr>
              <w:autoSpaceDE w:val="0"/>
              <w:autoSpaceDN w:val="0"/>
              <w:adjustRightInd w:val="0"/>
              <w:snapToGrid w:val="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sidRPr="00DD42FD">
              <w:rPr>
                <w:rFonts w:cs="Arial"/>
                <w:color w:val="000000" w:themeColor="text1"/>
                <w:sz w:val="18"/>
                <w:szCs w:val="18"/>
                <w:lang w:val="en-GB"/>
              </w:rPr>
              <w:t>7.86%</w:t>
            </w:r>
          </w:p>
        </w:tc>
        <w:tc>
          <w:tcPr>
            <w:tcW w:w="461" w:type="pct"/>
            <w:shd w:val="clear" w:color="auto" w:fill="auto"/>
          </w:tcPr>
          <w:p w14:paraId="0A3227E7" w14:textId="77777777" w:rsidR="00AB5408" w:rsidRPr="00DD42FD" w:rsidRDefault="00AB5408" w:rsidP="00A11603">
            <w:pPr>
              <w:autoSpaceDE w:val="0"/>
              <w:autoSpaceDN w:val="0"/>
              <w:adjustRightInd w:val="0"/>
              <w:snapToGrid w:val="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sidRPr="00DD42FD">
              <w:rPr>
                <w:rFonts w:cs="Arial"/>
                <w:color w:val="000000" w:themeColor="text1"/>
                <w:sz w:val="18"/>
                <w:szCs w:val="18"/>
                <w:lang w:val="en-GB"/>
              </w:rPr>
              <w:t>8.20%</w:t>
            </w:r>
          </w:p>
        </w:tc>
        <w:tc>
          <w:tcPr>
            <w:tcW w:w="461" w:type="pct"/>
            <w:shd w:val="clear" w:color="auto" w:fill="auto"/>
          </w:tcPr>
          <w:p w14:paraId="413173B4" w14:textId="77777777" w:rsidR="00AB5408" w:rsidRPr="00DD42FD" w:rsidRDefault="00AB5408" w:rsidP="00A11603">
            <w:pPr>
              <w:autoSpaceDE w:val="0"/>
              <w:autoSpaceDN w:val="0"/>
              <w:adjustRightInd w:val="0"/>
              <w:snapToGrid w:val="0"/>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sidRPr="00DD42FD">
              <w:rPr>
                <w:rFonts w:cs="Arial"/>
                <w:color w:val="000000" w:themeColor="text1"/>
                <w:sz w:val="18"/>
                <w:szCs w:val="18"/>
                <w:lang w:val="en-GB"/>
              </w:rPr>
              <w:t xml:space="preserve">2.37%    </w:t>
            </w:r>
          </w:p>
        </w:tc>
        <w:tc>
          <w:tcPr>
            <w:tcW w:w="461" w:type="pct"/>
            <w:shd w:val="clear" w:color="auto" w:fill="auto"/>
          </w:tcPr>
          <w:p w14:paraId="21308F5E" w14:textId="77777777" w:rsidR="00AB5408" w:rsidRPr="00DD42FD" w:rsidRDefault="00AB5408" w:rsidP="00A11603">
            <w:pPr>
              <w:autoSpaceDE w:val="0"/>
              <w:autoSpaceDN w:val="0"/>
              <w:adjustRightInd w:val="0"/>
              <w:snapToGrid w:val="0"/>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Pr>
                <w:rFonts w:cs="Arial"/>
                <w:color w:val="000000" w:themeColor="text1"/>
                <w:sz w:val="18"/>
                <w:szCs w:val="18"/>
                <w:lang w:val="en-GB"/>
              </w:rPr>
              <w:t>6.94%</w:t>
            </w:r>
          </w:p>
        </w:tc>
        <w:tc>
          <w:tcPr>
            <w:tcW w:w="461" w:type="pct"/>
            <w:shd w:val="clear" w:color="auto" w:fill="auto"/>
          </w:tcPr>
          <w:p w14:paraId="5EF8CDDB" w14:textId="77777777" w:rsidR="00AB5408" w:rsidRPr="00DD42FD" w:rsidRDefault="00AB5408" w:rsidP="00A11603">
            <w:pPr>
              <w:autoSpaceDE w:val="0"/>
              <w:autoSpaceDN w:val="0"/>
              <w:adjustRightInd w:val="0"/>
              <w:snapToGrid w:val="0"/>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Pr>
                <w:rFonts w:cs="Arial"/>
                <w:color w:val="000000" w:themeColor="text1"/>
                <w:sz w:val="18"/>
                <w:szCs w:val="18"/>
                <w:lang w:val="en-GB"/>
              </w:rPr>
              <w:t>7.1%</w:t>
            </w:r>
          </w:p>
        </w:tc>
        <w:tc>
          <w:tcPr>
            <w:tcW w:w="462" w:type="pct"/>
            <w:shd w:val="clear" w:color="auto" w:fill="auto"/>
          </w:tcPr>
          <w:p w14:paraId="09FE3A0E" w14:textId="77777777" w:rsidR="00AB5408" w:rsidRDefault="00AB5408" w:rsidP="00A11603">
            <w:pPr>
              <w:autoSpaceDE w:val="0"/>
              <w:autoSpaceDN w:val="0"/>
              <w:adjustRightInd w:val="0"/>
              <w:snapToGrid w:val="0"/>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lang w:val="en-GB"/>
              </w:rPr>
            </w:pPr>
            <w:r>
              <w:rPr>
                <w:rFonts w:cs="Arial"/>
                <w:color w:val="000000" w:themeColor="text1"/>
                <w:sz w:val="18"/>
                <w:szCs w:val="18"/>
                <w:lang w:val="en-GB"/>
              </w:rPr>
              <w:t>6.03%</w:t>
            </w:r>
          </w:p>
        </w:tc>
      </w:tr>
    </w:tbl>
    <w:p w14:paraId="136612F1" w14:textId="77777777" w:rsidR="00404756" w:rsidRDefault="00404756" w:rsidP="00862E4C"/>
    <w:p w14:paraId="5F6020AB" w14:textId="07BDA3AB" w:rsidR="00147784" w:rsidRDefault="0008050A" w:rsidP="00862E4C">
      <w:r>
        <w:t>The country’s</w:t>
      </w:r>
      <w:r w:rsidR="00147784" w:rsidRPr="000F48F7">
        <w:t xml:space="preserve"> rising energy demand</w:t>
      </w:r>
      <w:r w:rsidR="00E2795D">
        <w:t xml:space="preserve"> as witnessed historically</w:t>
      </w:r>
      <w:r w:rsidR="00147784" w:rsidRPr="000F48F7">
        <w:t xml:space="preserve">, </w:t>
      </w:r>
      <w:r w:rsidR="00A80800">
        <w:t xml:space="preserve">has been </w:t>
      </w:r>
      <w:r w:rsidR="00147784" w:rsidRPr="000F48F7">
        <w:t xml:space="preserve">driven </w:t>
      </w:r>
      <w:r w:rsidR="00A80800">
        <w:t xml:space="preserve">majorly </w:t>
      </w:r>
      <w:r w:rsidR="00147784" w:rsidRPr="000F48F7">
        <w:t xml:space="preserve">by industrialization, </w:t>
      </w:r>
      <w:r w:rsidR="00A80800">
        <w:t xml:space="preserve">which </w:t>
      </w:r>
      <w:r w:rsidR="00147784" w:rsidRPr="000F48F7">
        <w:t>makes regional energy cooperation critical for meeting future requirements sustainably.</w:t>
      </w:r>
      <w:r w:rsidR="00147784">
        <w:t xml:space="preserve"> This is substantiated by the fact that </w:t>
      </w:r>
      <w:r w:rsidR="00147784" w:rsidRPr="00676C6B">
        <w:t>historically, electricity peak demand has witnessed a steady growth, with a CAGR of ~9% from 2018-19 to 2022-23 while electricity consumption has grown at a CAGR of 6% during same period. As per the annual report of FY 2022-</w:t>
      </w:r>
      <w:proofErr w:type="gramStart"/>
      <w:r w:rsidR="00147784" w:rsidRPr="00676C6B">
        <w:t>23</w:t>
      </w:r>
      <w:r w:rsidR="008E7260">
        <w:t xml:space="preserve"> </w:t>
      </w:r>
      <w:r w:rsidR="00147784" w:rsidRPr="00676C6B">
        <w:t>,peak</w:t>
      </w:r>
      <w:proofErr w:type="gramEnd"/>
      <w:r w:rsidR="00147784" w:rsidRPr="00676C6B">
        <w:t xml:space="preserve"> demand served in 2022/23 was 17,100MW, and total system generation was 88,450 GWh.</w:t>
      </w:r>
    </w:p>
    <w:p w14:paraId="30E24AA6" w14:textId="53D50C47" w:rsidR="006225BA" w:rsidRPr="00992750" w:rsidRDefault="006225BA" w:rsidP="00992750">
      <w:pPr>
        <w:pStyle w:val="Caption"/>
        <w:keepNext/>
        <w:rPr>
          <w:color w:val="auto"/>
        </w:rPr>
      </w:pPr>
      <w:bookmarkStart w:id="53" w:name="_Toc185235908"/>
      <w:r w:rsidRPr="00992750">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6</w:t>
      </w:r>
      <w:r w:rsidR="0017404E">
        <w:rPr>
          <w:color w:val="auto"/>
        </w:rPr>
        <w:fldChar w:fldCharType="end"/>
      </w:r>
      <w:r w:rsidRPr="00992750">
        <w:rPr>
          <w:color w:val="auto"/>
        </w:rPr>
        <w:t xml:space="preserve">: </w:t>
      </w:r>
      <w:r w:rsidR="00992750" w:rsidRPr="00992750">
        <w:rPr>
          <w:color w:val="auto"/>
        </w:rPr>
        <w:t xml:space="preserve">Maximum </w:t>
      </w:r>
      <w:r w:rsidRPr="00992750">
        <w:rPr>
          <w:color w:val="auto"/>
        </w:rPr>
        <w:t>Demand vs Demand Met trend in Bangladesh</w:t>
      </w:r>
      <w:bookmarkEnd w:id="53"/>
    </w:p>
    <w:p w14:paraId="5214716E" w14:textId="1ED54CBE" w:rsidR="00A80800" w:rsidRDefault="00BB3DB3" w:rsidP="00862E4C">
      <w:r w:rsidRPr="00DD42FD">
        <w:rPr>
          <w:rFonts w:cs="Arial"/>
          <w:noProof/>
          <w:color w:val="000000" w:themeColor="text1"/>
          <w:lang w:val="en-GB"/>
        </w:rPr>
        <w:drawing>
          <wp:inline distT="0" distB="0" distL="0" distR="0" wp14:anchorId="77EDCFE0" wp14:editId="06BEE6A2">
            <wp:extent cx="5943600" cy="2019000"/>
            <wp:effectExtent l="0" t="0" r="0" b="635"/>
            <wp:docPr id="247" name="Chart 24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F66513F" w14:textId="16CDE73A" w:rsidR="00653E8C" w:rsidRPr="00CB4395" w:rsidRDefault="00113040" w:rsidP="00862E4C">
      <w:pPr>
        <w:rPr>
          <w:rFonts w:cs="Arial"/>
          <w:sz w:val="16"/>
          <w:szCs w:val="16"/>
          <w:lang w:val="en-GB"/>
        </w:rPr>
      </w:pPr>
      <w:r w:rsidRPr="005F0C47">
        <w:rPr>
          <w:rFonts w:cs="Arial"/>
          <w:sz w:val="18"/>
          <w:szCs w:val="18"/>
          <w:lang w:val="en-GB"/>
        </w:rPr>
        <w:t>*As per the BPDB, the maximum demand served is max. available generation</w:t>
      </w:r>
      <w:r w:rsidR="002727A5" w:rsidRPr="005F0C47">
        <w:rPr>
          <w:rFonts w:cs="Arial"/>
          <w:sz w:val="18"/>
          <w:szCs w:val="18"/>
          <w:lang w:val="en-GB"/>
        </w:rPr>
        <w:t>. Source: BPDB</w:t>
      </w:r>
      <w:r w:rsidR="00CB4395" w:rsidRPr="005F0C47">
        <w:rPr>
          <w:rStyle w:val="FootnoteReference"/>
          <w:sz w:val="18"/>
          <w:szCs w:val="18"/>
          <w:lang w:val="en-GB"/>
        </w:rPr>
        <w:footnoteReference w:id="8"/>
      </w:r>
    </w:p>
    <w:p w14:paraId="7D59E5BA" w14:textId="77777777" w:rsidR="00331513" w:rsidRDefault="00331513" w:rsidP="006803EA">
      <w:pPr>
        <w:rPr>
          <w:b/>
          <w:bCs/>
        </w:rPr>
      </w:pPr>
    </w:p>
    <w:p w14:paraId="3F235498" w14:textId="0877F760" w:rsidR="006803EA" w:rsidRDefault="006803EA" w:rsidP="006803EA">
      <w:pPr>
        <w:rPr>
          <w:lang w:val="en-GB"/>
        </w:rPr>
      </w:pPr>
      <w:r w:rsidRPr="001A3026">
        <w:rPr>
          <w:b/>
          <w:bCs/>
        </w:rPr>
        <w:t>Bh</w:t>
      </w:r>
      <w:r>
        <w:rPr>
          <w:b/>
          <w:bCs/>
        </w:rPr>
        <w:t>utan</w:t>
      </w:r>
    </w:p>
    <w:p w14:paraId="7E064C42" w14:textId="1E0AD1E1" w:rsidR="00653E8C" w:rsidRDefault="00C35788" w:rsidP="006803EA">
      <w:pPr>
        <w:rPr>
          <w:lang w:val="en-GB"/>
        </w:rPr>
      </w:pPr>
      <w:r w:rsidRPr="00C35788">
        <w:rPr>
          <w:lang w:val="en-GB"/>
        </w:rPr>
        <w:t xml:space="preserve">Bhutan has traditionally been a power-surplus nation, with its available energy supply consistently exceeding domestic consumption. This surplus is primarily driven by its hydropower resources, which generate significant electricity during the monsoon season. However, the seasonal nature of hydropower production poses challenges, particularly during the dry winter months when river flows decrease and generation capacity drops. During these periods, Bhutan has relied on power imports from India to meet its domestic demand. </w:t>
      </w:r>
      <w:proofErr w:type="gramStart"/>
      <w:r w:rsidR="00280188" w:rsidRPr="00C35788">
        <w:rPr>
          <w:lang w:val="en-GB"/>
        </w:rPr>
        <w:t>This dynamic underscore</w:t>
      </w:r>
      <w:r w:rsidR="00280188">
        <w:rPr>
          <w:lang w:val="en-GB"/>
        </w:rPr>
        <w:t>s</w:t>
      </w:r>
      <w:proofErr w:type="gramEnd"/>
      <w:r w:rsidRPr="00C35788">
        <w:rPr>
          <w:lang w:val="en-GB"/>
        </w:rPr>
        <w:t xml:space="preserve"> the need for regional energy cooperation, enabling Bhutan to export surplus electricity during high-generation periods and secure reliable imports during seasonal deficits, ensuring a stable and sustainable energy supply.</w:t>
      </w:r>
      <w:r>
        <w:rPr>
          <w:lang w:val="en-GB"/>
        </w:rPr>
        <w:t xml:space="preserve"> </w:t>
      </w:r>
    </w:p>
    <w:p w14:paraId="7794124F" w14:textId="67CA3327" w:rsidR="00992750" w:rsidRPr="00992750" w:rsidRDefault="00992750" w:rsidP="00992750">
      <w:pPr>
        <w:pStyle w:val="Caption"/>
        <w:keepNext/>
        <w:rPr>
          <w:color w:val="auto"/>
        </w:rPr>
      </w:pPr>
      <w:bookmarkStart w:id="54" w:name="_Toc185235909"/>
      <w:r w:rsidRPr="00992750">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7</w:t>
      </w:r>
      <w:r w:rsidR="0017404E">
        <w:rPr>
          <w:color w:val="auto"/>
        </w:rPr>
        <w:fldChar w:fldCharType="end"/>
      </w:r>
      <w:r w:rsidRPr="00992750">
        <w:rPr>
          <w:color w:val="auto"/>
        </w:rPr>
        <w:t>: Demand-Supply and Power Export-Import Trend in Bhutan</w:t>
      </w:r>
      <w:bookmarkEnd w:id="54"/>
    </w:p>
    <w:p w14:paraId="488F9194" w14:textId="725E7C33" w:rsidR="00C35788" w:rsidRDefault="009D61B7" w:rsidP="006803EA">
      <w:r>
        <w:rPr>
          <w:noProof/>
        </w:rPr>
        <w:drawing>
          <wp:inline distT="0" distB="0" distL="0" distR="0" wp14:anchorId="2DCFAEEF" wp14:editId="18D66099">
            <wp:extent cx="2926080" cy="1636643"/>
            <wp:effectExtent l="0" t="0" r="7620" b="1905"/>
            <wp:docPr id="172881184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sidR="00C35788">
        <w:rPr>
          <w:noProof/>
        </w:rPr>
        <w:drawing>
          <wp:inline distT="0" distB="0" distL="0" distR="0" wp14:anchorId="5F1F2BE5" wp14:editId="4EDB7474">
            <wp:extent cx="2926080" cy="1636776"/>
            <wp:effectExtent l="0" t="0" r="7620" b="1905"/>
            <wp:docPr id="90809903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8E9166C" w14:textId="1AC77CCF" w:rsidR="006C09CA" w:rsidRDefault="00331513" w:rsidP="000224E7">
      <w:r w:rsidRPr="005F0C47">
        <w:rPr>
          <w:sz w:val="18"/>
          <w:szCs w:val="20"/>
        </w:rPr>
        <w:t xml:space="preserve">Source: </w:t>
      </w:r>
      <w:r w:rsidR="00060464" w:rsidRPr="005F0C47">
        <w:rPr>
          <w:sz w:val="18"/>
          <w:szCs w:val="20"/>
        </w:rPr>
        <w:t>National Statistics Bureau</w:t>
      </w:r>
      <w:r w:rsidR="008F7D74">
        <w:rPr>
          <w:rStyle w:val="FootnoteReference"/>
        </w:rPr>
        <w:footnoteReference w:id="9"/>
      </w:r>
    </w:p>
    <w:p w14:paraId="7432137E" w14:textId="45D2F40B" w:rsidR="000224E7" w:rsidRDefault="000224E7" w:rsidP="000224E7">
      <w:pPr>
        <w:rPr>
          <w:lang w:val="en-GB"/>
        </w:rPr>
      </w:pPr>
      <w:r>
        <w:rPr>
          <w:b/>
          <w:bCs/>
        </w:rPr>
        <w:t>India</w:t>
      </w:r>
    </w:p>
    <w:p w14:paraId="0BB68663" w14:textId="4EEF2316" w:rsidR="00F36295" w:rsidRDefault="00993EE1" w:rsidP="000224E7">
      <w:pPr>
        <w:rPr>
          <w:lang w:val="en-GB"/>
        </w:rPr>
      </w:pPr>
      <w:r w:rsidRPr="00993EE1">
        <w:rPr>
          <w:lang w:val="en-GB"/>
        </w:rPr>
        <w:t>In the past nine years, from FY 2014-15 to FY 2023-24, electricity demand in India has grown at a compound average growth rate of 4.77%, i.e., from 1069 TWh to 1626 TWh. Installation of new generation facilities, strengthening of transmission and distribution networks, demand side management and better management of the existing resources have helped the country meet the rising demand and curtail the unmet demand of energy.</w:t>
      </w:r>
      <w:r w:rsidR="00357F97">
        <w:rPr>
          <w:lang w:val="en-GB"/>
        </w:rPr>
        <w:t xml:space="preserve"> Peak </w:t>
      </w:r>
      <w:r w:rsidR="00357F97" w:rsidRPr="00DD42FD">
        <w:rPr>
          <w:lang w:val="en-GB"/>
        </w:rPr>
        <w:t>e</w:t>
      </w:r>
      <w:r w:rsidR="00357F97">
        <w:rPr>
          <w:lang w:val="en-GB"/>
        </w:rPr>
        <w:t>lectricity</w:t>
      </w:r>
      <w:r w:rsidR="00357F97" w:rsidRPr="00DD42FD">
        <w:rPr>
          <w:lang w:val="en-GB"/>
        </w:rPr>
        <w:t xml:space="preserve"> demand in India grew at a </w:t>
      </w:r>
      <w:r w:rsidR="00357F97">
        <w:rPr>
          <w:lang w:val="en-GB"/>
        </w:rPr>
        <w:t>compound average growth rate</w:t>
      </w:r>
      <w:r w:rsidR="00357F97" w:rsidRPr="00DD42FD">
        <w:rPr>
          <w:lang w:val="en-GB"/>
        </w:rPr>
        <w:t xml:space="preserve"> of </w:t>
      </w:r>
      <w:r w:rsidR="00357F97">
        <w:rPr>
          <w:lang w:val="en-GB"/>
        </w:rPr>
        <w:t>5</w:t>
      </w:r>
      <w:r w:rsidR="00357F97" w:rsidRPr="00DD42FD">
        <w:rPr>
          <w:lang w:val="en-GB"/>
        </w:rPr>
        <w:t>.</w:t>
      </w:r>
      <w:r w:rsidR="00357F97">
        <w:rPr>
          <w:lang w:val="en-GB"/>
        </w:rPr>
        <w:t>7</w:t>
      </w:r>
      <w:r w:rsidR="00357F97" w:rsidRPr="00DD42FD">
        <w:rPr>
          <w:lang w:val="en-GB"/>
        </w:rPr>
        <w:t xml:space="preserve">%, i.e., from </w:t>
      </w:r>
      <w:r w:rsidR="00357F97">
        <w:rPr>
          <w:lang w:val="en-GB"/>
        </w:rPr>
        <w:t>~148 GW in FY 2014-15</w:t>
      </w:r>
      <w:r w:rsidR="00357F97" w:rsidRPr="00DD42FD">
        <w:rPr>
          <w:lang w:val="en-GB"/>
        </w:rPr>
        <w:t xml:space="preserve"> to </w:t>
      </w:r>
      <w:r w:rsidR="00357F97">
        <w:rPr>
          <w:lang w:val="en-GB"/>
        </w:rPr>
        <w:t>~243 GW in FY 2023-24.</w:t>
      </w:r>
      <w:r w:rsidR="001D381B">
        <w:rPr>
          <w:lang w:val="en-GB"/>
        </w:rPr>
        <w:t xml:space="preserve"> </w:t>
      </w:r>
    </w:p>
    <w:p w14:paraId="4B07A900" w14:textId="07F94771" w:rsidR="006828E5" w:rsidRDefault="006828E5" w:rsidP="000224E7">
      <w:pPr>
        <w:rPr>
          <w:lang w:val="en-GB"/>
        </w:rPr>
      </w:pPr>
      <w:r>
        <w:rPr>
          <w:lang w:val="en-GB"/>
        </w:rPr>
        <w:t>E</w:t>
      </w:r>
      <w:r w:rsidRPr="00E243AF">
        <w:rPr>
          <w:lang w:val="en-GB"/>
        </w:rPr>
        <w:t>ach region in India exhibits distinct characteristics in terms of climate and the composition of electricity consumption across residential, commercial, and industrial sectors. These differences result in regional variations in seasonal energy demand. The western and northern regions experience the highest energy demands, with the northern region also recording the country’s most significant energy deficits. Meanwhile, the eastern region, abundant in coal resources, generates substantial energy surpluses and supplies power to other regions</w:t>
      </w:r>
      <w:r>
        <w:rPr>
          <w:lang w:val="en-GB"/>
        </w:rPr>
        <w:t>.</w:t>
      </w:r>
    </w:p>
    <w:p w14:paraId="2684A089" w14:textId="4561C8B0" w:rsidR="000224E7" w:rsidRDefault="006828E5" w:rsidP="000224E7">
      <w:pPr>
        <w:rPr>
          <w:lang w:val="en-GB"/>
        </w:rPr>
      </w:pPr>
      <w:r>
        <w:rPr>
          <w:lang w:val="en-GB"/>
        </w:rPr>
        <w:t xml:space="preserve">Overall, </w:t>
      </w:r>
      <w:r w:rsidR="00180CD4" w:rsidRPr="00180CD4">
        <w:rPr>
          <w:lang w:val="en-GB"/>
        </w:rPr>
        <w:t>India's energy demand peaks during the summer months of April to July, driven by increased cooling requirements. Energy generation remains relatively stable throughout the year because a significant portion comes from non-renewable sources with consistent output. These summer months also record the highest energy deficits. In contrast, energy demand and deficits decrease during the winter months from November to February as cooling needs diminish and heating loads are minimal in India's tropical and subtropical climate.</w:t>
      </w:r>
      <w:r w:rsidR="00BE0AE9" w:rsidRPr="00DD42FD">
        <w:rPr>
          <w:lang w:val="en-GB"/>
        </w:rPr>
        <w:t xml:space="preserve"> As seen </w:t>
      </w:r>
      <w:r w:rsidR="00E77B55">
        <w:rPr>
          <w:lang w:val="en-GB"/>
        </w:rPr>
        <w:t xml:space="preserve">in </w:t>
      </w:r>
      <w:r w:rsidR="00BE0AE9" w:rsidRPr="00DD42FD">
        <w:rPr>
          <w:lang w:val="en-GB"/>
        </w:rPr>
        <w:t xml:space="preserve">the graph below, </w:t>
      </w:r>
      <w:r w:rsidR="00570EA1">
        <w:rPr>
          <w:lang w:val="en-GB"/>
        </w:rPr>
        <w:t xml:space="preserve">the overall </w:t>
      </w:r>
      <w:r w:rsidR="00BE0AE9" w:rsidRPr="00DD42FD">
        <w:rPr>
          <w:lang w:val="en-GB"/>
        </w:rPr>
        <w:t xml:space="preserve">peak demand </w:t>
      </w:r>
      <w:r w:rsidR="00481F24">
        <w:rPr>
          <w:lang w:val="en-GB"/>
        </w:rPr>
        <w:t>is</w:t>
      </w:r>
      <w:r w:rsidR="00BE0AE9" w:rsidRPr="00DD42FD">
        <w:rPr>
          <w:lang w:val="en-GB"/>
        </w:rPr>
        <w:t xml:space="preserve"> higher during May-Oct (summer and festivals) period than Nov-Feb period (winter).</w:t>
      </w:r>
    </w:p>
    <w:p w14:paraId="63DA4464" w14:textId="6255698A" w:rsidR="006E503F" w:rsidRDefault="006E503F" w:rsidP="007E0EB5">
      <w:pPr>
        <w:pStyle w:val="Caption"/>
        <w:keepNext/>
      </w:pPr>
      <w:bookmarkStart w:id="55" w:name="_Toc185235910"/>
      <w:r w:rsidRPr="007E0EB5">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8</w:t>
      </w:r>
      <w:r w:rsidR="0017404E">
        <w:rPr>
          <w:color w:val="auto"/>
        </w:rPr>
        <w:fldChar w:fldCharType="end"/>
      </w:r>
      <w:r w:rsidRPr="007E0EB5">
        <w:rPr>
          <w:color w:val="auto"/>
        </w:rPr>
        <w:t>: India - Peak Demand and Deficit (FY 2023-24)</w:t>
      </w:r>
      <w:bookmarkEnd w:id="55"/>
    </w:p>
    <w:p w14:paraId="0FDDB7BA" w14:textId="51A185B0" w:rsidR="00BE0AE9" w:rsidRDefault="00F900AC" w:rsidP="006E503F">
      <w:pPr>
        <w:keepNext/>
      </w:pPr>
      <w:r w:rsidRPr="00DD42FD">
        <w:rPr>
          <w:rFonts w:cs="Arial"/>
          <w:noProof/>
          <w:sz w:val="18"/>
          <w:szCs w:val="18"/>
          <w:lang w:val="en-GB"/>
        </w:rPr>
        <w:drawing>
          <wp:inline distT="0" distB="0" distL="0" distR="0" wp14:anchorId="521129F8" wp14:editId="67C6BD3F">
            <wp:extent cx="5985510" cy="1278835"/>
            <wp:effectExtent l="0" t="0" r="15240" b="17145"/>
            <wp:docPr id="105" name="Chart 105">
              <a:extLst xmlns:a="http://schemas.openxmlformats.org/drawingml/2006/main">
                <a:ext uri="{FF2B5EF4-FFF2-40B4-BE49-F238E27FC236}">
                  <a16:creationId xmlns:a16="http://schemas.microsoft.com/office/drawing/2014/main" id="{447D6038-6919-4345-8F73-A35F7D49F2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0621C5E" w14:textId="6105EA2E" w:rsidR="006C09CA" w:rsidRDefault="005F0C47" w:rsidP="00743379">
      <w:r w:rsidRPr="005F0C47">
        <w:rPr>
          <w:sz w:val="18"/>
          <w:szCs w:val="20"/>
        </w:rPr>
        <w:t xml:space="preserve">Source: </w:t>
      </w:r>
      <w:r>
        <w:rPr>
          <w:sz w:val="18"/>
          <w:szCs w:val="20"/>
        </w:rPr>
        <w:t>Central Electricity Authority</w:t>
      </w:r>
      <w:r w:rsidR="00982079">
        <w:rPr>
          <w:rStyle w:val="FootnoteReference"/>
          <w:sz w:val="18"/>
          <w:szCs w:val="20"/>
        </w:rPr>
        <w:footnoteReference w:id="10"/>
      </w:r>
    </w:p>
    <w:p w14:paraId="6DDD3E6B" w14:textId="220BF927" w:rsidR="00743379" w:rsidRDefault="00743379" w:rsidP="00743379">
      <w:pPr>
        <w:rPr>
          <w:b/>
          <w:bCs/>
        </w:rPr>
      </w:pPr>
      <w:r>
        <w:rPr>
          <w:b/>
          <w:bCs/>
        </w:rPr>
        <w:t>Nepal</w:t>
      </w:r>
    </w:p>
    <w:p w14:paraId="65183CB1" w14:textId="1AD67D66" w:rsidR="00743379" w:rsidRDefault="00A955A5" w:rsidP="00743379">
      <w:r w:rsidRPr="00A955A5">
        <w:t xml:space="preserve">The </w:t>
      </w:r>
      <w:r w:rsidR="00673861">
        <w:t>peak</w:t>
      </w:r>
      <w:r w:rsidRPr="00A955A5">
        <w:t xml:space="preserve"> power demand in Nepal has increased steadily in the last 5 years (FY</w:t>
      </w:r>
      <w:r w:rsidR="0072287D">
        <w:t>20</w:t>
      </w:r>
      <w:r w:rsidRPr="00A955A5">
        <w:t xml:space="preserve"> to FY2</w:t>
      </w:r>
      <w:r w:rsidR="0072287D">
        <w:t>4</w:t>
      </w:r>
      <w:r w:rsidRPr="00A955A5">
        <w:t>) at a CAGR of ~</w:t>
      </w:r>
      <w:r w:rsidR="00ED656E">
        <w:t>12</w:t>
      </w:r>
      <w:r w:rsidRPr="00A955A5">
        <w:t xml:space="preserve">% to reach </w:t>
      </w:r>
      <w:r w:rsidR="00ED656E">
        <w:t>2</w:t>
      </w:r>
      <w:r w:rsidRPr="00A955A5">
        <w:t>,</w:t>
      </w:r>
      <w:r w:rsidR="00ED656E">
        <w:t>212</w:t>
      </w:r>
      <w:r w:rsidRPr="00A955A5">
        <w:t xml:space="preserve"> MW in FY2</w:t>
      </w:r>
      <w:r w:rsidR="00ED656E">
        <w:t>4</w:t>
      </w:r>
      <w:r w:rsidRPr="00A955A5">
        <w:t xml:space="preserve"> from </w:t>
      </w:r>
      <w:r w:rsidR="00ED656E">
        <w:t>1,408</w:t>
      </w:r>
      <w:r w:rsidRPr="00A955A5">
        <w:t xml:space="preserve"> MW in FY</w:t>
      </w:r>
      <w:r w:rsidR="00ED656E">
        <w:t>20</w:t>
      </w:r>
      <w:r w:rsidRPr="00A955A5">
        <w:t xml:space="preserve">. The demand increase has been led by electricity availability, rapid electrification and increasing industrial demand. </w:t>
      </w:r>
      <w:proofErr w:type="gramStart"/>
      <w:r w:rsidR="00EA0EF5">
        <w:t>Similar to</w:t>
      </w:r>
      <w:proofErr w:type="gramEnd"/>
      <w:r w:rsidR="00EA0EF5">
        <w:t xml:space="preserve"> Bhutan, being </w:t>
      </w:r>
      <w:proofErr w:type="spellStart"/>
      <w:r w:rsidR="00EA0EF5">
        <w:t>overtly</w:t>
      </w:r>
      <w:proofErr w:type="spellEnd"/>
      <w:r w:rsidR="00EA0EF5">
        <w:t xml:space="preserve"> dependent on hydro based power ge</w:t>
      </w:r>
      <w:r w:rsidR="00EA0EF5" w:rsidRPr="007A5639">
        <w:t>neration</w:t>
      </w:r>
      <w:r w:rsidR="007A5639">
        <w:t xml:space="preserve">, </w:t>
      </w:r>
      <w:r w:rsidR="007A5639" w:rsidRPr="007A5639">
        <w:t>Nepal experiences seasonal variations in electricity supply. During the monsoon, surplus hydropower is available, but in the dry winter months, reduced generation necessitates imports from India.</w:t>
      </w:r>
    </w:p>
    <w:p w14:paraId="741AD895" w14:textId="7774C8CD" w:rsidR="006C09CA" w:rsidRDefault="006C09CA" w:rsidP="006C09CA">
      <w:pPr>
        <w:pStyle w:val="Caption"/>
        <w:keepNext/>
      </w:pPr>
      <w:bookmarkStart w:id="56" w:name="_Toc185235911"/>
      <w:r w:rsidRPr="006C09CA">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9</w:t>
      </w:r>
      <w:r w:rsidR="0017404E">
        <w:rPr>
          <w:color w:val="auto"/>
        </w:rPr>
        <w:fldChar w:fldCharType="end"/>
      </w:r>
      <w:r w:rsidRPr="006C09CA">
        <w:rPr>
          <w:color w:val="auto"/>
        </w:rPr>
        <w:t>: Peak Demand and Consumption trend</w:t>
      </w:r>
      <w:bookmarkEnd w:id="56"/>
    </w:p>
    <w:p w14:paraId="30B9660F" w14:textId="77777777" w:rsidR="006C09CA" w:rsidRDefault="00D57E88" w:rsidP="006C09CA">
      <w:pPr>
        <w:keepNext/>
        <w:jc w:val="center"/>
      </w:pPr>
      <w:r w:rsidRPr="000A34BF">
        <w:rPr>
          <w:noProof/>
        </w:rPr>
        <w:drawing>
          <wp:inline distT="0" distB="0" distL="0" distR="0" wp14:anchorId="33B6F5E0" wp14:editId="225342F4">
            <wp:extent cx="5486400" cy="1643270"/>
            <wp:effectExtent l="0" t="0" r="0" b="14605"/>
            <wp:docPr id="30" name="Chart 30">
              <a:extLst xmlns:a="http://schemas.openxmlformats.org/drawingml/2006/main">
                <a:ext uri="{FF2B5EF4-FFF2-40B4-BE49-F238E27FC236}">
                  <a16:creationId xmlns:a16="http://schemas.microsoft.com/office/drawing/2014/main" id="{A4F9F570-92E7-4E6E-9B42-B6223AA77A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A508829" w14:textId="1B5C3EB5" w:rsidR="00653E8C" w:rsidRDefault="001B22FD" w:rsidP="00862E4C">
      <w:pPr>
        <w:rPr>
          <w:sz w:val="18"/>
          <w:szCs w:val="20"/>
        </w:rPr>
      </w:pPr>
      <w:r w:rsidRPr="00130BA6">
        <w:rPr>
          <w:sz w:val="18"/>
          <w:szCs w:val="20"/>
        </w:rPr>
        <w:t>Source: NEA</w:t>
      </w:r>
    </w:p>
    <w:p w14:paraId="36F62007" w14:textId="77777777" w:rsidR="00A850E5" w:rsidRDefault="00A850E5" w:rsidP="00945C0A"/>
    <w:p w14:paraId="3ED8FD95" w14:textId="53C7E702" w:rsidR="00945C0A" w:rsidRDefault="00945C0A" w:rsidP="00945C0A">
      <w:pPr>
        <w:rPr>
          <w:b/>
          <w:bCs/>
        </w:rPr>
      </w:pPr>
      <w:r>
        <w:rPr>
          <w:b/>
          <w:bCs/>
        </w:rPr>
        <w:t>Sri Lanka</w:t>
      </w:r>
    </w:p>
    <w:p w14:paraId="3F3A68F3" w14:textId="10D45952" w:rsidR="00945C0A" w:rsidRDefault="00C41ED3" w:rsidP="00945C0A">
      <w:r>
        <w:t xml:space="preserve">Electricity consumers have grown from </w:t>
      </w:r>
      <w:r w:rsidRPr="00C41ED3">
        <w:t>7,022,103</w:t>
      </w:r>
      <w:r>
        <w:t xml:space="preserve"> in 2019 to </w:t>
      </w:r>
      <w:r w:rsidRPr="000568B6">
        <w:t>7,596,894</w:t>
      </w:r>
      <w:r>
        <w:t xml:space="preserve"> in 2023. </w:t>
      </w:r>
      <w:proofErr w:type="gramStart"/>
      <w:r w:rsidR="00653974">
        <w:t>As on</w:t>
      </w:r>
      <w:proofErr w:type="gramEnd"/>
      <w:r w:rsidR="00653974">
        <w:t xml:space="preserve"> 2023 end, t</w:t>
      </w:r>
      <w:r w:rsidR="000568B6" w:rsidRPr="000568B6">
        <w:t>he maximum nighttime demand reached 2,414.8 MW, while the peak daytime demand was 2,166 MW. The lowest system demand recorded was 928.4 MW in 2023</w:t>
      </w:r>
      <w:r w:rsidR="0025636D">
        <w:rPr>
          <w:rStyle w:val="FootnoteReference"/>
        </w:rPr>
        <w:footnoteReference w:id="11"/>
      </w:r>
      <w:r w:rsidR="000568B6" w:rsidRPr="000568B6">
        <w:t>. Sri Lanka’s reliance on imported fuels for electricity generation and its exposure to fluctuating energy prices emphasize the need for regional energy cooperation. Utilizing surplus hydropower from Bhutan and Nepal or renewable energy from India would enable Sri Lanka to diversify its energy mix, enhance energy security, and reduce its dependence on costly thermal power, supporting a more stable and sustainable energy future.</w:t>
      </w:r>
    </w:p>
    <w:p w14:paraId="53647F0F" w14:textId="77777777" w:rsidR="00524269" w:rsidRDefault="00524269" w:rsidP="00945C0A"/>
    <w:p w14:paraId="2A052BF9" w14:textId="5DC1EAE7" w:rsidR="001562A4" w:rsidRDefault="00093A89" w:rsidP="001562A4">
      <w:pPr>
        <w:pStyle w:val="Heading3"/>
      </w:pPr>
      <w:r>
        <w:t>Key Aspirations and Targets</w:t>
      </w:r>
    </w:p>
    <w:p w14:paraId="2374C8D9" w14:textId="75E21B27" w:rsidR="001562A4" w:rsidRDefault="00EC622A" w:rsidP="001562A4">
      <w:r w:rsidRPr="00EC622A">
        <w:t xml:space="preserve">The BBINS region is witnessing a rapid transformation backed by high economic growth which requires the power sector to support the economic backbone of the region. Most of the countries have planned aggressive supply capacity addition to meet the ever-growing demand for energy. Apart from capacity addition the region is undergoing a transformation journey in terms of the sector portfolio and market regimes. </w:t>
      </w:r>
      <w:r w:rsidR="00AF731A" w:rsidRPr="00AF731A">
        <w:t>National targets in the BBINS countries, such as reducing greenhouse gas emissions, increasing the share of renewable energy, and achieving carbon neutrality, create a compelling case for regional energy cooperation. Countries like Bhutan and Nepal, with abundant hydropower resources, can provide low-carbon electricity to neighboring nations, supporting their decarbonization efforts. Similarly, India and Bangladesh, with growing renewable energy capacities in wind and solar, can complement hydropower supply by balancing intermittent generation with regional energy trade. Achieving carbon neutrality requires optimizing resource allocation and leveraging each country’s strengths, such as Bhutan’s surplus hydropower or India’s renewable energy advancements</w:t>
      </w:r>
    </w:p>
    <w:p w14:paraId="1D5E905F" w14:textId="75E1C581" w:rsidR="004C3925" w:rsidRDefault="004C3925" w:rsidP="004C3925">
      <w:pPr>
        <w:pStyle w:val="Caption"/>
        <w:keepNext/>
      </w:pPr>
      <w:bookmarkStart w:id="57" w:name="_Toc185235912"/>
      <w:r w:rsidRPr="004C3925">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10</w:t>
      </w:r>
      <w:r w:rsidR="0017404E">
        <w:rPr>
          <w:color w:val="auto"/>
        </w:rPr>
        <w:fldChar w:fldCharType="end"/>
      </w:r>
      <w:r w:rsidRPr="004C3925">
        <w:rPr>
          <w:color w:val="auto"/>
        </w:rPr>
        <w:t xml:space="preserve">: </w:t>
      </w:r>
      <w:r w:rsidR="009167E8">
        <w:rPr>
          <w:color w:val="auto"/>
        </w:rPr>
        <w:t>Key a</w:t>
      </w:r>
      <w:r w:rsidRPr="004C3925">
        <w:rPr>
          <w:color w:val="auto"/>
        </w:rPr>
        <w:t>spirations/ targets in BBINS region</w:t>
      </w:r>
      <w:bookmarkEnd w:id="57"/>
    </w:p>
    <w:p w14:paraId="5786C1F1" w14:textId="79B5A618" w:rsidR="000564BE" w:rsidRPr="00862E4C" w:rsidRDefault="00AE7BAE" w:rsidP="000564BE">
      <w:pPr>
        <w:jc w:val="center"/>
      </w:pPr>
      <w:r w:rsidRPr="00AE7BAE">
        <w:rPr>
          <w:noProof/>
        </w:rPr>
        <w:drawing>
          <wp:inline distT="0" distB="0" distL="0" distR="0" wp14:anchorId="53C94B73" wp14:editId="58533568">
            <wp:extent cx="5943600" cy="3525520"/>
            <wp:effectExtent l="0" t="0" r="0" b="0"/>
            <wp:docPr id="1928650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inline>
        </w:drawing>
      </w:r>
    </w:p>
    <w:p w14:paraId="6069850D" w14:textId="77777777" w:rsidR="00CB66EB" w:rsidRDefault="00CB66EB" w:rsidP="00862E4C"/>
    <w:p w14:paraId="0BEA49E0" w14:textId="2B699D1A" w:rsidR="002807D8" w:rsidRDefault="002807D8" w:rsidP="002807D8">
      <w:pPr>
        <w:pStyle w:val="Heading3"/>
      </w:pPr>
      <w:r>
        <w:t xml:space="preserve">Existing Trade </w:t>
      </w:r>
      <w:r w:rsidR="00A509A6">
        <w:t xml:space="preserve">&amp; Transmission network </w:t>
      </w:r>
      <w:r>
        <w:t>in the region</w:t>
      </w:r>
    </w:p>
    <w:p w14:paraId="188A300E" w14:textId="79D287EC" w:rsidR="00763082" w:rsidRPr="00646777" w:rsidRDefault="00646777" w:rsidP="002807D8">
      <w:pPr>
        <w:rPr>
          <w:b/>
          <w:bCs/>
        </w:rPr>
      </w:pPr>
      <w:r w:rsidRPr="00646777">
        <w:rPr>
          <w:b/>
          <w:bCs/>
        </w:rPr>
        <w:t>CBET Status</w:t>
      </w:r>
    </w:p>
    <w:p w14:paraId="3620DD55" w14:textId="22D6766E" w:rsidR="002807D8" w:rsidRDefault="00BE0EB4" w:rsidP="002807D8">
      <w:r w:rsidRPr="00BE0EB4">
        <w:t>Currently, the regional power trade of around 7 GW is bilateral in nature. Until 2023, trade was facilitated through bespoke long-term power purchase agreements.  The table below sets out details of the existing cross-border electricity transactions in the BBIN region.</w:t>
      </w:r>
    </w:p>
    <w:p w14:paraId="198B5387" w14:textId="77777777" w:rsidR="00775159" w:rsidRPr="00862E4C" w:rsidRDefault="00775159" w:rsidP="002807D8"/>
    <w:tbl>
      <w:tblPr>
        <w:tblStyle w:val="GridTable5Dark-Accent1"/>
        <w:tblW w:w="9067" w:type="dxa"/>
        <w:tblLook w:val="04A0" w:firstRow="1" w:lastRow="0" w:firstColumn="1" w:lastColumn="0" w:noHBand="0" w:noVBand="1"/>
      </w:tblPr>
      <w:tblGrid>
        <w:gridCol w:w="2689"/>
        <w:gridCol w:w="2835"/>
        <w:gridCol w:w="3543"/>
      </w:tblGrid>
      <w:tr w:rsidR="00752004" w:rsidRPr="00DD42FD" w14:paraId="2849C43D" w14:textId="77777777" w:rsidTr="001B522A">
        <w:trPr>
          <w:cnfStyle w:val="100000000000" w:firstRow="1" w:lastRow="0" w:firstColumn="0" w:lastColumn="0" w:oddVBand="0" w:evenVBand="0" w:oddHBand="0" w:evenHBand="0" w:firstRowFirstColumn="0" w:firstRowLastColumn="0" w:lastRowFirstColumn="0" w:lastRowLastColumn="0"/>
          <w:trHeight w:val="280"/>
          <w:tblHead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tcBorders>
            <w:hideMark/>
          </w:tcPr>
          <w:p w14:paraId="2ED07999" w14:textId="77777777" w:rsidR="00775159" w:rsidRPr="00453711" w:rsidRDefault="00775159" w:rsidP="00453711">
            <w:pPr>
              <w:spacing w:after="160"/>
              <w:jc w:val="center"/>
              <w:rPr>
                <w:rFonts w:eastAsia="Arial" w:cs="Arial"/>
                <w:sz w:val="18"/>
                <w:szCs w:val="18"/>
                <w:lang w:val="en-GB"/>
              </w:rPr>
            </w:pPr>
            <w:r w:rsidRPr="00453711">
              <w:rPr>
                <w:rFonts w:eastAsia="Arial" w:cs="Arial"/>
                <w:sz w:val="18"/>
                <w:szCs w:val="18"/>
                <w:lang w:val="en-GB"/>
              </w:rPr>
              <w:t>Particulars</w:t>
            </w:r>
          </w:p>
        </w:tc>
        <w:tc>
          <w:tcPr>
            <w:tcW w:w="0" w:type="dxa"/>
            <w:tcBorders>
              <w:top w:val="single" w:sz="4" w:space="0" w:color="auto"/>
            </w:tcBorders>
            <w:hideMark/>
          </w:tcPr>
          <w:p w14:paraId="0ED5A0A0" w14:textId="77777777" w:rsidR="00775159" w:rsidRPr="00453711" w:rsidRDefault="00775159" w:rsidP="00453711">
            <w:pPr>
              <w:spacing w:after="160"/>
              <w:jc w:val="center"/>
              <w:cnfStyle w:val="100000000000" w:firstRow="1" w:lastRow="0" w:firstColumn="0" w:lastColumn="0" w:oddVBand="0" w:evenVBand="0" w:oddHBand="0" w:evenHBand="0" w:firstRowFirstColumn="0" w:firstRowLastColumn="0" w:lastRowFirstColumn="0" w:lastRowLastColumn="0"/>
              <w:rPr>
                <w:rFonts w:eastAsia="Arial" w:cs="Arial"/>
                <w:sz w:val="18"/>
                <w:szCs w:val="18"/>
                <w:lang w:val="en-GB"/>
              </w:rPr>
            </w:pPr>
            <w:r w:rsidRPr="00453711">
              <w:rPr>
                <w:rFonts w:eastAsia="Arial" w:cs="Arial"/>
                <w:sz w:val="18"/>
                <w:szCs w:val="18"/>
                <w:lang w:val="en-GB"/>
              </w:rPr>
              <w:t>Source</w:t>
            </w:r>
          </w:p>
        </w:tc>
        <w:tc>
          <w:tcPr>
            <w:tcW w:w="0" w:type="dxa"/>
            <w:tcBorders>
              <w:top w:val="single" w:sz="4" w:space="0" w:color="auto"/>
              <w:right w:val="single" w:sz="4" w:space="0" w:color="auto"/>
            </w:tcBorders>
            <w:hideMark/>
          </w:tcPr>
          <w:p w14:paraId="347FDCE3" w14:textId="77777777" w:rsidR="00775159" w:rsidRPr="00453711" w:rsidRDefault="00775159" w:rsidP="00453711">
            <w:pPr>
              <w:spacing w:after="160"/>
              <w:jc w:val="center"/>
              <w:cnfStyle w:val="100000000000" w:firstRow="1" w:lastRow="0" w:firstColumn="0" w:lastColumn="0" w:oddVBand="0" w:evenVBand="0" w:oddHBand="0" w:evenHBand="0" w:firstRowFirstColumn="0" w:firstRowLastColumn="0" w:lastRowFirstColumn="0" w:lastRowLastColumn="0"/>
              <w:rPr>
                <w:rFonts w:eastAsia="Arial" w:cs="Arial"/>
                <w:sz w:val="18"/>
                <w:szCs w:val="18"/>
                <w:lang w:val="en-GB"/>
              </w:rPr>
            </w:pPr>
            <w:r w:rsidRPr="00453711">
              <w:rPr>
                <w:rFonts w:eastAsia="Arial" w:cs="Arial"/>
                <w:sz w:val="18"/>
                <w:szCs w:val="18"/>
                <w:lang w:val="en-GB"/>
              </w:rPr>
              <w:t>Agreement Type</w:t>
            </w:r>
          </w:p>
        </w:tc>
      </w:tr>
      <w:tr w:rsidR="00752004" w:rsidRPr="00DD42FD" w14:paraId="40E65BCB"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single" w:sz="4" w:space="0" w:color="auto"/>
            </w:tcBorders>
            <w:hideMark/>
          </w:tcPr>
          <w:p w14:paraId="30FA0E7C" w14:textId="77777777" w:rsidR="00775159" w:rsidRPr="00DD42FD" w:rsidRDefault="00775159" w:rsidP="00203963">
            <w:pPr>
              <w:spacing w:after="160"/>
              <w:jc w:val="left"/>
              <w:rPr>
                <w:rFonts w:eastAsia="Arial" w:cs="Arial"/>
                <w:sz w:val="18"/>
                <w:szCs w:val="18"/>
                <w:lang w:val="en-GB"/>
              </w:rPr>
            </w:pPr>
            <w:r w:rsidRPr="00DD42FD">
              <w:rPr>
                <w:rFonts w:eastAsia="Arial" w:cs="Arial"/>
                <w:sz w:val="18"/>
                <w:szCs w:val="18"/>
                <w:lang w:val="en-GB"/>
              </w:rPr>
              <w:t xml:space="preserve">India </w:t>
            </w:r>
            <w:r w:rsidRPr="00DD42FD">
              <w:rPr>
                <w:rFonts w:ascii="Wingdings" w:eastAsia="Wingdings" w:hAnsi="Wingdings" w:cs="Wingdings"/>
                <w:sz w:val="18"/>
                <w:szCs w:val="18"/>
                <w:lang w:val="en-GB"/>
              </w:rPr>
              <w:t>à</w:t>
            </w:r>
            <w:r w:rsidRPr="00DD42FD">
              <w:rPr>
                <w:rFonts w:eastAsia="Arial" w:cs="Arial"/>
                <w:sz w:val="18"/>
                <w:szCs w:val="18"/>
                <w:lang w:val="en-GB"/>
              </w:rPr>
              <w:t xml:space="preserve"> Bangladesh</w:t>
            </w:r>
          </w:p>
          <w:p w14:paraId="040A78FA" w14:textId="77777777" w:rsidR="00775159" w:rsidRPr="00DD42FD" w:rsidRDefault="00775159" w:rsidP="00203963">
            <w:pPr>
              <w:spacing w:after="160"/>
              <w:jc w:val="left"/>
              <w:rPr>
                <w:rFonts w:eastAsia="Arial" w:cs="Arial"/>
                <w:sz w:val="18"/>
                <w:szCs w:val="18"/>
                <w:lang w:val="en-GB"/>
              </w:rPr>
            </w:pPr>
            <w:r w:rsidRPr="00DD42FD">
              <w:rPr>
                <w:rFonts w:eastAsia="Arial" w:cs="Arial"/>
                <w:sz w:val="18"/>
                <w:szCs w:val="18"/>
                <w:lang w:val="en-GB"/>
              </w:rPr>
              <w:t>(</w:t>
            </w:r>
            <w:r>
              <w:rPr>
                <w:rFonts w:eastAsia="Arial" w:cs="Arial"/>
                <w:sz w:val="18"/>
                <w:szCs w:val="18"/>
                <w:lang w:val="en-GB"/>
              </w:rPr>
              <w:t>2656</w:t>
            </w:r>
            <w:r w:rsidRPr="00DD42FD">
              <w:rPr>
                <w:rFonts w:eastAsia="Arial" w:cs="Arial"/>
                <w:sz w:val="18"/>
                <w:szCs w:val="18"/>
                <w:lang w:val="en-GB"/>
              </w:rPr>
              <w:t xml:space="preserve"> MW</w:t>
            </w:r>
            <w:r>
              <w:rPr>
                <w:rStyle w:val="FootnoteReference"/>
                <w:rFonts w:eastAsia="Arial" w:cs="Arial"/>
                <w:sz w:val="18"/>
                <w:szCs w:val="18"/>
                <w:lang w:val="en-GB"/>
              </w:rPr>
              <w:footnoteReference w:id="12"/>
            </w:r>
            <w:r w:rsidRPr="00DD42FD">
              <w:rPr>
                <w:rFonts w:eastAsia="Arial" w:cs="Arial"/>
                <w:sz w:val="18"/>
                <w:szCs w:val="18"/>
                <w:lang w:val="en-GB"/>
              </w:rPr>
              <w:t>)</w:t>
            </w:r>
          </w:p>
        </w:tc>
        <w:tc>
          <w:tcPr>
            <w:tcW w:w="2835" w:type="dxa"/>
            <w:shd w:val="clear" w:color="auto" w:fill="F2F2F2" w:themeFill="background1" w:themeFillShade="F2"/>
            <w:vAlign w:val="center"/>
            <w:hideMark/>
          </w:tcPr>
          <w:p w14:paraId="20CFBEB4"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250 MW N</w:t>
            </w:r>
            <w:r>
              <w:rPr>
                <w:rFonts w:eastAsia="Arial" w:cs="Arial"/>
                <w:bCs/>
                <w:color w:val="231F20"/>
                <w:sz w:val="18"/>
                <w:szCs w:val="18"/>
                <w:lang w:val="en-GB"/>
              </w:rPr>
              <w:t>VVN Ph-I</w:t>
            </w:r>
          </w:p>
        </w:tc>
        <w:tc>
          <w:tcPr>
            <w:tcW w:w="3543" w:type="dxa"/>
            <w:tcBorders>
              <w:right w:val="single" w:sz="4" w:space="0" w:color="auto"/>
            </w:tcBorders>
            <w:shd w:val="clear" w:color="auto" w:fill="F2F2F2" w:themeFill="background1" w:themeFillShade="F2"/>
            <w:vAlign w:val="center"/>
            <w:hideMark/>
          </w:tcPr>
          <w:p w14:paraId="5CD3B57D"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1B92BA42"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0" w:type="dxa"/>
            <w:vMerge/>
            <w:tcBorders>
              <w:left w:val="single" w:sz="4" w:space="0" w:color="auto"/>
            </w:tcBorders>
            <w:hideMark/>
          </w:tcPr>
          <w:p w14:paraId="605C5D5A" w14:textId="77777777" w:rsidR="00775159" w:rsidRPr="00DD42FD" w:rsidRDefault="00775159" w:rsidP="00203963">
            <w:pPr>
              <w:spacing w:after="160"/>
              <w:jc w:val="left"/>
              <w:rPr>
                <w:rFonts w:eastAsia="Arial" w:cs="Arial"/>
                <w:sz w:val="18"/>
                <w:szCs w:val="18"/>
                <w:lang w:val="en-GB"/>
              </w:rPr>
            </w:pPr>
          </w:p>
        </w:tc>
        <w:tc>
          <w:tcPr>
            <w:tcW w:w="0" w:type="dxa"/>
            <w:vAlign w:val="center"/>
          </w:tcPr>
          <w:p w14:paraId="52762108"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200 MW PTC Ph-II</w:t>
            </w:r>
          </w:p>
        </w:tc>
        <w:tc>
          <w:tcPr>
            <w:tcW w:w="0" w:type="dxa"/>
            <w:tcBorders>
              <w:right w:val="single" w:sz="4" w:space="0" w:color="auto"/>
            </w:tcBorders>
            <w:vAlign w:val="center"/>
          </w:tcPr>
          <w:p w14:paraId="18DE19DC"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Commercial</w:t>
            </w:r>
          </w:p>
        </w:tc>
      </w:tr>
      <w:tr w:rsidR="00752004" w:rsidRPr="00DD42FD" w14:paraId="5EC76FB6"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hideMark/>
          </w:tcPr>
          <w:p w14:paraId="67002554" w14:textId="77777777" w:rsidR="00775159" w:rsidRPr="00DD42FD" w:rsidRDefault="00775159" w:rsidP="00203963">
            <w:pPr>
              <w:spacing w:after="160"/>
              <w:jc w:val="left"/>
              <w:rPr>
                <w:rFonts w:eastAsia="Arial" w:cs="Arial"/>
                <w:sz w:val="18"/>
                <w:szCs w:val="18"/>
                <w:lang w:val="en-GB"/>
              </w:rPr>
            </w:pPr>
          </w:p>
        </w:tc>
        <w:tc>
          <w:tcPr>
            <w:tcW w:w="2835" w:type="dxa"/>
            <w:shd w:val="clear" w:color="auto" w:fill="F2F2F2" w:themeFill="background1" w:themeFillShade="F2"/>
            <w:vAlign w:val="center"/>
            <w:hideMark/>
          </w:tcPr>
          <w:p w14:paraId="0BA4FFEE"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160 MW Tripura</w:t>
            </w:r>
          </w:p>
        </w:tc>
        <w:tc>
          <w:tcPr>
            <w:tcW w:w="3543" w:type="dxa"/>
            <w:tcBorders>
              <w:right w:val="single" w:sz="4" w:space="0" w:color="auto"/>
            </w:tcBorders>
            <w:shd w:val="clear" w:color="auto" w:fill="F2F2F2" w:themeFill="background1" w:themeFillShade="F2"/>
            <w:vAlign w:val="center"/>
            <w:hideMark/>
          </w:tcPr>
          <w:p w14:paraId="53FAFCF7"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07603928"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hideMark/>
          </w:tcPr>
          <w:p w14:paraId="24158D1C" w14:textId="77777777" w:rsidR="00775159" w:rsidRPr="00DD42FD" w:rsidRDefault="00775159" w:rsidP="00203963">
            <w:pPr>
              <w:spacing w:after="160"/>
              <w:jc w:val="left"/>
              <w:rPr>
                <w:rFonts w:eastAsia="Arial" w:cs="Arial"/>
                <w:sz w:val="18"/>
                <w:szCs w:val="18"/>
                <w:lang w:val="en-GB"/>
              </w:rPr>
            </w:pPr>
          </w:p>
        </w:tc>
        <w:tc>
          <w:tcPr>
            <w:tcW w:w="2835" w:type="dxa"/>
            <w:vAlign w:val="center"/>
            <w:hideMark/>
          </w:tcPr>
          <w:p w14:paraId="69D3258A"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3</w:t>
            </w:r>
            <w:r w:rsidRPr="00DD42FD">
              <w:rPr>
                <w:rFonts w:eastAsia="Arial" w:cs="Arial"/>
                <w:bCs/>
                <w:color w:val="231F20"/>
                <w:sz w:val="18"/>
                <w:szCs w:val="18"/>
                <w:lang w:val="en-GB"/>
              </w:rPr>
              <w:t xml:space="preserve">00 MW </w:t>
            </w:r>
            <w:r>
              <w:rPr>
                <w:rFonts w:eastAsia="Arial" w:cs="Arial"/>
                <w:bCs/>
                <w:color w:val="231F20"/>
                <w:sz w:val="18"/>
                <w:szCs w:val="18"/>
                <w:lang w:val="en-GB"/>
              </w:rPr>
              <w:t xml:space="preserve">NVVN </w:t>
            </w:r>
            <w:proofErr w:type="spellStart"/>
            <w:r>
              <w:rPr>
                <w:rFonts w:eastAsia="Arial" w:cs="Arial"/>
                <w:bCs/>
                <w:color w:val="231F20"/>
                <w:sz w:val="18"/>
                <w:szCs w:val="18"/>
                <w:lang w:val="en-GB"/>
              </w:rPr>
              <w:t>Bharamara</w:t>
            </w:r>
            <w:proofErr w:type="spellEnd"/>
            <w:r>
              <w:rPr>
                <w:rFonts w:eastAsia="Arial" w:cs="Arial"/>
                <w:bCs/>
                <w:color w:val="231F20"/>
                <w:sz w:val="18"/>
                <w:szCs w:val="18"/>
                <w:lang w:val="en-GB"/>
              </w:rPr>
              <w:t xml:space="preserve"> Ph-II</w:t>
            </w:r>
          </w:p>
        </w:tc>
        <w:tc>
          <w:tcPr>
            <w:tcW w:w="3543" w:type="dxa"/>
            <w:tcBorders>
              <w:right w:val="single" w:sz="4" w:space="0" w:color="auto"/>
            </w:tcBorders>
            <w:vAlign w:val="center"/>
            <w:hideMark/>
          </w:tcPr>
          <w:p w14:paraId="64540C14"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7A0AF4AA"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tcPr>
          <w:p w14:paraId="117D5780" w14:textId="77777777" w:rsidR="00775159" w:rsidRPr="00DD42FD" w:rsidRDefault="00775159" w:rsidP="00203963">
            <w:pPr>
              <w:spacing w:after="160"/>
              <w:jc w:val="left"/>
              <w:rPr>
                <w:rFonts w:eastAsia="Arial" w:cs="Arial"/>
                <w:sz w:val="18"/>
                <w:szCs w:val="18"/>
                <w:lang w:val="en-GB"/>
              </w:rPr>
            </w:pPr>
          </w:p>
        </w:tc>
        <w:tc>
          <w:tcPr>
            <w:tcW w:w="2835" w:type="dxa"/>
            <w:shd w:val="clear" w:color="auto" w:fill="F2F2F2" w:themeFill="background1" w:themeFillShade="F2"/>
            <w:vAlign w:val="center"/>
          </w:tcPr>
          <w:p w14:paraId="1092842C"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250 MW Sembcorp</w:t>
            </w:r>
          </w:p>
        </w:tc>
        <w:tc>
          <w:tcPr>
            <w:tcW w:w="3543" w:type="dxa"/>
            <w:tcBorders>
              <w:right w:val="single" w:sz="4" w:space="0" w:color="auto"/>
            </w:tcBorders>
            <w:shd w:val="clear" w:color="auto" w:fill="F2F2F2" w:themeFill="background1" w:themeFillShade="F2"/>
            <w:vAlign w:val="center"/>
          </w:tcPr>
          <w:p w14:paraId="5FE54813"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Commercial</w:t>
            </w:r>
          </w:p>
        </w:tc>
      </w:tr>
      <w:tr w:rsidR="00752004" w:rsidRPr="00DD42FD" w14:paraId="1D566B7D"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tcPr>
          <w:p w14:paraId="11590FF4" w14:textId="77777777" w:rsidR="00775159" w:rsidRPr="00DD42FD" w:rsidRDefault="00775159" w:rsidP="00203963">
            <w:pPr>
              <w:spacing w:after="160"/>
              <w:jc w:val="left"/>
              <w:rPr>
                <w:rFonts w:eastAsia="Arial" w:cs="Arial"/>
                <w:sz w:val="18"/>
                <w:szCs w:val="18"/>
                <w:lang w:val="en-GB"/>
              </w:rPr>
            </w:pPr>
          </w:p>
        </w:tc>
        <w:tc>
          <w:tcPr>
            <w:tcW w:w="2835" w:type="dxa"/>
            <w:vAlign w:val="center"/>
          </w:tcPr>
          <w:p w14:paraId="20C5B03A"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 xml:space="preserve">1496 MW Adani </w:t>
            </w:r>
            <w:proofErr w:type="spellStart"/>
            <w:r>
              <w:rPr>
                <w:rFonts w:eastAsia="Arial" w:cs="Arial"/>
                <w:bCs/>
                <w:color w:val="231F20"/>
                <w:sz w:val="18"/>
                <w:szCs w:val="18"/>
                <w:lang w:val="en-GB"/>
              </w:rPr>
              <w:t>Godda</w:t>
            </w:r>
            <w:proofErr w:type="spellEnd"/>
          </w:p>
        </w:tc>
        <w:tc>
          <w:tcPr>
            <w:tcW w:w="3543" w:type="dxa"/>
            <w:tcBorders>
              <w:right w:val="single" w:sz="4" w:space="0" w:color="auto"/>
            </w:tcBorders>
            <w:vAlign w:val="center"/>
          </w:tcPr>
          <w:p w14:paraId="5B065778"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Commercial</w:t>
            </w:r>
          </w:p>
        </w:tc>
      </w:tr>
      <w:tr w:rsidR="00752004" w:rsidRPr="00DD42FD" w14:paraId="71085003"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single" w:sz="4" w:space="0" w:color="auto"/>
            </w:tcBorders>
            <w:hideMark/>
          </w:tcPr>
          <w:p w14:paraId="17666C89" w14:textId="77777777" w:rsidR="00775159" w:rsidRPr="00DD42FD" w:rsidRDefault="00775159" w:rsidP="00203963">
            <w:pPr>
              <w:spacing w:after="160"/>
              <w:jc w:val="left"/>
              <w:rPr>
                <w:rFonts w:eastAsia="Arial" w:cs="Arial"/>
                <w:sz w:val="18"/>
                <w:szCs w:val="18"/>
                <w:lang w:val="en-GB"/>
              </w:rPr>
            </w:pPr>
            <w:r w:rsidRPr="00DD42FD">
              <w:rPr>
                <w:rFonts w:eastAsia="Arial" w:cs="Arial"/>
                <w:sz w:val="18"/>
                <w:szCs w:val="18"/>
                <w:lang w:val="en-GB"/>
              </w:rPr>
              <w:t xml:space="preserve">Bhutan </w:t>
            </w:r>
            <w:r w:rsidRPr="00DD42FD">
              <w:rPr>
                <w:rFonts w:ascii="Wingdings" w:eastAsia="Wingdings" w:hAnsi="Wingdings" w:cs="Wingdings"/>
                <w:sz w:val="18"/>
                <w:szCs w:val="18"/>
                <w:lang w:val="en-GB"/>
              </w:rPr>
              <w:t>à</w:t>
            </w:r>
            <w:r w:rsidRPr="00DD42FD">
              <w:rPr>
                <w:rFonts w:eastAsia="Arial" w:cs="Arial"/>
                <w:sz w:val="18"/>
                <w:szCs w:val="18"/>
                <w:lang w:val="en-GB"/>
              </w:rPr>
              <w:t xml:space="preserve"> India</w:t>
            </w:r>
          </w:p>
          <w:p w14:paraId="4F5E7A3E" w14:textId="77777777" w:rsidR="00775159" w:rsidRPr="00DD42FD" w:rsidRDefault="00775159" w:rsidP="00203963">
            <w:pPr>
              <w:spacing w:after="160"/>
              <w:jc w:val="left"/>
              <w:rPr>
                <w:rFonts w:eastAsia="Arial" w:cs="Arial"/>
                <w:sz w:val="18"/>
                <w:szCs w:val="18"/>
                <w:lang w:val="en-GB"/>
              </w:rPr>
            </w:pPr>
            <w:r w:rsidRPr="00DD42FD">
              <w:rPr>
                <w:rFonts w:eastAsia="Arial" w:cs="Arial"/>
                <w:sz w:val="18"/>
                <w:szCs w:val="18"/>
                <w:lang w:val="en-GB"/>
              </w:rPr>
              <w:t>(2</w:t>
            </w:r>
            <w:r>
              <w:rPr>
                <w:rFonts w:eastAsia="Arial" w:cs="Arial"/>
                <w:sz w:val="18"/>
                <w:szCs w:val="18"/>
                <w:lang w:val="en-GB"/>
              </w:rPr>
              <w:t>380</w:t>
            </w:r>
            <w:r w:rsidRPr="00DD42FD">
              <w:rPr>
                <w:rFonts w:eastAsia="Arial" w:cs="Arial"/>
                <w:sz w:val="18"/>
                <w:szCs w:val="18"/>
                <w:lang w:val="en-GB"/>
              </w:rPr>
              <w:t xml:space="preserve"> MW)</w:t>
            </w:r>
          </w:p>
        </w:tc>
        <w:tc>
          <w:tcPr>
            <w:tcW w:w="2835" w:type="dxa"/>
            <w:shd w:val="clear" w:color="auto" w:fill="F2F2F2" w:themeFill="background1" w:themeFillShade="F2"/>
            <w:vAlign w:val="center"/>
            <w:hideMark/>
          </w:tcPr>
          <w:p w14:paraId="76847862"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1020 MW Tala</w:t>
            </w:r>
          </w:p>
        </w:tc>
        <w:tc>
          <w:tcPr>
            <w:tcW w:w="3543" w:type="dxa"/>
            <w:tcBorders>
              <w:right w:val="single" w:sz="4" w:space="0" w:color="auto"/>
            </w:tcBorders>
            <w:shd w:val="clear" w:color="auto" w:fill="F2F2F2" w:themeFill="background1" w:themeFillShade="F2"/>
            <w:vAlign w:val="center"/>
            <w:hideMark/>
          </w:tcPr>
          <w:p w14:paraId="530B3BF7"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7B1042DD"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hideMark/>
          </w:tcPr>
          <w:p w14:paraId="66F288C3" w14:textId="77777777" w:rsidR="00775159" w:rsidRPr="00DD42FD" w:rsidRDefault="00775159" w:rsidP="00203963">
            <w:pPr>
              <w:spacing w:after="160"/>
              <w:jc w:val="left"/>
              <w:rPr>
                <w:rFonts w:eastAsia="Arial" w:cs="Arial"/>
                <w:sz w:val="18"/>
                <w:szCs w:val="18"/>
                <w:lang w:val="en-GB"/>
              </w:rPr>
            </w:pPr>
          </w:p>
        </w:tc>
        <w:tc>
          <w:tcPr>
            <w:tcW w:w="2835" w:type="dxa"/>
            <w:vAlign w:val="center"/>
            <w:hideMark/>
          </w:tcPr>
          <w:p w14:paraId="01757C7B"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 xml:space="preserve">336 MW </w:t>
            </w:r>
            <w:proofErr w:type="spellStart"/>
            <w:r w:rsidRPr="00DD42FD">
              <w:rPr>
                <w:rFonts w:eastAsia="Arial" w:cs="Arial"/>
                <w:bCs/>
                <w:color w:val="231F20"/>
                <w:sz w:val="18"/>
                <w:szCs w:val="18"/>
                <w:lang w:val="en-GB"/>
              </w:rPr>
              <w:t>Chukha</w:t>
            </w:r>
            <w:proofErr w:type="spellEnd"/>
          </w:p>
        </w:tc>
        <w:tc>
          <w:tcPr>
            <w:tcW w:w="3543" w:type="dxa"/>
            <w:tcBorders>
              <w:right w:val="single" w:sz="4" w:space="0" w:color="auto"/>
            </w:tcBorders>
            <w:vAlign w:val="center"/>
            <w:hideMark/>
          </w:tcPr>
          <w:p w14:paraId="133533C8"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23B6B304"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hideMark/>
          </w:tcPr>
          <w:p w14:paraId="39E2215E" w14:textId="77777777" w:rsidR="00775159" w:rsidRPr="00DD42FD" w:rsidRDefault="00775159" w:rsidP="00203963">
            <w:pPr>
              <w:spacing w:after="160"/>
              <w:jc w:val="left"/>
              <w:rPr>
                <w:rFonts w:eastAsia="Arial" w:cs="Arial"/>
                <w:sz w:val="18"/>
                <w:szCs w:val="18"/>
                <w:lang w:val="en-GB"/>
              </w:rPr>
            </w:pPr>
          </w:p>
        </w:tc>
        <w:tc>
          <w:tcPr>
            <w:tcW w:w="2835" w:type="dxa"/>
            <w:shd w:val="clear" w:color="auto" w:fill="F2F2F2" w:themeFill="background1" w:themeFillShade="F2"/>
            <w:vAlign w:val="center"/>
            <w:hideMark/>
          </w:tcPr>
          <w:p w14:paraId="3326E5CC"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 xml:space="preserve">60 MW </w:t>
            </w:r>
            <w:proofErr w:type="spellStart"/>
            <w:r w:rsidRPr="00DD42FD">
              <w:rPr>
                <w:rFonts w:eastAsia="Arial" w:cs="Arial"/>
                <w:bCs/>
                <w:color w:val="231F20"/>
                <w:sz w:val="18"/>
                <w:szCs w:val="18"/>
                <w:lang w:val="en-GB"/>
              </w:rPr>
              <w:t>Kurichhu</w:t>
            </w:r>
            <w:proofErr w:type="spellEnd"/>
          </w:p>
        </w:tc>
        <w:tc>
          <w:tcPr>
            <w:tcW w:w="3543" w:type="dxa"/>
            <w:tcBorders>
              <w:right w:val="single" w:sz="4" w:space="0" w:color="auto"/>
            </w:tcBorders>
            <w:shd w:val="clear" w:color="auto" w:fill="F2F2F2" w:themeFill="background1" w:themeFillShade="F2"/>
            <w:vAlign w:val="center"/>
            <w:hideMark/>
          </w:tcPr>
          <w:p w14:paraId="764A83FF"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6222FE53"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hideMark/>
          </w:tcPr>
          <w:p w14:paraId="32FE7127" w14:textId="77777777" w:rsidR="00775159" w:rsidRPr="00DD42FD" w:rsidRDefault="00775159" w:rsidP="00203963">
            <w:pPr>
              <w:spacing w:after="160"/>
              <w:jc w:val="left"/>
              <w:rPr>
                <w:rFonts w:eastAsia="Arial" w:cs="Arial"/>
                <w:sz w:val="18"/>
                <w:szCs w:val="18"/>
                <w:lang w:val="en-GB"/>
              </w:rPr>
            </w:pPr>
          </w:p>
        </w:tc>
        <w:tc>
          <w:tcPr>
            <w:tcW w:w="2835" w:type="dxa"/>
            <w:vAlign w:val="center"/>
            <w:hideMark/>
          </w:tcPr>
          <w:p w14:paraId="6647B0B2"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 xml:space="preserve">126 MW </w:t>
            </w:r>
            <w:proofErr w:type="spellStart"/>
            <w:r w:rsidRPr="00DD42FD">
              <w:rPr>
                <w:rFonts w:eastAsia="Arial" w:cs="Arial"/>
                <w:bCs/>
                <w:color w:val="231F20"/>
                <w:sz w:val="18"/>
                <w:szCs w:val="18"/>
                <w:lang w:val="en-GB"/>
              </w:rPr>
              <w:t>Dagachhu</w:t>
            </w:r>
            <w:proofErr w:type="spellEnd"/>
          </w:p>
        </w:tc>
        <w:tc>
          <w:tcPr>
            <w:tcW w:w="3543" w:type="dxa"/>
            <w:tcBorders>
              <w:right w:val="single" w:sz="4" w:space="0" w:color="auto"/>
            </w:tcBorders>
            <w:vAlign w:val="center"/>
            <w:hideMark/>
          </w:tcPr>
          <w:p w14:paraId="67527A19"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Comm</w:t>
            </w:r>
            <w:r>
              <w:rPr>
                <w:rFonts w:eastAsia="Arial" w:cs="Arial"/>
                <w:bCs/>
                <w:color w:val="231F20"/>
                <w:sz w:val="18"/>
                <w:szCs w:val="18"/>
                <w:lang w:val="en-GB"/>
              </w:rPr>
              <w:t>ercial</w:t>
            </w:r>
          </w:p>
        </w:tc>
      </w:tr>
      <w:tr w:rsidR="00752004" w:rsidRPr="00DD42FD" w14:paraId="7394F1F0"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hideMark/>
          </w:tcPr>
          <w:p w14:paraId="7383AFE8" w14:textId="77777777" w:rsidR="00775159" w:rsidRPr="00DD42FD" w:rsidRDefault="00775159" w:rsidP="00203963">
            <w:pPr>
              <w:spacing w:after="160"/>
              <w:jc w:val="left"/>
              <w:rPr>
                <w:rFonts w:eastAsia="Arial" w:cs="Arial"/>
                <w:sz w:val="18"/>
                <w:szCs w:val="18"/>
                <w:lang w:val="en-GB"/>
              </w:rPr>
            </w:pPr>
          </w:p>
        </w:tc>
        <w:tc>
          <w:tcPr>
            <w:tcW w:w="2835" w:type="dxa"/>
            <w:shd w:val="clear" w:color="auto" w:fill="F2F2F2" w:themeFill="background1" w:themeFillShade="F2"/>
            <w:vAlign w:val="center"/>
            <w:hideMark/>
          </w:tcPr>
          <w:p w14:paraId="1E005DDB"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 xml:space="preserve">720 MW </w:t>
            </w:r>
            <w:proofErr w:type="spellStart"/>
            <w:r w:rsidRPr="00DD42FD">
              <w:rPr>
                <w:rFonts w:eastAsia="Arial" w:cs="Arial"/>
                <w:bCs/>
                <w:color w:val="231F20"/>
                <w:sz w:val="18"/>
                <w:szCs w:val="18"/>
                <w:lang w:val="en-GB"/>
              </w:rPr>
              <w:t>Mangdechhu</w:t>
            </w:r>
            <w:proofErr w:type="spellEnd"/>
          </w:p>
        </w:tc>
        <w:tc>
          <w:tcPr>
            <w:tcW w:w="3543" w:type="dxa"/>
            <w:tcBorders>
              <w:right w:val="single" w:sz="4" w:space="0" w:color="auto"/>
            </w:tcBorders>
            <w:shd w:val="clear" w:color="auto" w:fill="F2F2F2" w:themeFill="background1" w:themeFillShade="F2"/>
            <w:vAlign w:val="center"/>
            <w:hideMark/>
          </w:tcPr>
          <w:p w14:paraId="0F1D56BB"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70868A5F"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tcPr>
          <w:p w14:paraId="34127242" w14:textId="77777777" w:rsidR="00775159" w:rsidRPr="00DD42FD" w:rsidRDefault="00775159" w:rsidP="00203963">
            <w:pPr>
              <w:spacing w:after="160"/>
              <w:jc w:val="left"/>
              <w:rPr>
                <w:rFonts w:eastAsia="Arial" w:cs="Arial"/>
                <w:sz w:val="18"/>
                <w:szCs w:val="18"/>
                <w:lang w:val="en-GB"/>
              </w:rPr>
            </w:pPr>
          </w:p>
        </w:tc>
        <w:tc>
          <w:tcPr>
            <w:tcW w:w="2835" w:type="dxa"/>
            <w:vAlign w:val="center"/>
          </w:tcPr>
          <w:p w14:paraId="42B6215F"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 xml:space="preserve">118 MW </w:t>
            </w:r>
            <w:proofErr w:type="spellStart"/>
            <w:r>
              <w:rPr>
                <w:rFonts w:eastAsia="Arial" w:cs="Arial"/>
                <w:bCs/>
                <w:color w:val="231F20"/>
                <w:sz w:val="18"/>
                <w:szCs w:val="18"/>
                <w:lang w:val="en-GB"/>
              </w:rPr>
              <w:t>Nikachhu</w:t>
            </w:r>
            <w:proofErr w:type="spellEnd"/>
          </w:p>
        </w:tc>
        <w:tc>
          <w:tcPr>
            <w:tcW w:w="3543" w:type="dxa"/>
            <w:tcBorders>
              <w:right w:val="single" w:sz="4" w:space="0" w:color="auto"/>
            </w:tcBorders>
            <w:vAlign w:val="center"/>
          </w:tcPr>
          <w:p w14:paraId="602B19B8" w14:textId="77777777" w:rsidR="00775159"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2845E376"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single" w:sz="4" w:space="0" w:color="auto"/>
            </w:tcBorders>
            <w:hideMark/>
          </w:tcPr>
          <w:p w14:paraId="7477593E" w14:textId="77777777" w:rsidR="00775159" w:rsidRDefault="00775159" w:rsidP="00203963">
            <w:pPr>
              <w:spacing w:after="160"/>
              <w:jc w:val="left"/>
              <w:rPr>
                <w:rFonts w:eastAsia="Arial" w:cs="Arial"/>
                <w:b w:val="0"/>
                <w:bCs w:val="0"/>
                <w:sz w:val="18"/>
                <w:szCs w:val="18"/>
                <w:lang w:val="en-GB"/>
              </w:rPr>
            </w:pPr>
            <w:r w:rsidRPr="00DD42FD">
              <w:rPr>
                <w:rFonts w:eastAsia="Arial" w:cs="Arial"/>
                <w:sz w:val="18"/>
                <w:szCs w:val="18"/>
                <w:lang w:val="en-GB"/>
              </w:rPr>
              <w:t xml:space="preserve">India </w:t>
            </w:r>
            <w:r w:rsidRPr="00DD42FD">
              <w:rPr>
                <w:rFonts w:ascii="Wingdings" w:eastAsia="Wingdings" w:hAnsi="Wingdings" w:cs="Wingdings"/>
                <w:sz w:val="18"/>
                <w:szCs w:val="18"/>
                <w:lang w:val="en-GB"/>
              </w:rPr>
              <w:t>à</w:t>
            </w:r>
            <w:r w:rsidRPr="00DD42FD">
              <w:rPr>
                <w:rFonts w:eastAsia="Arial" w:cs="Arial"/>
                <w:sz w:val="18"/>
                <w:szCs w:val="18"/>
                <w:lang w:val="en-GB"/>
              </w:rPr>
              <w:t xml:space="preserve"> Nepal </w:t>
            </w:r>
          </w:p>
          <w:p w14:paraId="21A78DBF" w14:textId="77777777" w:rsidR="00775159" w:rsidRPr="00DD42FD" w:rsidRDefault="00775159" w:rsidP="00203963">
            <w:pPr>
              <w:spacing w:after="160"/>
              <w:jc w:val="left"/>
              <w:rPr>
                <w:rFonts w:eastAsia="Arial" w:cs="Arial"/>
                <w:sz w:val="18"/>
                <w:szCs w:val="18"/>
                <w:lang w:val="en-GB"/>
              </w:rPr>
            </w:pPr>
            <w:r>
              <w:rPr>
                <w:rFonts w:eastAsia="Arial" w:cs="Arial"/>
                <w:sz w:val="18"/>
                <w:szCs w:val="18"/>
                <w:lang w:val="en-GB"/>
              </w:rPr>
              <w:t>(600-800</w:t>
            </w:r>
            <w:r w:rsidRPr="00DD42FD">
              <w:rPr>
                <w:rFonts w:eastAsia="Arial" w:cs="Arial"/>
                <w:sz w:val="18"/>
                <w:szCs w:val="18"/>
                <w:lang w:val="en-GB"/>
              </w:rPr>
              <w:t xml:space="preserve"> MW)</w:t>
            </w:r>
          </w:p>
        </w:tc>
        <w:tc>
          <w:tcPr>
            <w:tcW w:w="2835" w:type="dxa"/>
            <w:shd w:val="clear" w:color="auto" w:fill="F2F2F2" w:themeFill="background1" w:themeFillShade="F2"/>
            <w:vAlign w:val="center"/>
            <w:hideMark/>
          </w:tcPr>
          <w:p w14:paraId="33F5935B"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237 MW India</w:t>
            </w:r>
          </w:p>
        </w:tc>
        <w:tc>
          <w:tcPr>
            <w:tcW w:w="3543" w:type="dxa"/>
            <w:tcBorders>
              <w:right w:val="single" w:sz="4" w:space="0" w:color="auto"/>
            </w:tcBorders>
            <w:shd w:val="clear" w:color="auto" w:fill="F2F2F2" w:themeFill="background1" w:themeFillShade="F2"/>
            <w:vAlign w:val="center"/>
            <w:hideMark/>
          </w:tcPr>
          <w:p w14:paraId="6F22E206"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w:t>
            </w:r>
          </w:p>
        </w:tc>
      </w:tr>
      <w:tr w:rsidR="00752004" w:rsidRPr="00DD42FD" w14:paraId="1DA9A07A"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2689" w:type="dxa"/>
            <w:vMerge/>
            <w:tcBorders>
              <w:left w:val="single" w:sz="4" w:space="0" w:color="auto"/>
            </w:tcBorders>
            <w:hideMark/>
          </w:tcPr>
          <w:p w14:paraId="1C33F345" w14:textId="77777777" w:rsidR="00775159" w:rsidRPr="00DD42FD" w:rsidRDefault="00775159" w:rsidP="00203963">
            <w:pPr>
              <w:spacing w:after="160"/>
              <w:jc w:val="left"/>
              <w:rPr>
                <w:rFonts w:eastAsia="Arial" w:cs="Arial"/>
                <w:color w:val="231F20"/>
                <w:sz w:val="18"/>
                <w:szCs w:val="18"/>
                <w:lang w:val="en-GB"/>
              </w:rPr>
            </w:pPr>
          </w:p>
        </w:tc>
        <w:tc>
          <w:tcPr>
            <w:tcW w:w="2835" w:type="dxa"/>
            <w:vAlign w:val="center"/>
            <w:hideMark/>
          </w:tcPr>
          <w:p w14:paraId="100869E6"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400-500</w:t>
            </w:r>
            <w:r w:rsidRPr="00DD42FD">
              <w:rPr>
                <w:rFonts w:eastAsia="Arial" w:cs="Arial"/>
                <w:bCs/>
                <w:color w:val="231F20"/>
                <w:sz w:val="18"/>
                <w:szCs w:val="18"/>
                <w:lang w:val="en-GB"/>
              </w:rPr>
              <w:t xml:space="preserve"> MW Market</w:t>
            </w:r>
          </w:p>
        </w:tc>
        <w:tc>
          <w:tcPr>
            <w:tcW w:w="3543" w:type="dxa"/>
            <w:tcBorders>
              <w:right w:val="single" w:sz="4" w:space="0" w:color="auto"/>
            </w:tcBorders>
            <w:vAlign w:val="center"/>
            <w:hideMark/>
          </w:tcPr>
          <w:p w14:paraId="2DD34923"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sidRPr="00DD42FD">
              <w:rPr>
                <w:rFonts w:eastAsia="Arial" w:cs="Arial"/>
                <w:bCs/>
                <w:color w:val="231F20"/>
                <w:sz w:val="18"/>
                <w:szCs w:val="18"/>
                <w:lang w:val="en-GB"/>
              </w:rPr>
              <w:t>Comm</w:t>
            </w:r>
            <w:r>
              <w:rPr>
                <w:rFonts w:eastAsia="Arial" w:cs="Arial"/>
                <w:bCs/>
                <w:color w:val="231F20"/>
                <w:sz w:val="18"/>
                <w:szCs w:val="18"/>
                <w:lang w:val="en-GB"/>
              </w:rPr>
              <w:t>ercial</w:t>
            </w:r>
          </w:p>
        </w:tc>
      </w:tr>
      <w:tr w:rsidR="00752004" w:rsidRPr="00DD42FD" w14:paraId="0F322AC4" w14:textId="77777777" w:rsidTr="006467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tcBorders>
              <w:left w:val="single" w:sz="4" w:space="0" w:color="auto"/>
            </w:tcBorders>
          </w:tcPr>
          <w:p w14:paraId="0F7E3D38" w14:textId="77777777" w:rsidR="00775159" w:rsidRDefault="00775159" w:rsidP="00203963">
            <w:pPr>
              <w:spacing w:after="160"/>
              <w:jc w:val="left"/>
              <w:rPr>
                <w:rFonts w:eastAsia="Arial" w:cs="Arial"/>
                <w:b w:val="0"/>
                <w:bCs w:val="0"/>
                <w:sz w:val="18"/>
                <w:szCs w:val="18"/>
                <w:lang w:val="en-GB"/>
              </w:rPr>
            </w:pPr>
            <w:r>
              <w:rPr>
                <w:rFonts w:eastAsia="Arial" w:cs="Arial"/>
                <w:sz w:val="18"/>
                <w:szCs w:val="18"/>
                <w:lang w:val="en-GB"/>
              </w:rPr>
              <w:t>Nepal</w:t>
            </w:r>
            <w:r w:rsidRPr="00DD42FD">
              <w:rPr>
                <w:rFonts w:eastAsia="Arial" w:cs="Arial"/>
                <w:sz w:val="18"/>
                <w:szCs w:val="18"/>
                <w:lang w:val="en-GB"/>
              </w:rPr>
              <w:t xml:space="preserve"> </w:t>
            </w:r>
            <w:r w:rsidRPr="00DD42FD">
              <w:rPr>
                <w:rFonts w:ascii="Wingdings" w:eastAsia="Wingdings" w:hAnsi="Wingdings" w:cs="Wingdings"/>
                <w:sz w:val="18"/>
                <w:szCs w:val="18"/>
                <w:lang w:val="en-GB"/>
              </w:rPr>
              <w:t>à</w:t>
            </w:r>
            <w:r w:rsidRPr="00DD42FD">
              <w:rPr>
                <w:rFonts w:eastAsia="Arial" w:cs="Arial"/>
                <w:sz w:val="18"/>
                <w:szCs w:val="18"/>
                <w:lang w:val="en-GB"/>
              </w:rPr>
              <w:t xml:space="preserve"> </w:t>
            </w:r>
            <w:r>
              <w:rPr>
                <w:rFonts w:eastAsia="Arial" w:cs="Arial"/>
                <w:sz w:val="18"/>
                <w:szCs w:val="18"/>
                <w:lang w:val="en-GB"/>
              </w:rPr>
              <w:t>India</w:t>
            </w:r>
            <w:r w:rsidRPr="00DD42FD">
              <w:rPr>
                <w:rFonts w:eastAsia="Arial" w:cs="Arial"/>
                <w:sz w:val="18"/>
                <w:szCs w:val="18"/>
                <w:lang w:val="en-GB"/>
              </w:rPr>
              <w:t xml:space="preserve"> </w:t>
            </w:r>
          </w:p>
          <w:p w14:paraId="78FF3919" w14:textId="77777777" w:rsidR="00775159" w:rsidRPr="00DD42FD" w:rsidRDefault="00775159" w:rsidP="00203963">
            <w:pPr>
              <w:spacing w:after="160"/>
              <w:jc w:val="left"/>
              <w:rPr>
                <w:rFonts w:eastAsia="Arial" w:cs="Arial"/>
                <w:color w:val="231F20"/>
                <w:sz w:val="18"/>
                <w:szCs w:val="18"/>
                <w:lang w:val="en-GB"/>
              </w:rPr>
            </w:pPr>
            <w:r>
              <w:rPr>
                <w:rFonts w:eastAsia="Arial" w:cs="Arial"/>
                <w:sz w:val="18"/>
                <w:szCs w:val="18"/>
                <w:lang w:val="en-GB"/>
              </w:rPr>
              <w:t>(800-1000</w:t>
            </w:r>
            <w:r w:rsidRPr="00DD42FD">
              <w:rPr>
                <w:rFonts w:eastAsia="Arial" w:cs="Arial"/>
                <w:sz w:val="18"/>
                <w:szCs w:val="18"/>
                <w:lang w:val="en-GB"/>
              </w:rPr>
              <w:t xml:space="preserve"> MW)</w:t>
            </w:r>
          </w:p>
        </w:tc>
        <w:tc>
          <w:tcPr>
            <w:tcW w:w="2835" w:type="dxa"/>
            <w:shd w:val="clear" w:color="auto" w:fill="F2F2F2" w:themeFill="background1" w:themeFillShade="F2"/>
            <w:vAlign w:val="center"/>
          </w:tcPr>
          <w:p w14:paraId="723E7747"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941 MW from 28 hydro projects</w:t>
            </w:r>
          </w:p>
        </w:tc>
        <w:tc>
          <w:tcPr>
            <w:tcW w:w="3543" w:type="dxa"/>
            <w:tcBorders>
              <w:right w:val="single" w:sz="4" w:space="0" w:color="auto"/>
            </w:tcBorders>
            <w:shd w:val="clear" w:color="auto" w:fill="F2F2F2" w:themeFill="background1" w:themeFillShade="F2"/>
            <w:vAlign w:val="center"/>
          </w:tcPr>
          <w:p w14:paraId="6172E117" w14:textId="77777777" w:rsidR="00775159" w:rsidRPr="00DD42FD" w:rsidRDefault="00775159" w:rsidP="00752004">
            <w:pPr>
              <w:spacing w:after="160"/>
              <w:jc w:val="center"/>
              <w:cnfStyle w:val="000000100000" w:firstRow="0" w:lastRow="0" w:firstColumn="0" w:lastColumn="0" w:oddVBand="0" w:evenVBand="0" w:oddHBand="1"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Commercial</w:t>
            </w:r>
          </w:p>
        </w:tc>
      </w:tr>
      <w:tr w:rsidR="00752004" w:rsidRPr="00DD42FD" w14:paraId="52604674" w14:textId="77777777" w:rsidTr="00646777">
        <w:trPr>
          <w:trHeight w:val="280"/>
        </w:trPr>
        <w:tc>
          <w:tcPr>
            <w:cnfStyle w:val="001000000000" w:firstRow="0" w:lastRow="0" w:firstColumn="1" w:lastColumn="0" w:oddVBand="0" w:evenVBand="0" w:oddHBand="0" w:evenHBand="0" w:firstRowFirstColumn="0" w:firstRowLastColumn="0" w:lastRowFirstColumn="0" w:lastRowLastColumn="0"/>
            <w:tcW w:w="2689" w:type="dxa"/>
            <w:tcBorders>
              <w:left w:val="single" w:sz="4" w:space="0" w:color="auto"/>
              <w:bottom w:val="single" w:sz="4" w:space="0" w:color="auto"/>
            </w:tcBorders>
          </w:tcPr>
          <w:p w14:paraId="129F5AE7" w14:textId="77777777" w:rsidR="00775159" w:rsidRDefault="00775159" w:rsidP="00203963">
            <w:pPr>
              <w:spacing w:after="160"/>
              <w:jc w:val="left"/>
              <w:rPr>
                <w:rFonts w:eastAsia="Arial" w:cs="Arial"/>
                <w:b w:val="0"/>
                <w:bCs w:val="0"/>
                <w:sz w:val="18"/>
                <w:szCs w:val="18"/>
                <w:lang w:val="en-GB"/>
              </w:rPr>
            </w:pPr>
            <w:r>
              <w:rPr>
                <w:rFonts w:eastAsia="Arial" w:cs="Arial"/>
                <w:sz w:val="18"/>
                <w:szCs w:val="18"/>
                <w:lang w:val="en-GB"/>
              </w:rPr>
              <w:t>Nepal</w:t>
            </w:r>
            <w:r w:rsidRPr="00DD42FD">
              <w:rPr>
                <w:rFonts w:eastAsia="Arial" w:cs="Arial"/>
                <w:sz w:val="18"/>
                <w:szCs w:val="18"/>
                <w:lang w:val="en-GB"/>
              </w:rPr>
              <w:t xml:space="preserve"> </w:t>
            </w:r>
            <w:r w:rsidRPr="00DD42FD">
              <w:rPr>
                <w:rFonts w:ascii="Wingdings" w:eastAsia="Wingdings" w:hAnsi="Wingdings" w:cs="Wingdings"/>
                <w:sz w:val="18"/>
                <w:szCs w:val="18"/>
                <w:lang w:val="en-GB"/>
              </w:rPr>
              <w:t>à</w:t>
            </w:r>
            <w:r w:rsidRPr="00DD42FD">
              <w:rPr>
                <w:rFonts w:eastAsia="Arial" w:cs="Arial"/>
                <w:sz w:val="18"/>
                <w:szCs w:val="18"/>
                <w:lang w:val="en-GB"/>
              </w:rPr>
              <w:t xml:space="preserve"> </w:t>
            </w:r>
            <w:r>
              <w:rPr>
                <w:rFonts w:eastAsia="Arial" w:cs="Arial"/>
                <w:sz w:val="18"/>
                <w:szCs w:val="18"/>
                <w:lang w:val="en-GB"/>
              </w:rPr>
              <w:t>Bangladesh</w:t>
            </w:r>
            <w:r w:rsidRPr="00DD42FD">
              <w:rPr>
                <w:rFonts w:eastAsia="Arial" w:cs="Arial"/>
                <w:sz w:val="18"/>
                <w:szCs w:val="18"/>
                <w:lang w:val="en-GB"/>
              </w:rPr>
              <w:t xml:space="preserve"> </w:t>
            </w:r>
          </w:p>
          <w:p w14:paraId="066EFE27" w14:textId="77777777" w:rsidR="00775159" w:rsidRPr="00DD42FD" w:rsidRDefault="00775159" w:rsidP="00203963">
            <w:pPr>
              <w:spacing w:after="160"/>
              <w:jc w:val="left"/>
              <w:rPr>
                <w:rFonts w:eastAsia="Arial" w:cs="Arial"/>
                <w:color w:val="231F20"/>
                <w:sz w:val="18"/>
                <w:szCs w:val="18"/>
                <w:lang w:val="en-GB"/>
              </w:rPr>
            </w:pPr>
            <w:r>
              <w:rPr>
                <w:rFonts w:eastAsia="Arial" w:cs="Arial"/>
                <w:sz w:val="18"/>
                <w:szCs w:val="18"/>
                <w:lang w:val="en-GB"/>
              </w:rPr>
              <w:t>(40</w:t>
            </w:r>
            <w:r w:rsidRPr="00DD42FD">
              <w:rPr>
                <w:rFonts w:eastAsia="Arial" w:cs="Arial"/>
                <w:sz w:val="18"/>
                <w:szCs w:val="18"/>
                <w:lang w:val="en-GB"/>
              </w:rPr>
              <w:t xml:space="preserve"> MW)</w:t>
            </w:r>
          </w:p>
        </w:tc>
        <w:tc>
          <w:tcPr>
            <w:tcW w:w="2835" w:type="dxa"/>
            <w:tcBorders>
              <w:bottom w:val="single" w:sz="4" w:space="0" w:color="auto"/>
            </w:tcBorders>
            <w:vAlign w:val="center"/>
          </w:tcPr>
          <w:p w14:paraId="6B18D46A"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40 MW (through Indian grid)</w:t>
            </w:r>
          </w:p>
        </w:tc>
        <w:tc>
          <w:tcPr>
            <w:tcW w:w="3543" w:type="dxa"/>
            <w:tcBorders>
              <w:bottom w:val="single" w:sz="4" w:space="0" w:color="auto"/>
              <w:right w:val="single" w:sz="4" w:space="0" w:color="auto"/>
            </w:tcBorders>
            <w:vAlign w:val="center"/>
          </w:tcPr>
          <w:p w14:paraId="3299D3D4" w14:textId="77777777" w:rsidR="00775159" w:rsidRPr="00DD42FD" w:rsidRDefault="00775159" w:rsidP="00752004">
            <w:pPr>
              <w:spacing w:after="160"/>
              <w:jc w:val="center"/>
              <w:cnfStyle w:val="000000000000" w:firstRow="0" w:lastRow="0" w:firstColumn="0" w:lastColumn="0" w:oddVBand="0" w:evenVBand="0" w:oddHBand="0" w:evenHBand="0" w:firstRowFirstColumn="0" w:firstRowLastColumn="0" w:lastRowFirstColumn="0" w:lastRowLastColumn="0"/>
              <w:rPr>
                <w:rFonts w:eastAsia="Arial" w:cs="Arial"/>
                <w:bCs/>
                <w:color w:val="231F20"/>
                <w:sz w:val="18"/>
                <w:szCs w:val="18"/>
                <w:lang w:val="en-GB"/>
              </w:rPr>
            </w:pPr>
            <w:r>
              <w:rPr>
                <w:rFonts w:eastAsia="Arial" w:cs="Arial"/>
                <w:bCs/>
                <w:color w:val="231F20"/>
                <w:sz w:val="18"/>
                <w:szCs w:val="18"/>
                <w:lang w:val="en-GB"/>
              </w:rPr>
              <w:t>Government-to-Government (Tripartite Agreement)</w:t>
            </w:r>
          </w:p>
        </w:tc>
      </w:tr>
    </w:tbl>
    <w:p w14:paraId="5F964EAA" w14:textId="7B3C740C" w:rsidR="001562A4" w:rsidRDefault="001B22FD" w:rsidP="00862E4C">
      <w:r w:rsidRPr="001B22FD">
        <w:rPr>
          <w:sz w:val="18"/>
          <w:szCs w:val="20"/>
        </w:rPr>
        <w:t>Source: Utility Annual reports, Deloitte research</w:t>
      </w:r>
    </w:p>
    <w:p w14:paraId="112813F9" w14:textId="77777777" w:rsidR="001544EE" w:rsidRPr="006B61BB" w:rsidRDefault="001544EE" w:rsidP="001544EE">
      <w:pPr>
        <w:rPr>
          <w:lang w:val="en-GB"/>
        </w:rPr>
      </w:pPr>
      <w:r w:rsidRPr="006B61BB">
        <w:rPr>
          <w:lang w:val="en-GB"/>
        </w:rPr>
        <w:t xml:space="preserve">In 2021, the Central Electricity Authority (CEA) issued the "Procedure for Approval and Facilitating Import/Export (Cross Border) of Electricity by the Designated Authority," enabling power trading through the Indian Energy Exchange (IEX). By October 2021, Nepal began participating in the day-ahead market (DAM) on the IEX, initially trading around 39 MW (24 MW from the </w:t>
      </w:r>
      <w:proofErr w:type="spellStart"/>
      <w:r w:rsidRPr="006B61BB">
        <w:rPr>
          <w:lang w:val="en-GB"/>
        </w:rPr>
        <w:t>Trishuli</w:t>
      </w:r>
      <w:proofErr w:type="spellEnd"/>
      <w:r w:rsidRPr="006B61BB">
        <w:rPr>
          <w:lang w:val="en-GB"/>
        </w:rPr>
        <w:t xml:space="preserve"> Hydropower Plant and 15 MW from the </w:t>
      </w:r>
      <w:proofErr w:type="spellStart"/>
      <w:r w:rsidRPr="006B61BB">
        <w:rPr>
          <w:lang w:val="en-GB"/>
        </w:rPr>
        <w:t>Devighat</w:t>
      </w:r>
      <w:proofErr w:type="spellEnd"/>
      <w:r w:rsidRPr="006B61BB">
        <w:rPr>
          <w:lang w:val="en-GB"/>
        </w:rPr>
        <w:t xml:space="preserve"> Powerhouse). Over the past three years, Nepal’s trade volume in the DAM has grown significantly, eventually gaining access to the Real-Time Market (RTM). The Nepal Electricity Authority (NEA) has since secured medium-term power sales agreements with distribution companies in Haryana and Bihar. Additionally, India now recognizes hydropower imports from other countries as part of the Hydropower Purchase Obligation (HPO), encouraging Indian buyers to source power from Nepal. In January 2024, the two countries signed an agreement to facilitate 10,000 MW of power exports from Nepal to India within the next decade.</w:t>
      </w:r>
    </w:p>
    <w:p w14:paraId="4992F01A" w14:textId="77777777" w:rsidR="001544EE" w:rsidRPr="006B61BB" w:rsidRDefault="001544EE" w:rsidP="001544EE">
      <w:pPr>
        <w:rPr>
          <w:lang w:val="en-GB"/>
        </w:rPr>
      </w:pPr>
      <w:r w:rsidRPr="006B61BB">
        <w:rPr>
          <w:lang w:val="en-GB"/>
        </w:rPr>
        <w:t xml:space="preserve">In a landmark development, Nepal, India, and Bangladesh have signed a trilateral agreement for Nepal to export 40 MW of electricity to Bangladesh via India’s grid. This will be Nepal’s first-ever electricity sale to Bangladesh, using the 400 KV </w:t>
      </w:r>
      <w:proofErr w:type="spellStart"/>
      <w:r w:rsidRPr="006B61BB">
        <w:rPr>
          <w:lang w:val="en-GB"/>
        </w:rPr>
        <w:t>Dhalkebar</w:t>
      </w:r>
      <w:proofErr w:type="spellEnd"/>
      <w:r w:rsidRPr="006B61BB">
        <w:rPr>
          <w:lang w:val="en-GB"/>
        </w:rPr>
        <w:t xml:space="preserve">-Muzaffarpur transmission line in India, with export calculations managed at Muzaffarpur by NEA. The Cabinet Committee on Public Purchase (CCPP) in Bangladesh has also approved importing approximately 500 MW from Nepal’s proposed 900 MW Upper Karnali Hydroelectric Project, developed by GMR, which will flow to Bangladesh via NTPC Vidyut </w:t>
      </w:r>
      <w:proofErr w:type="spellStart"/>
      <w:r w:rsidRPr="006B61BB">
        <w:rPr>
          <w:lang w:val="en-GB"/>
        </w:rPr>
        <w:t>Vyapar</w:t>
      </w:r>
      <w:proofErr w:type="spellEnd"/>
      <w:r w:rsidRPr="006B61BB">
        <w:rPr>
          <w:lang w:val="en-GB"/>
        </w:rPr>
        <w:t xml:space="preserve"> Nigam Limited through Indian transmission corridors. Additionally, the three countries agreed to collaborate on the Sunkoshi-3 Hydropower Project and to assess the feasibility of a new cross-border transmission line for future energy trade.</w:t>
      </w:r>
    </w:p>
    <w:p w14:paraId="5377574D" w14:textId="2511FB93" w:rsidR="00C61666" w:rsidRDefault="001544EE" w:rsidP="001544EE">
      <w:r w:rsidRPr="006B61BB">
        <w:rPr>
          <w:lang w:val="en-GB"/>
        </w:rPr>
        <w:t xml:space="preserve">In another regional trade development, Bhutan recently began purchasing power from the IEX to meet dry season deficits, importing approximately </w:t>
      </w:r>
      <w:r>
        <w:rPr>
          <w:lang w:val="en-GB"/>
        </w:rPr>
        <w:t>1130</w:t>
      </w:r>
      <w:r w:rsidRPr="006B61BB">
        <w:rPr>
          <w:lang w:val="en-GB"/>
        </w:rPr>
        <w:t xml:space="preserve"> GWh </w:t>
      </w:r>
      <w:r>
        <w:rPr>
          <w:lang w:val="en-GB"/>
        </w:rPr>
        <w:t xml:space="preserve">in </w:t>
      </w:r>
      <w:r w:rsidRPr="006B61BB">
        <w:rPr>
          <w:lang w:val="en-GB"/>
        </w:rPr>
        <w:t>FY 202</w:t>
      </w:r>
      <w:r>
        <w:rPr>
          <w:lang w:val="en-GB"/>
        </w:rPr>
        <w:t>3</w:t>
      </w:r>
      <w:r w:rsidRPr="006B61BB">
        <w:rPr>
          <w:lang w:val="en-GB"/>
        </w:rPr>
        <w:t>-2</w:t>
      </w:r>
      <w:r>
        <w:rPr>
          <w:lang w:val="en-GB"/>
        </w:rPr>
        <w:t>4</w:t>
      </w:r>
      <w:r w:rsidRPr="006B61BB">
        <w:rPr>
          <w:lang w:val="en-GB"/>
        </w:rPr>
        <w:t xml:space="preserve"> to address generation shortfalls.</w:t>
      </w:r>
    </w:p>
    <w:p w14:paraId="43AB5CDD" w14:textId="58579B56" w:rsidR="00FB70E8" w:rsidRPr="00FB70E8" w:rsidRDefault="00FB70E8" w:rsidP="00862E4C">
      <w:pPr>
        <w:rPr>
          <w:b/>
          <w:bCs/>
        </w:rPr>
      </w:pPr>
      <w:r w:rsidRPr="00FB70E8">
        <w:rPr>
          <w:b/>
          <w:bCs/>
        </w:rPr>
        <w:t>Transmission Infrastructure</w:t>
      </w:r>
    </w:p>
    <w:p w14:paraId="5A5B4E2B" w14:textId="7E2B5DA2" w:rsidR="00F51D38" w:rsidRDefault="00F51D38" w:rsidP="00F51D38">
      <w:r>
        <w:t xml:space="preserve">The existing transmission infrastructure between BBINS countries has been instrumental in facilitating cross-border electricity trade, primarily through bilateral arrangements. India serves as the central hub in the region, connecting with Bhutan, Nepal, and Bangladesh through robust transmission networks. Bhutan and India share a well-established grid interconnection that supports the export of Bhutan’s hydropower surplus to India. Similarly, Nepal is connected to India through multiple transmission lines, enabling the exchange of electricity, particularly during Nepal’s seasonal deficits. Bangladesh imports power from India via high-capacity interconnections such as the </w:t>
      </w:r>
      <w:proofErr w:type="spellStart"/>
      <w:r>
        <w:t>Baharampur-Bheramara</w:t>
      </w:r>
      <w:proofErr w:type="spellEnd"/>
      <w:r>
        <w:t xml:space="preserve"> HVDC line. However, Sri Lanka lacks a physical interconnection with the BBIN grid, though proposals for a submarine cable link to India have been explored.</w:t>
      </w:r>
      <w:r w:rsidR="00C8117F">
        <w:t xml:space="preserve"> Details of </w:t>
      </w:r>
      <w:r w:rsidR="00A3235E">
        <w:t xml:space="preserve">existing/ proposed </w:t>
      </w:r>
      <w:r w:rsidR="00CE40D2">
        <w:t xml:space="preserve">cross-border </w:t>
      </w:r>
      <w:r w:rsidR="00A33320">
        <w:t xml:space="preserve">transmission lines in BBINS region have been provided </w:t>
      </w:r>
      <w:r w:rsidR="00130BA6">
        <w:t xml:space="preserve">in </w:t>
      </w:r>
      <w:r w:rsidR="00130BA6" w:rsidRPr="00130BA6">
        <w:rPr>
          <w:b/>
          <w:bCs/>
        </w:rPr>
        <w:t>Appendix A</w:t>
      </w:r>
      <w:r w:rsidR="005850E5">
        <w:t xml:space="preserve">. </w:t>
      </w:r>
    </w:p>
    <w:p w14:paraId="323EF949" w14:textId="60B3FFF1" w:rsidR="00FB70E8" w:rsidRDefault="00F51D38" w:rsidP="00F51D38">
      <w:r>
        <w:t>While the existing infrastructure has facilitated growing electricity trade, it remains limited in capacity and coverage to fully support regional integration. Strengthening and expanding transmission networks, including multilateral interconnections, is essential for realizing the potential of a regional power market in BBINS.</w:t>
      </w:r>
    </w:p>
    <w:p w14:paraId="49AE80F3" w14:textId="2BD73A93" w:rsidR="00B01EE7" w:rsidRDefault="00170491" w:rsidP="00FE61BC">
      <w:pPr>
        <w:pStyle w:val="Heading2"/>
      </w:pPr>
      <w:bookmarkStart w:id="58" w:name="_Toc3462459"/>
      <w:bookmarkStart w:id="59" w:name="_Toc3462460"/>
      <w:bookmarkStart w:id="60" w:name="_Toc977216"/>
      <w:bookmarkStart w:id="61" w:name="_Toc977217"/>
      <w:bookmarkStart w:id="62" w:name="_Toc185235893"/>
      <w:bookmarkStart w:id="63" w:name="_Toc121403082"/>
      <w:bookmarkStart w:id="64" w:name="_Toc404607973"/>
      <w:bookmarkStart w:id="65" w:name="_Toc425364548"/>
      <w:bookmarkStart w:id="66" w:name="_Toc470076423"/>
      <w:bookmarkStart w:id="67" w:name="_Toc497394060"/>
      <w:bookmarkEnd w:id="58"/>
      <w:bookmarkEnd w:id="59"/>
      <w:bookmarkEnd w:id="60"/>
      <w:bookmarkEnd w:id="61"/>
      <w:r>
        <w:t>Regulatory Landscape</w:t>
      </w:r>
      <w:bookmarkEnd w:id="62"/>
    </w:p>
    <w:p w14:paraId="4878FD52" w14:textId="77777777" w:rsidR="00F44E35" w:rsidRPr="00F44E35" w:rsidRDefault="00F44E35" w:rsidP="00F44E35">
      <w:pPr>
        <w:spacing w:before="120" w:line="259" w:lineRule="auto"/>
        <w:rPr>
          <w:rFonts w:cs="Arial"/>
          <w:szCs w:val="22"/>
          <w:lang w:eastAsia="en-JM"/>
        </w:rPr>
      </w:pPr>
      <w:bookmarkStart w:id="68" w:name="_Hlk145080200"/>
      <w:bookmarkEnd w:id="63"/>
      <w:r w:rsidRPr="00F44E35">
        <w:rPr>
          <w:rFonts w:cs="Arial"/>
          <w:szCs w:val="22"/>
          <w:lang w:eastAsia="en-JM"/>
        </w:rPr>
        <w:t xml:space="preserve">The </w:t>
      </w:r>
      <w:proofErr w:type="gramStart"/>
      <w:r w:rsidRPr="00F44E35">
        <w:rPr>
          <w:rFonts w:cs="Arial"/>
          <w:szCs w:val="22"/>
          <w:lang w:eastAsia="en-JM"/>
        </w:rPr>
        <w:t>current status</w:t>
      </w:r>
      <w:proofErr w:type="gramEnd"/>
      <w:r w:rsidRPr="00F44E35">
        <w:rPr>
          <w:rFonts w:cs="Arial"/>
          <w:szCs w:val="22"/>
          <w:lang w:eastAsia="en-JM"/>
        </w:rPr>
        <w:t xml:space="preserve"> of the Cross-Border Electricity Trade (CBET) regulatory framework in the BBINS region is characterized by a mix of bilateral agreements and country-specific regulations. India, the largest player in the region, has well-established policies and regulations through the Ministry of Power, Central Electricity Regulatory Commission (CERC), and Central Electricity Authority (CEA). Neighboring countries like Bangladesh, Bhutan, Nepal, and Sri Lanka also have their own regulatory bodies overseeing electricity trade within their borders, but they largely operate in isolation with limited coordination across borders. While some countries, like India and Bangladesh, have initiated agreements for cross-border electricity trade, the regulatory frameworks for CBET remain fragmented, often causing inefficiencies and barriers to broader regional integration.</w:t>
      </w:r>
    </w:p>
    <w:p w14:paraId="39444180" w14:textId="2AFB1EC6" w:rsidR="00D716B6" w:rsidRPr="0019192F" w:rsidRDefault="00D716B6" w:rsidP="00D716B6">
      <w:pPr>
        <w:pStyle w:val="Heading3"/>
      </w:pPr>
      <w:r w:rsidRPr="00CB7386">
        <w:t xml:space="preserve">Rules/Regulations and Frameworks in </w:t>
      </w:r>
      <w:r w:rsidR="0094056E">
        <w:t>Bangladesh</w:t>
      </w:r>
    </w:p>
    <w:p w14:paraId="17ABCFAC" w14:textId="7F426BBA" w:rsidR="00D716B6" w:rsidRDefault="0063254F" w:rsidP="00170491">
      <w:pPr>
        <w:spacing w:before="120" w:line="259" w:lineRule="auto"/>
        <w:rPr>
          <w:rFonts w:cs="Arial"/>
          <w:szCs w:val="22"/>
          <w:lang w:eastAsia="en-JM"/>
        </w:rPr>
      </w:pPr>
      <w:r w:rsidRPr="0063254F">
        <w:rPr>
          <w:rFonts w:cs="Arial"/>
          <w:szCs w:val="22"/>
          <w:lang w:eastAsia="en-JM"/>
        </w:rPr>
        <w:t>Although, Bangladesh lacks a detailed policy and regulatory framework to promote CBET, the Quick Enhancement of Electricity and Energy Supply (Special Provisions) Act, 2010 played a key role in CBET by allowing the Government and concerned state-owned enterprises to accept appropriate plans for power import to alleviate power shortage in the country.</w:t>
      </w:r>
      <w:r w:rsidR="00B14982">
        <w:rPr>
          <w:rFonts w:cs="Arial"/>
          <w:szCs w:val="22"/>
          <w:lang w:eastAsia="en-JM"/>
        </w:rPr>
        <w:t xml:space="preserve"> </w:t>
      </w:r>
      <w:r w:rsidR="005F0DC2">
        <w:rPr>
          <w:rFonts w:cs="Arial"/>
          <w:szCs w:val="22"/>
          <w:lang w:eastAsia="en-JM"/>
        </w:rPr>
        <w:t xml:space="preserve">The major legal instruments in Bangladesh for </w:t>
      </w:r>
      <w:r w:rsidR="00A74E66">
        <w:rPr>
          <w:rFonts w:cs="Arial"/>
          <w:szCs w:val="22"/>
          <w:lang w:eastAsia="en-JM"/>
        </w:rPr>
        <w:t xml:space="preserve">CBET are </w:t>
      </w:r>
      <w:r w:rsidR="00B82E4F" w:rsidRPr="00B82E4F">
        <w:rPr>
          <w:rFonts w:cs="Arial"/>
          <w:szCs w:val="22"/>
          <w:lang w:eastAsia="en-JM"/>
        </w:rPr>
        <w:t>BERC Act, 2003, The Electricity Act, 2018 and Draft Policy on Cross Border Electricity Trade</w:t>
      </w:r>
      <w:r w:rsidR="00740C40">
        <w:rPr>
          <w:rStyle w:val="FootnoteReference"/>
          <w:szCs w:val="22"/>
          <w:lang w:eastAsia="en-JM"/>
        </w:rPr>
        <w:footnoteReference w:id="13"/>
      </w:r>
      <w:r w:rsidR="007707D8">
        <w:rPr>
          <w:rFonts w:cs="Arial"/>
          <w:szCs w:val="22"/>
          <w:lang w:eastAsia="en-JM"/>
        </w:rPr>
        <w:t xml:space="preserve">. </w:t>
      </w:r>
      <w:r w:rsidR="00642F92" w:rsidRPr="00642F92">
        <w:rPr>
          <w:rFonts w:cs="Arial"/>
          <w:szCs w:val="22"/>
          <w:lang w:eastAsia="en-JM"/>
        </w:rPr>
        <w:t>The draft addresses key aspects such as grid interconnection, tariffs, system operations, the generation mix for CBET, grid operation recommendations, transmission access, transmission pricing, ancillary services, and dispute resolution mechanisms. It also introduces the concept of an Independent System Operator for Bangladesh, proposing transition from the current single-buyer model in the country's power market</w:t>
      </w:r>
      <w:r w:rsidR="00642F92">
        <w:rPr>
          <w:rFonts w:cs="Arial"/>
          <w:szCs w:val="22"/>
          <w:lang w:eastAsia="en-JM"/>
        </w:rPr>
        <w:t>.</w:t>
      </w:r>
    </w:p>
    <w:p w14:paraId="212A274F" w14:textId="7AA85B73" w:rsidR="00357882" w:rsidRPr="0019192F" w:rsidRDefault="00357882" w:rsidP="00357882">
      <w:pPr>
        <w:pStyle w:val="Heading3"/>
      </w:pPr>
      <w:r w:rsidRPr="00CB7386">
        <w:t xml:space="preserve">Rules/Regulations and Frameworks in </w:t>
      </w:r>
      <w:r>
        <w:t>B</w:t>
      </w:r>
      <w:r w:rsidR="004A4854">
        <w:t>hutan</w:t>
      </w:r>
    </w:p>
    <w:p w14:paraId="72D499D6" w14:textId="22DF675A" w:rsidR="007707D8" w:rsidRDefault="008201F7" w:rsidP="00357882">
      <w:pPr>
        <w:spacing w:before="120" w:line="259" w:lineRule="auto"/>
        <w:rPr>
          <w:rFonts w:cs="Arial"/>
          <w:szCs w:val="22"/>
          <w:lang w:eastAsia="en-JM"/>
        </w:rPr>
      </w:pPr>
      <w:r w:rsidRPr="008201F7">
        <w:rPr>
          <w:rFonts w:cs="Arial"/>
          <w:szCs w:val="22"/>
          <w:lang w:eastAsia="en-JM"/>
        </w:rPr>
        <w:t>The Grid Code policy covers the rules, procedures, guidelines, criteria, and responsibilities to be followed by the operators of the transmission systems. In Bhutan, the grid codes specify same voltage variation limits for both planning and operation stages (+/- 5%). The grid code also categorizes the criteria for classifying an operating state as Normal/Alert/Emergency (+/-5% for normal and +/-10% emergency/alert).</w:t>
      </w:r>
      <w:r w:rsidR="00DF45A6">
        <w:rPr>
          <w:rFonts w:cs="Arial"/>
          <w:szCs w:val="22"/>
          <w:lang w:eastAsia="en-JM"/>
        </w:rPr>
        <w:t xml:space="preserve"> </w:t>
      </w:r>
    </w:p>
    <w:p w14:paraId="063FE41A" w14:textId="77777777" w:rsidR="00677D85" w:rsidRPr="0019192F" w:rsidRDefault="00677D85" w:rsidP="00677D85">
      <w:pPr>
        <w:pStyle w:val="Heading3"/>
      </w:pPr>
      <w:r w:rsidRPr="00CB7386">
        <w:t>Rules/Regulations and Frameworks in India</w:t>
      </w:r>
    </w:p>
    <w:p w14:paraId="728420D4" w14:textId="5C1E75D6" w:rsidR="00677D85" w:rsidRDefault="00677D85" w:rsidP="00677D85">
      <w:pPr>
        <w:spacing w:before="120" w:line="259" w:lineRule="auto"/>
        <w:rPr>
          <w:rFonts w:cs="Arial"/>
          <w:szCs w:val="22"/>
          <w:lang w:eastAsia="en-JM"/>
        </w:rPr>
      </w:pPr>
      <w:r w:rsidRPr="00C0409C">
        <w:rPr>
          <w:rFonts w:cs="Arial"/>
          <w:szCs w:val="22"/>
          <w:lang w:eastAsia="en-JM"/>
        </w:rPr>
        <w:t>Cross-border electricity trade (CBET) in India is primarily managed by the Ministry of Power in coordination with key power sector entities, including the Central Electricity Regulatory Commission (CERC) and the Central Electricity Authority (CEA). The Ministry of Power oversees policy-level interventions, while CERC and CEA handle regulatory and procedural aspects as the central regulating and planning bodies, respectively. Additionally, power exchange operations and transactions are regulated by CERC through specific regulations, with the National Load Dispatch Centre (NLDC) ensuring grid stability during power flows on the exchange.</w:t>
      </w:r>
      <w:r>
        <w:rPr>
          <w:rFonts w:cs="Arial"/>
          <w:szCs w:val="22"/>
          <w:lang w:eastAsia="en-JM"/>
        </w:rPr>
        <w:t xml:space="preserve"> </w:t>
      </w:r>
      <w:r w:rsidRPr="00A76E99">
        <w:rPr>
          <w:rFonts w:cs="Arial"/>
          <w:szCs w:val="22"/>
          <w:lang w:eastAsia="en-JM"/>
        </w:rPr>
        <w:t xml:space="preserve">The Cross Border Electricity Trade of </w:t>
      </w:r>
      <w:proofErr w:type="gramStart"/>
      <w:r w:rsidRPr="00A76E99">
        <w:rPr>
          <w:rFonts w:cs="Arial"/>
          <w:szCs w:val="22"/>
          <w:lang w:eastAsia="en-JM"/>
        </w:rPr>
        <w:t>Electricity was</w:t>
      </w:r>
      <w:proofErr w:type="gramEnd"/>
      <w:r w:rsidRPr="00A76E99">
        <w:rPr>
          <w:rFonts w:cs="Arial"/>
          <w:szCs w:val="22"/>
          <w:lang w:eastAsia="en-JM"/>
        </w:rPr>
        <w:t xml:space="preserve"> commenced in the Day Ahead Market of IEX in 2021-22. The trade with Nepal commenced on 17.04.2021, whereas the trade with Bhutan commenced on 01.01.2022.</w:t>
      </w:r>
      <w:r>
        <w:rPr>
          <w:rStyle w:val="FootnoteReference"/>
          <w:szCs w:val="22"/>
          <w:lang w:eastAsia="en-JM"/>
        </w:rPr>
        <w:footnoteReference w:id="14"/>
      </w:r>
    </w:p>
    <w:p w14:paraId="1658CEA0" w14:textId="5E3DEF51" w:rsidR="00B376CD" w:rsidRPr="0019192F" w:rsidRDefault="00B376CD" w:rsidP="00B376CD">
      <w:pPr>
        <w:pStyle w:val="Heading3"/>
      </w:pPr>
      <w:r w:rsidRPr="00CB7386">
        <w:t xml:space="preserve">Rules/Regulations and Frameworks in </w:t>
      </w:r>
      <w:r>
        <w:t>Nepal</w:t>
      </w:r>
    </w:p>
    <w:p w14:paraId="2ADAD3EA" w14:textId="25E5169E" w:rsidR="00B376CD" w:rsidRDefault="000E49AC" w:rsidP="00B376CD">
      <w:pPr>
        <w:spacing w:before="120" w:line="259" w:lineRule="auto"/>
        <w:rPr>
          <w:rFonts w:cs="Arial"/>
          <w:szCs w:val="22"/>
          <w:lang w:eastAsia="en-JM"/>
        </w:rPr>
      </w:pPr>
      <w:r w:rsidRPr="000E49AC">
        <w:rPr>
          <w:rFonts w:cs="Arial"/>
          <w:szCs w:val="22"/>
          <w:lang w:eastAsia="en-JM"/>
        </w:rPr>
        <w:t>Although Nepal does not have a comprehensive policy and regulatory framework specifically designed to promote Cross-Border Electricity Trade (CBET), the primary legislation governing the power sector is "The Electricity Act 1992." This Act includes provisions that facilitate the import and export of electricity. In addition, the "Electricity Regulation 1993," issued under the Act, outlines the application requirements for electricity imports and exports. However, beyond these provisions, the regulatory framework for CBET has not progressed significantly due to the absence of an independent regulatory commission. In 2001, Nepal introduced "The Hydropower Development Policy," which allows the government to grant licenses for the export of electricity from hydropower projects with an installed capacity exceeding 100 MW.</w:t>
      </w:r>
    </w:p>
    <w:p w14:paraId="395230F1" w14:textId="3A09BAA9" w:rsidR="003F70C8" w:rsidRPr="0019192F" w:rsidRDefault="003F70C8" w:rsidP="003F70C8">
      <w:pPr>
        <w:pStyle w:val="Heading3"/>
      </w:pPr>
      <w:r w:rsidRPr="00CB7386">
        <w:t xml:space="preserve">Rules/Regulations and Frameworks in </w:t>
      </w:r>
      <w:r w:rsidR="002545E6">
        <w:t>Sri Lanka</w:t>
      </w:r>
      <w:r>
        <w:rPr>
          <w:rStyle w:val="FootnoteReference"/>
        </w:rPr>
        <w:footnoteReference w:id="15"/>
      </w:r>
    </w:p>
    <w:p w14:paraId="37A3321E" w14:textId="63FD11B8" w:rsidR="00B376CD" w:rsidRDefault="00677D85" w:rsidP="003F70C8">
      <w:pPr>
        <w:spacing w:before="120" w:line="259" w:lineRule="auto"/>
        <w:rPr>
          <w:rFonts w:cs="Arial"/>
          <w:szCs w:val="22"/>
          <w:lang w:eastAsia="en-JM"/>
        </w:rPr>
      </w:pPr>
      <w:r w:rsidRPr="00677D85">
        <w:rPr>
          <w:rFonts w:cs="Arial"/>
          <w:szCs w:val="22"/>
          <w:lang w:eastAsia="en-JM"/>
        </w:rPr>
        <w:t xml:space="preserve">Currently, the Ceylon Electricity Board (CEB) is responsible for generating, transmitting, and distributing electricity through its own network, operating under a single-buyer model. Recently, the government has initiated efforts to unbundle the generation, transmission system operation, and distribution sectors to increase competition and improve service delivery at affordable prices. The goal of this unbundling process is to reduce the burden on the treasury and transform the utility into a financially independent institution. Additionally, the unbundling aims to foster increased investment in renewable energy (RE) development on a competitive basis and promote benchmarking competition among distribution licensees. The Sri Lanka Electricity Act (SLEA) includes provisions for small-scale generation additions under standardized power purchase agreements. The Government of Sri Lanka (GOSL) </w:t>
      </w:r>
      <w:proofErr w:type="gramStart"/>
      <w:r w:rsidRPr="00677D85">
        <w:rPr>
          <w:rFonts w:cs="Arial"/>
          <w:szCs w:val="22"/>
          <w:lang w:eastAsia="en-JM"/>
        </w:rPr>
        <w:t>is  working</w:t>
      </w:r>
      <w:proofErr w:type="gramEnd"/>
      <w:r w:rsidRPr="00677D85">
        <w:rPr>
          <w:rFonts w:cs="Arial"/>
          <w:szCs w:val="22"/>
          <w:lang w:eastAsia="en-JM"/>
        </w:rPr>
        <w:t xml:space="preserve"> to integrate into the regional power market, following the completion of ongoing studies. Cross-border interconnections will allow Sri Lanka to benefit economically by importing and exporting electricity during periods of surplus or shortage. This will be especially advantageous for achieving the GOSL's target of 70% renewable energy by 2030. The GOSL will adopt the most suitable business model for this integration, based on the ongoing studies related to grid interconnection with India.</w:t>
      </w:r>
    </w:p>
    <w:p w14:paraId="64E17ADD" w14:textId="73E9DD18" w:rsidR="004F4E7E" w:rsidRPr="007B551D" w:rsidRDefault="004F4E7E" w:rsidP="00357882">
      <w:pPr>
        <w:spacing w:before="120" w:line="259" w:lineRule="auto"/>
        <w:rPr>
          <w:rFonts w:eastAsia="Arial" w:cs="Arial"/>
          <w:b/>
          <w:iCs/>
          <w:color w:val="002776"/>
        </w:rPr>
      </w:pPr>
      <w:r w:rsidRPr="007B551D">
        <w:rPr>
          <w:rFonts w:eastAsia="Arial" w:cs="Arial"/>
          <w:b/>
          <w:iCs/>
          <w:color w:val="002776"/>
        </w:rPr>
        <w:t>Settlement Nodal Agency</w:t>
      </w:r>
      <w:r w:rsidR="00964AA8" w:rsidRPr="007B551D">
        <w:rPr>
          <w:rFonts w:eastAsia="Arial" w:cs="Arial"/>
          <w:b/>
          <w:iCs/>
          <w:color w:val="002776"/>
        </w:rPr>
        <w:t xml:space="preserve"> (SNA) </w:t>
      </w:r>
    </w:p>
    <w:p w14:paraId="341969F9" w14:textId="4E034D46" w:rsidR="00CD6485" w:rsidRDefault="00CD6485" w:rsidP="00357882">
      <w:pPr>
        <w:spacing w:before="120" w:line="259" w:lineRule="auto"/>
        <w:rPr>
          <w:rFonts w:cs="Arial"/>
          <w:szCs w:val="22"/>
          <w:lang w:eastAsia="en-JM"/>
        </w:rPr>
      </w:pPr>
      <w:r w:rsidRPr="00222088">
        <w:t xml:space="preserve">NTPC Vidyut </w:t>
      </w:r>
      <w:proofErr w:type="spellStart"/>
      <w:r w:rsidRPr="00222088">
        <w:t>Vyapar</w:t>
      </w:r>
      <w:proofErr w:type="spellEnd"/>
      <w:r w:rsidRPr="00222088">
        <w:t xml:space="preserve"> Nigam Ltd (NVVN)</w:t>
      </w:r>
      <w:r w:rsidRPr="00276676">
        <w:t xml:space="preserve"> </w:t>
      </w:r>
      <w:r w:rsidRPr="00BE0318">
        <w:t xml:space="preserve">has been designated as </w:t>
      </w:r>
      <w:r>
        <w:t xml:space="preserve">the </w:t>
      </w:r>
      <w:r w:rsidRPr="00BE0318">
        <w:t>SNA</w:t>
      </w:r>
      <w:r>
        <w:rPr>
          <w:rStyle w:val="FootnoteReference"/>
        </w:rPr>
        <w:footnoteReference w:id="16"/>
      </w:r>
      <w:r w:rsidRPr="00BE0318">
        <w:t xml:space="preserve"> </w:t>
      </w:r>
      <w:r>
        <w:t xml:space="preserve">for Bangladesh, Bhutan, Nepal and Myanmar, under the </w:t>
      </w:r>
      <w:r>
        <w:rPr>
          <w:bCs/>
        </w:rPr>
        <w:t xml:space="preserve">Guidelines for Import /Export (Cross Border) of </w:t>
      </w:r>
      <w:proofErr w:type="gramStart"/>
      <w:r>
        <w:rPr>
          <w:bCs/>
        </w:rPr>
        <w:t>Electricity</w:t>
      </w:r>
      <w:proofErr w:type="gramEnd"/>
      <w:r>
        <w:rPr>
          <w:bCs/>
        </w:rPr>
        <w:t xml:space="preserve"> 2018, </w:t>
      </w:r>
      <w:r w:rsidRPr="00BE0318">
        <w:t>from India’s side</w:t>
      </w:r>
      <w:r>
        <w:t>. It is therefore</w:t>
      </w:r>
      <w:r w:rsidRPr="00BE0318">
        <w:t xml:space="preserve"> responsible for settlement of grid operation related charges like operating charges, charges for deviation</w:t>
      </w:r>
      <w:r>
        <w:t>.</w:t>
      </w:r>
      <w:r w:rsidRPr="00BE0318">
        <w:t xml:space="preserve"> N</w:t>
      </w:r>
      <w:r>
        <w:t>V</w:t>
      </w:r>
      <w:r w:rsidRPr="00BE0318">
        <w:t xml:space="preserve">VN’s </w:t>
      </w:r>
      <w:r>
        <w:t xml:space="preserve">key </w:t>
      </w:r>
      <w:r w:rsidRPr="00BE0318">
        <w:t>function</w:t>
      </w:r>
      <w:r>
        <w:t>s</w:t>
      </w:r>
      <w:r w:rsidRPr="00BE0318">
        <w:t xml:space="preserve"> include coordination with Load Dispatch Centers on behalf of Cross Border Entity, provide information on </w:t>
      </w:r>
      <w:r>
        <w:t>Open Access</w:t>
      </w:r>
      <w:r w:rsidRPr="00BE0318">
        <w:t xml:space="preserve">, undertake weekly meter reading </w:t>
      </w:r>
      <w:r>
        <w:t>among others. The other billing and payment related activities include</w:t>
      </w:r>
      <w:r w:rsidRPr="005F2FB9">
        <w:t xml:space="preserve"> rais</w:t>
      </w:r>
      <w:r>
        <w:t>ing</w:t>
      </w:r>
      <w:r w:rsidRPr="005F2FB9">
        <w:t xml:space="preserve"> bill to Cross Border Entity for</w:t>
      </w:r>
      <w:r>
        <w:t xml:space="preserve"> d</w:t>
      </w:r>
      <w:r w:rsidRPr="005F2FB9">
        <w:t xml:space="preserve">eviation in </w:t>
      </w:r>
      <w:r>
        <w:t>s</w:t>
      </w:r>
      <w:r w:rsidRPr="005F2FB9">
        <w:t>cheduling</w:t>
      </w:r>
      <w:r>
        <w:t>, r</w:t>
      </w:r>
      <w:r w:rsidRPr="005F2FB9">
        <w:t xml:space="preserve">egional </w:t>
      </w:r>
      <w:r>
        <w:t>t</w:t>
      </w:r>
      <w:r w:rsidRPr="005F2FB9">
        <w:t xml:space="preserve">ransmission </w:t>
      </w:r>
      <w:r>
        <w:t>d</w:t>
      </w:r>
      <w:r w:rsidRPr="005F2FB9">
        <w:t xml:space="preserve">eviation </w:t>
      </w:r>
      <w:r>
        <w:t>c</w:t>
      </w:r>
      <w:r w:rsidRPr="005F2FB9">
        <w:t>harges</w:t>
      </w:r>
      <w:r>
        <w:t>, r</w:t>
      </w:r>
      <w:r w:rsidRPr="005F2FB9">
        <w:t xml:space="preserve">eactive </w:t>
      </w:r>
      <w:r>
        <w:t>e</w:t>
      </w:r>
      <w:r w:rsidRPr="005F2FB9">
        <w:t xml:space="preserve">nergy </w:t>
      </w:r>
      <w:r>
        <w:t>c</w:t>
      </w:r>
      <w:r w:rsidRPr="005F2FB9">
        <w:t xml:space="preserve">harge &amp; </w:t>
      </w:r>
      <w:r>
        <w:t>c</w:t>
      </w:r>
      <w:r w:rsidRPr="005F2FB9">
        <w:t xml:space="preserve">ongestion </w:t>
      </w:r>
      <w:r>
        <w:t>c</w:t>
      </w:r>
      <w:r w:rsidRPr="005F2FB9">
        <w:t>harge</w:t>
      </w:r>
      <w:r>
        <w:t>, s</w:t>
      </w:r>
      <w:r w:rsidRPr="005F2FB9">
        <w:t xml:space="preserve">ystem </w:t>
      </w:r>
      <w:r>
        <w:t>o</w:t>
      </w:r>
      <w:r w:rsidRPr="005F2FB9">
        <w:t xml:space="preserve">peration </w:t>
      </w:r>
      <w:r>
        <w:t>f</w:t>
      </w:r>
      <w:r w:rsidRPr="005F2FB9">
        <w:t>ees &amp;</w:t>
      </w:r>
      <w:r>
        <w:t xml:space="preserve"> c</w:t>
      </w:r>
      <w:r w:rsidRPr="005F2FB9">
        <w:t>harges</w:t>
      </w:r>
      <w:r>
        <w:t xml:space="preserve">, </w:t>
      </w:r>
      <w:r w:rsidRPr="005F2FB9">
        <w:t xml:space="preserve">Settlement Nodal Agency </w:t>
      </w:r>
      <w:r>
        <w:t>c</w:t>
      </w:r>
      <w:r w:rsidRPr="005F2FB9">
        <w:t xml:space="preserve">harges / </w:t>
      </w:r>
      <w:r>
        <w:t>f</w:t>
      </w:r>
      <w:r w:rsidRPr="005F2FB9">
        <w:t>ees</w:t>
      </w:r>
      <w:r>
        <w:t>, o</w:t>
      </w:r>
      <w:r w:rsidRPr="005F2FB9">
        <w:t xml:space="preserve">ther </w:t>
      </w:r>
      <w:r>
        <w:t>s</w:t>
      </w:r>
      <w:r w:rsidRPr="005F2FB9">
        <w:t xml:space="preserve">tatutory and </w:t>
      </w:r>
      <w:r>
        <w:t>n</w:t>
      </w:r>
      <w:r w:rsidRPr="005F2FB9">
        <w:t xml:space="preserve">ecessary </w:t>
      </w:r>
      <w:r>
        <w:t>c</w:t>
      </w:r>
      <w:r w:rsidRPr="005F2FB9">
        <w:t>harges</w:t>
      </w:r>
      <w:r>
        <w:t xml:space="preserve"> and l</w:t>
      </w:r>
      <w:r w:rsidRPr="005F2FB9">
        <w:t xml:space="preserve">ate </w:t>
      </w:r>
      <w:r>
        <w:t>p</w:t>
      </w:r>
      <w:r w:rsidRPr="005F2FB9">
        <w:t xml:space="preserve">ayment </w:t>
      </w:r>
      <w:r>
        <w:t>s</w:t>
      </w:r>
      <w:r w:rsidRPr="005F2FB9">
        <w:t xml:space="preserve">urcharge </w:t>
      </w:r>
      <w:r>
        <w:t>(</w:t>
      </w:r>
      <w:r w:rsidRPr="005F2FB9">
        <w:t>if applicable</w:t>
      </w:r>
      <w:r>
        <w:t>).</w:t>
      </w:r>
    </w:p>
    <w:p w14:paraId="371C6DD7" w14:textId="77777777" w:rsidR="00677D85" w:rsidRPr="0019192F" w:rsidRDefault="00677D85" w:rsidP="00677D85">
      <w:pPr>
        <w:pStyle w:val="Heading3"/>
      </w:pPr>
      <w:r w:rsidRPr="00EE414D">
        <w:t>Regional Regulations and Frameworks to Support CBET</w:t>
      </w:r>
    </w:p>
    <w:p w14:paraId="58AEA493" w14:textId="77777777" w:rsidR="00677D85" w:rsidRDefault="00677D85" w:rsidP="00677D85">
      <w:pPr>
        <w:spacing w:before="120" w:line="259" w:lineRule="auto"/>
        <w:rPr>
          <w:rFonts w:cs="Arial"/>
          <w:szCs w:val="22"/>
          <w:lang w:eastAsia="en-JM"/>
        </w:rPr>
      </w:pPr>
      <w:r w:rsidRPr="005F32EC">
        <w:rPr>
          <w:rFonts w:cs="Arial"/>
          <w:szCs w:val="22"/>
          <w:lang w:eastAsia="en-JM"/>
        </w:rPr>
        <w:t>There are regional regulations and frameworks in place to support cross-border electricity trade (CBET) which highlight the political commitment of South Asian nations to foster regional energy cooperation. These initiatives aim to strengthen electricity trade by evolving from traditional bilateral arrangements to a more streamlined and efficient regional system.</w:t>
      </w:r>
      <w:r>
        <w:rPr>
          <w:rFonts w:cs="Arial"/>
          <w:szCs w:val="22"/>
          <w:lang w:eastAsia="en-JM"/>
        </w:rPr>
        <w:t xml:space="preserve"> These regional regulations and frameworks are outlined below.</w:t>
      </w:r>
    </w:p>
    <w:p w14:paraId="3EEC8294" w14:textId="77777777" w:rsidR="00677D85" w:rsidRPr="00D75002" w:rsidRDefault="00677D85" w:rsidP="00677D85">
      <w:pPr>
        <w:spacing w:before="120" w:line="259" w:lineRule="auto"/>
        <w:rPr>
          <w:rFonts w:cs="Arial"/>
          <w:b/>
          <w:bCs/>
          <w:szCs w:val="22"/>
          <w:lang w:eastAsia="en-JM"/>
        </w:rPr>
      </w:pPr>
      <w:r w:rsidRPr="00D75002">
        <w:rPr>
          <w:rFonts w:cs="Arial"/>
          <w:b/>
          <w:bCs/>
          <w:szCs w:val="22"/>
          <w:lang w:eastAsia="en-JM"/>
        </w:rPr>
        <w:t>SAARC Framework Agreement</w:t>
      </w:r>
    </w:p>
    <w:p w14:paraId="125A462E" w14:textId="77777777" w:rsidR="00677D85" w:rsidRDefault="00677D85" w:rsidP="00677D85">
      <w:pPr>
        <w:spacing w:before="120" w:line="259" w:lineRule="auto"/>
        <w:rPr>
          <w:lang w:val="en-GB"/>
        </w:rPr>
      </w:pPr>
      <w:r w:rsidRPr="00E47027">
        <w:rPr>
          <w:rFonts w:cs="Arial"/>
          <w:szCs w:val="22"/>
          <w:lang w:eastAsia="en-JM"/>
        </w:rPr>
        <w:t xml:space="preserve">A comprehensive framework was developed under the South Asian Association for Regional Cooperation </w:t>
      </w:r>
      <w:r w:rsidRPr="00F74B32">
        <w:rPr>
          <w:lang w:val="en-GB"/>
        </w:rPr>
        <w:t>(SAARC)</w:t>
      </w:r>
      <w:r>
        <w:rPr>
          <w:rStyle w:val="FootnoteReference"/>
          <w:lang w:val="en-GB"/>
        </w:rPr>
        <w:footnoteReference w:id="17"/>
      </w:r>
      <w:r>
        <w:rPr>
          <w:rFonts w:cs="Arial"/>
          <w:szCs w:val="22"/>
          <w:lang w:eastAsia="en-JM"/>
        </w:rPr>
        <w:t>. T</w:t>
      </w:r>
      <w:r>
        <w:rPr>
          <w:lang w:val="en-GB"/>
        </w:rPr>
        <w:t>he</w:t>
      </w:r>
      <w:r w:rsidRPr="00DD42FD">
        <w:rPr>
          <w:lang w:val="en-GB"/>
        </w:rPr>
        <w:t xml:space="preserve"> “SAARC Framework Agreement for Energy Cooperation (Electricity)” was signed by all </w:t>
      </w:r>
      <w:r>
        <w:rPr>
          <w:lang w:val="en-GB"/>
        </w:rPr>
        <w:t>m</w:t>
      </w:r>
      <w:r w:rsidRPr="00DD42FD">
        <w:rPr>
          <w:lang w:val="en-GB"/>
        </w:rPr>
        <w:t xml:space="preserve">ember </w:t>
      </w:r>
      <w:r>
        <w:rPr>
          <w:lang w:val="en-GB"/>
        </w:rPr>
        <w:t>s</w:t>
      </w:r>
      <w:r w:rsidRPr="00DD42FD">
        <w:rPr>
          <w:lang w:val="en-GB"/>
        </w:rPr>
        <w:t xml:space="preserve">tates of SAARC in Nepal </w:t>
      </w:r>
      <w:r>
        <w:rPr>
          <w:lang w:val="en-GB"/>
        </w:rPr>
        <w:t xml:space="preserve">in </w:t>
      </w:r>
      <w:r w:rsidRPr="00DD42FD">
        <w:rPr>
          <w:lang w:val="en-GB"/>
        </w:rPr>
        <w:t xml:space="preserve">November 2014. </w:t>
      </w:r>
    </w:p>
    <w:p w14:paraId="2C430118" w14:textId="77777777" w:rsidR="00677D85" w:rsidRPr="00D75002" w:rsidRDefault="00677D85" w:rsidP="00677D85">
      <w:pPr>
        <w:spacing w:before="120" w:line="259" w:lineRule="auto"/>
        <w:rPr>
          <w:rFonts w:cs="Arial"/>
          <w:b/>
          <w:bCs/>
          <w:szCs w:val="22"/>
          <w:lang w:eastAsia="en-JM"/>
        </w:rPr>
      </w:pPr>
      <w:r w:rsidRPr="00AA0CA3">
        <w:rPr>
          <w:rFonts w:cs="Arial"/>
          <w:b/>
          <w:bCs/>
          <w:szCs w:val="22"/>
          <w:lang w:eastAsia="en-JM"/>
        </w:rPr>
        <w:t>BIMSTEC MoU for Establishment of BIMSTEC Grid Interconnection</w:t>
      </w:r>
    </w:p>
    <w:p w14:paraId="2E30A3AD" w14:textId="218DB9E8" w:rsidR="00357882" w:rsidRDefault="00677D85" w:rsidP="00677D85">
      <w:pPr>
        <w:spacing w:before="120" w:line="259" w:lineRule="auto"/>
        <w:rPr>
          <w:lang w:val="en-GB"/>
        </w:rPr>
      </w:pPr>
      <w:r w:rsidRPr="00DD42FD">
        <w:rPr>
          <w:lang w:val="en-GB"/>
        </w:rPr>
        <w:t>The Bay of Bengal Initiative for Multi-Sectoral Technical and Economic Cooperation</w:t>
      </w:r>
      <w:r>
        <w:rPr>
          <w:lang w:val="en-GB"/>
        </w:rPr>
        <w:t xml:space="preserve"> (BIMSTEC)</w:t>
      </w:r>
      <w:r w:rsidRPr="00DD42FD">
        <w:rPr>
          <w:lang w:val="en-GB"/>
        </w:rPr>
        <w:t xml:space="preserve"> came into being on 6 June 1997 through the Bangkok Declaration.</w:t>
      </w:r>
      <w:r>
        <w:rPr>
          <w:rStyle w:val="FootnoteReference"/>
          <w:lang w:val="en-GB"/>
        </w:rPr>
        <w:footnoteReference w:id="18"/>
      </w:r>
      <w:r w:rsidRPr="00DD42FD">
        <w:rPr>
          <w:lang w:val="en-GB"/>
        </w:rPr>
        <w:t xml:space="preserve"> </w:t>
      </w:r>
      <w:r>
        <w:rPr>
          <w:lang w:val="en-GB"/>
        </w:rPr>
        <w:t xml:space="preserve"> The</w:t>
      </w:r>
      <w:r w:rsidRPr="00DD42FD">
        <w:rPr>
          <w:lang w:val="en-GB"/>
        </w:rPr>
        <w:t xml:space="preserve"> BIMSTEC Energy Centre (BEC) was established on 22 January 2011.</w:t>
      </w:r>
      <w:r>
        <w:rPr>
          <w:lang w:val="en-GB"/>
        </w:rPr>
        <w:t xml:space="preserve"> </w:t>
      </w:r>
      <w:r w:rsidRPr="00B85720">
        <w:rPr>
          <w:lang w:val="en-GB"/>
        </w:rPr>
        <w:t>A Memorandum of Understanding (MoU) for the Establishment of the BIMSTEC Grid Interconnection was signed during the Fourth BIMSTEC Summit in Kathmandu, Nepal, on 31 August 2018, and came into effect on 7 April 2019. The MoU provides a framework for member countries to collaborate on implementing grid interconnections, facilitating electricity trade, and promoting efficient and optimal power transmission across the BIMSTEC region.</w:t>
      </w:r>
    </w:p>
    <w:p w14:paraId="2FE898CB" w14:textId="1E12911E" w:rsidR="00862E4C" w:rsidRDefault="00862E4C" w:rsidP="00FE61BC">
      <w:pPr>
        <w:pStyle w:val="Heading2"/>
      </w:pPr>
      <w:bookmarkStart w:id="69" w:name="_Toc185235894"/>
      <w:r>
        <w:t xml:space="preserve">Type of </w:t>
      </w:r>
      <w:r w:rsidR="00B14D56">
        <w:t xml:space="preserve">Multilateral </w:t>
      </w:r>
      <w:r>
        <w:t>Trading Models</w:t>
      </w:r>
      <w:bookmarkEnd w:id="69"/>
    </w:p>
    <w:p w14:paraId="09736E48" w14:textId="6512037D" w:rsidR="00862E4C" w:rsidRDefault="004F634A" w:rsidP="00170491">
      <w:pPr>
        <w:spacing w:before="120" w:line="259" w:lineRule="auto"/>
        <w:rPr>
          <w:rFonts w:cs="Arial"/>
          <w:szCs w:val="22"/>
          <w:lang w:eastAsia="en-JM"/>
        </w:rPr>
      </w:pPr>
      <w:r w:rsidRPr="004F634A">
        <w:rPr>
          <w:rFonts w:cs="Arial"/>
          <w:szCs w:val="22"/>
          <w:lang w:eastAsia="en-JM"/>
        </w:rPr>
        <w:t xml:space="preserve">Power trading models vary in complexity and structure, depending on the level of integration and the scope of cooperation between participating countries. In the BBINS region, power trade has primarily been limited to bilateral arrangements. These bilateral trades have served as a good starting point for regional cooperation. However, as the share of variable renewable energy (RE) in the </w:t>
      </w:r>
      <w:r w:rsidR="007A69A0">
        <w:rPr>
          <w:rFonts w:cs="Arial"/>
          <w:szCs w:val="22"/>
          <w:lang w:eastAsia="en-JM"/>
        </w:rPr>
        <w:t>BBINS</w:t>
      </w:r>
      <w:r w:rsidRPr="004F634A">
        <w:rPr>
          <w:rFonts w:cs="Arial"/>
          <w:szCs w:val="22"/>
          <w:lang w:eastAsia="en-JM"/>
        </w:rPr>
        <w:t xml:space="preserve"> region increases, </w:t>
      </w:r>
      <w:r w:rsidR="007A69A0">
        <w:rPr>
          <w:rFonts w:cs="Arial"/>
          <w:szCs w:val="22"/>
          <w:lang w:eastAsia="en-JM"/>
        </w:rPr>
        <w:t xml:space="preserve">along with increasing demand and complementary demand and load profiles, </w:t>
      </w:r>
      <w:r w:rsidRPr="004F634A">
        <w:rPr>
          <w:rFonts w:cs="Arial"/>
          <w:szCs w:val="22"/>
          <w:lang w:eastAsia="en-JM"/>
        </w:rPr>
        <w:t>more advanced and structured market setups with shorter time frames may be required. Power trade can range from basic bilateral, unidirectional exchanges to more integrated multilateral trading models, which facilitate trading among multiple jurisdictions. The most advanced models involve unified regional markets, where participants from various states or countries operate within a shared market framework. Currently, the BBINS region primarily operates on bilateral power trading, but there is potential for evolving toward more sophisticated models that enhance efficiency and flexibility in the future.</w:t>
      </w:r>
    </w:p>
    <w:p w14:paraId="43B232E3" w14:textId="152B20C6" w:rsidR="00862E4C" w:rsidRPr="0019192F" w:rsidRDefault="00862E4C" w:rsidP="00862E4C">
      <w:pPr>
        <w:pStyle w:val="Heading3"/>
      </w:pPr>
      <w:r>
        <w:t>Harmonized bi-lateral</w:t>
      </w:r>
    </w:p>
    <w:p w14:paraId="2656F62C" w14:textId="4C6C406A" w:rsidR="00862E4C" w:rsidRDefault="00A14BAD" w:rsidP="00862E4C">
      <w:pPr>
        <w:spacing w:before="120" w:line="259" w:lineRule="auto"/>
        <w:rPr>
          <w:rFonts w:cs="Arial"/>
          <w:szCs w:val="22"/>
          <w:lang w:eastAsia="en-JM"/>
        </w:rPr>
      </w:pPr>
      <w:r w:rsidRPr="00A14BAD">
        <w:rPr>
          <w:rFonts w:cs="Arial"/>
          <w:szCs w:val="22"/>
          <w:lang w:eastAsia="en-JM"/>
        </w:rPr>
        <w:t xml:space="preserve">A harmonized bilateral power trading model is an approach where neighboring countries or entities engage in cross-border electricity trading through bilateral agreements, while aligning their regulatory frameworks, operational procedures, and grid management practices to ensure smooth and efficient transactions. In this model, a common framework is developed for </w:t>
      </w:r>
      <w:proofErr w:type="gramStart"/>
      <w:r w:rsidRPr="00A14BAD">
        <w:rPr>
          <w:rFonts w:cs="Arial"/>
          <w:szCs w:val="22"/>
          <w:lang w:eastAsia="en-JM"/>
        </w:rPr>
        <w:t>entering into</w:t>
      </w:r>
      <w:proofErr w:type="gramEnd"/>
      <w:r w:rsidRPr="00A14BAD">
        <w:rPr>
          <w:rFonts w:cs="Arial"/>
          <w:szCs w:val="22"/>
          <w:lang w:eastAsia="en-JM"/>
        </w:rPr>
        <w:t xml:space="preserve"> and managing cross-border bilateral contracts. This framework builds upon existing bilateral arrangements, improving the efficiency of the process and enabling any two interconnected countries to trade with each other, regardless of whether they share a border. The model involves the development of cross-border transmission infrastructure and the coordination of grid operations to ensure stability and reliability of power flows. By providing consistent rules and transparent pricing, the harmonized bilateral model helps optimize power trade while maintaining each country's sovereignty, making it an ideal solution for regions like BBINS, where regional energy cooperation is evolving.</w:t>
      </w:r>
    </w:p>
    <w:p w14:paraId="303BB45D" w14:textId="1365CC6B" w:rsidR="003E4A8F" w:rsidRDefault="003E4A8F" w:rsidP="00862E4C">
      <w:pPr>
        <w:spacing w:before="120" w:line="259" w:lineRule="auto"/>
        <w:rPr>
          <w:rFonts w:cs="Arial"/>
          <w:szCs w:val="22"/>
          <w:lang w:eastAsia="en-JM"/>
        </w:rPr>
      </w:pPr>
      <w:r w:rsidRPr="003E4A8F">
        <w:rPr>
          <w:rFonts w:cs="Arial"/>
          <w:szCs w:val="22"/>
          <w:lang w:eastAsia="en-JM"/>
        </w:rPr>
        <w:t>To implement the harmonized bilateral model, three key elements are introduced</w:t>
      </w:r>
      <w:r w:rsidR="00230F37">
        <w:rPr>
          <w:rStyle w:val="FootnoteReference"/>
          <w:szCs w:val="22"/>
          <w:lang w:eastAsia="en-JM"/>
        </w:rPr>
        <w:footnoteReference w:id="19"/>
      </w:r>
      <w:r w:rsidRPr="003E4A8F">
        <w:rPr>
          <w:rFonts w:cs="Arial"/>
          <w:szCs w:val="22"/>
          <w:lang w:eastAsia="en-JM"/>
        </w:rPr>
        <w:t xml:space="preserve">. </w:t>
      </w:r>
    </w:p>
    <w:p w14:paraId="0DCED424" w14:textId="76A2C8A7" w:rsidR="00B33439" w:rsidRPr="00B33439" w:rsidRDefault="00B33439" w:rsidP="00B33439">
      <w:pPr>
        <w:pStyle w:val="Caption"/>
        <w:keepNext/>
        <w:rPr>
          <w:color w:val="auto"/>
        </w:rPr>
      </w:pPr>
      <w:bookmarkStart w:id="70" w:name="_Toc185235913"/>
      <w:r w:rsidRPr="00B33439">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11</w:t>
      </w:r>
      <w:r w:rsidR="0017404E">
        <w:rPr>
          <w:color w:val="auto"/>
        </w:rPr>
        <w:fldChar w:fldCharType="end"/>
      </w:r>
      <w:r w:rsidRPr="00B33439">
        <w:rPr>
          <w:color w:val="auto"/>
        </w:rPr>
        <w:t>: Key elements of Harmonized bilateral model</w:t>
      </w:r>
      <w:bookmarkEnd w:id="70"/>
    </w:p>
    <w:p w14:paraId="0226413A" w14:textId="390939A9" w:rsidR="00EE14CA" w:rsidRDefault="00EE14CA" w:rsidP="00862E4C">
      <w:pPr>
        <w:spacing w:before="120" w:line="259" w:lineRule="auto"/>
        <w:rPr>
          <w:rFonts w:cs="Arial"/>
          <w:szCs w:val="22"/>
          <w:lang w:eastAsia="en-JM"/>
        </w:rPr>
      </w:pPr>
      <w:r>
        <w:rPr>
          <w:rFonts w:cs="Arial"/>
          <w:noProof/>
          <w:szCs w:val="22"/>
          <w:lang w:eastAsia="en-JM"/>
        </w:rPr>
        <w:drawing>
          <wp:inline distT="0" distB="0" distL="0" distR="0" wp14:anchorId="31F5DB57" wp14:editId="6046EDF2">
            <wp:extent cx="5486400" cy="1942156"/>
            <wp:effectExtent l="19050" t="0" r="57150" b="20320"/>
            <wp:docPr id="404610806"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491FBC1" w14:textId="204CDACF" w:rsidR="00BF26C5" w:rsidRPr="005D767F" w:rsidRDefault="00BF26C5" w:rsidP="005D767F">
      <w:pPr>
        <w:spacing w:line="259" w:lineRule="auto"/>
        <w:rPr>
          <w:rFonts w:cs="Arial"/>
          <w:lang w:eastAsia="en-JM"/>
        </w:rPr>
      </w:pPr>
    </w:p>
    <w:p w14:paraId="54A8B459" w14:textId="611C3570" w:rsidR="003E4A8F" w:rsidRDefault="003E4A8F" w:rsidP="00862E4C">
      <w:pPr>
        <w:spacing w:before="120" w:line="259" w:lineRule="auto"/>
        <w:rPr>
          <w:rFonts w:cs="Arial"/>
          <w:szCs w:val="22"/>
          <w:lang w:eastAsia="en-JM"/>
        </w:rPr>
      </w:pPr>
      <w:r w:rsidRPr="003E4A8F">
        <w:rPr>
          <w:rFonts w:cs="Arial"/>
          <w:szCs w:val="22"/>
          <w:lang w:eastAsia="en-JM"/>
        </w:rPr>
        <w:t xml:space="preserve">While harmonized bilateral trading is not equivalent to full multilateral trading, the inclusion of these elements allows for more flexible and diverse bilateral </w:t>
      </w:r>
      <w:r w:rsidR="001C514D" w:rsidRPr="003E4A8F">
        <w:rPr>
          <w:rFonts w:cs="Arial"/>
          <w:szCs w:val="22"/>
          <w:lang w:eastAsia="en-JM"/>
        </w:rPr>
        <w:t>arrangements and</w:t>
      </w:r>
      <w:r w:rsidRPr="003E4A8F">
        <w:rPr>
          <w:rFonts w:cs="Arial"/>
          <w:szCs w:val="22"/>
          <w:lang w:eastAsia="en-JM"/>
        </w:rPr>
        <w:t xml:space="preserve"> lays the foundation for future multilateral trading frameworks.</w:t>
      </w:r>
    </w:p>
    <w:p w14:paraId="53CA24AB" w14:textId="5422EF39" w:rsidR="00862E4C" w:rsidRPr="0019192F" w:rsidRDefault="00862E4C" w:rsidP="00862E4C">
      <w:pPr>
        <w:pStyle w:val="Heading3"/>
      </w:pPr>
      <w:r>
        <w:t>Secondary Trading</w:t>
      </w:r>
    </w:p>
    <w:p w14:paraId="42ED76F4" w14:textId="787C1D9C" w:rsidR="00296144" w:rsidRPr="00296144" w:rsidRDefault="00296144" w:rsidP="00296144">
      <w:pPr>
        <w:spacing w:before="120" w:line="259" w:lineRule="auto"/>
        <w:rPr>
          <w:rFonts w:cs="Arial"/>
          <w:szCs w:val="22"/>
          <w:lang w:eastAsia="en-JM"/>
        </w:rPr>
      </w:pPr>
      <w:r w:rsidRPr="00296144">
        <w:rPr>
          <w:rFonts w:cs="Arial"/>
          <w:szCs w:val="22"/>
          <w:lang w:eastAsia="en-JM"/>
        </w:rPr>
        <w:t>A secondary trading model serves as a regional power market that market participants can access alongside their domestic systems or markets. In this model, only surplus generation or supply gaps would be traded, with domestic markets clearing first. The secondary market would only be utilized when it offers additional value to the participants. This framework would facilitate comprehensive, multilateral, and multidirectional power trading, while remaining fully compatible with harmonized bilateral trading systems.</w:t>
      </w:r>
    </w:p>
    <w:p w14:paraId="3AF66A7B" w14:textId="7C0B8E62" w:rsidR="00296144" w:rsidRPr="00296144" w:rsidRDefault="00296144" w:rsidP="00296144">
      <w:pPr>
        <w:spacing w:before="120" w:line="259" w:lineRule="auto"/>
        <w:rPr>
          <w:rFonts w:cs="Arial"/>
          <w:szCs w:val="22"/>
          <w:lang w:eastAsia="en-JM"/>
        </w:rPr>
      </w:pPr>
      <w:r w:rsidRPr="00296144">
        <w:rPr>
          <w:rFonts w:cs="Arial"/>
          <w:szCs w:val="22"/>
          <w:lang w:eastAsia="en-JM"/>
        </w:rPr>
        <w:t>To establish this model, several new components must be introduced, some of which build upon the harmonized bilateral model, while others are unique to the secondary approach. For instance, the wheeling model from the harmonized bilateral framework would also be applicable here.</w:t>
      </w:r>
    </w:p>
    <w:p w14:paraId="68E91CD7" w14:textId="6F1421E5" w:rsidR="00296144" w:rsidRPr="00296144" w:rsidRDefault="00296144" w:rsidP="00296144">
      <w:pPr>
        <w:spacing w:before="120" w:line="259" w:lineRule="auto"/>
        <w:rPr>
          <w:rFonts w:cs="Arial"/>
          <w:szCs w:val="22"/>
          <w:lang w:eastAsia="en-JM"/>
        </w:rPr>
      </w:pPr>
      <w:r w:rsidRPr="00296144">
        <w:rPr>
          <w:rFonts w:cs="Arial"/>
          <w:szCs w:val="22"/>
          <w:lang w:eastAsia="en-JM"/>
        </w:rPr>
        <w:t>A key feature of the secondary model is the introduction of a regional market operator. This operator would gather data on excess supply and demand, match potential trades, and share relevant information with market participants. It could also assist in calculating wheeling charges. The same institution serving as the regional coordinator in the harmonized bilateral model may take on the role of the market operator.</w:t>
      </w:r>
    </w:p>
    <w:p w14:paraId="52044E5A" w14:textId="77777777" w:rsidR="00296144" w:rsidRPr="00296144" w:rsidRDefault="00296144" w:rsidP="00296144">
      <w:pPr>
        <w:spacing w:before="120" w:line="259" w:lineRule="auto"/>
        <w:rPr>
          <w:rFonts w:cs="Arial"/>
          <w:szCs w:val="22"/>
          <w:lang w:eastAsia="en-JM"/>
        </w:rPr>
      </w:pPr>
    </w:p>
    <w:p w14:paraId="0CED86FF" w14:textId="0A3EC244" w:rsidR="00862E4C" w:rsidRDefault="00296144" w:rsidP="00296144">
      <w:pPr>
        <w:spacing w:before="120" w:line="259" w:lineRule="auto"/>
        <w:rPr>
          <w:rFonts w:cs="Arial"/>
          <w:szCs w:val="22"/>
          <w:lang w:eastAsia="en-JM"/>
        </w:rPr>
      </w:pPr>
      <w:r w:rsidRPr="00296144">
        <w:rPr>
          <w:rFonts w:cs="Arial"/>
          <w:szCs w:val="22"/>
          <w:lang w:eastAsia="en-JM"/>
        </w:rPr>
        <w:t>Given the added complexity of trading in a secondary model, a central clearing party (CCP) would be necessary to manage the financial transactions for cleared trades. The market operator could assume the CCP function, or a separate entity might be established for this purpose.</w:t>
      </w:r>
    </w:p>
    <w:p w14:paraId="08DAB1B3" w14:textId="77777777" w:rsidR="001C514D" w:rsidRDefault="001C514D" w:rsidP="00296144">
      <w:pPr>
        <w:spacing w:before="120" w:line="259" w:lineRule="auto"/>
        <w:rPr>
          <w:rFonts w:cs="Arial"/>
          <w:szCs w:val="22"/>
          <w:lang w:eastAsia="en-JM"/>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1C514D" w14:paraId="1A1E000A" w14:textId="77777777" w:rsidTr="001C514D">
        <w:tc>
          <w:tcPr>
            <w:tcW w:w="9350" w:type="dxa"/>
            <w:shd w:val="clear" w:color="auto" w:fill="F2F2F2" w:themeFill="background1" w:themeFillShade="F2"/>
          </w:tcPr>
          <w:p w14:paraId="40A27D4B" w14:textId="2FF0D4B9" w:rsidR="001C514D" w:rsidRPr="007B5F89" w:rsidRDefault="001C514D" w:rsidP="007B5F89">
            <w:pPr>
              <w:spacing w:before="120" w:line="259" w:lineRule="auto"/>
              <w:jc w:val="center"/>
              <w:rPr>
                <w:rFonts w:cs="Arial"/>
                <w:b/>
                <w:bCs/>
                <w:szCs w:val="22"/>
                <w:lang w:eastAsia="en-JM"/>
              </w:rPr>
            </w:pPr>
            <w:r w:rsidRPr="007B5F89">
              <w:rPr>
                <w:rFonts w:cs="Arial"/>
                <w:b/>
                <w:bCs/>
                <w:szCs w:val="22"/>
                <w:lang w:eastAsia="en-JM"/>
              </w:rPr>
              <w:t>Case Study of Secondary Trading</w:t>
            </w:r>
            <w:r w:rsidR="004C5D71">
              <w:rPr>
                <w:rStyle w:val="FootnoteReference"/>
                <w:b/>
                <w:bCs/>
                <w:szCs w:val="22"/>
                <w:lang w:eastAsia="en-JM"/>
              </w:rPr>
              <w:footnoteReference w:id="20"/>
            </w:r>
          </w:p>
          <w:p w14:paraId="23233E69" w14:textId="76BC1B65" w:rsidR="001C514D" w:rsidRDefault="00E67EF3" w:rsidP="007B5F89">
            <w:pPr>
              <w:spacing w:before="120" w:line="259" w:lineRule="auto"/>
              <w:rPr>
                <w:rFonts w:cs="Arial"/>
                <w:szCs w:val="22"/>
                <w:lang w:eastAsia="en-JM"/>
              </w:rPr>
            </w:pPr>
            <w:r w:rsidRPr="00E67EF3">
              <w:rPr>
                <w:rFonts w:cs="Arial"/>
                <w:b/>
                <w:bCs/>
                <w:szCs w:val="22"/>
                <w:lang w:eastAsia="en-JM"/>
              </w:rPr>
              <w:t>South African Power Pool (</w:t>
            </w:r>
            <w:r w:rsidR="00E41852" w:rsidRPr="00E67EF3">
              <w:rPr>
                <w:rFonts w:cs="Arial"/>
                <w:b/>
                <w:bCs/>
                <w:szCs w:val="22"/>
                <w:lang w:eastAsia="en-JM"/>
              </w:rPr>
              <w:t>SAPP</w:t>
            </w:r>
            <w:r w:rsidRPr="00E67EF3">
              <w:rPr>
                <w:rFonts w:cs="Arial"/>
                <w:b/>
                <w:bCs/>
                <w:szCs w:val="22"/>
                <w:lang w:eastAsia="en-JM"/>
              </w:rPr>
              <w:t>)</w:t>
            </w:r>
            <w:r w:rsidR="00E41852" w:rsidRPr="00E41852">
              <w:rPr>
                <w:rFonts w:cs="Arial"/>
                <w:szCs w:val="22"/>
                <w:lang w:eastAsia="en-JM"/>
              </w:rPr>
              <w:t xml:space="preserve"> was created on 28 August 1995, with the primary aim of providing reliable and economical electricity supply to consumers in each of the SAPP member countries, consistent with reasonable utilization of natural resources and </w:t>
            </w:r>
            <w:r w:rsidR="007B5F89" w:rsidRPr="00E41852">
              <w:rPr>
                <w:rFonts w:cs="Arial"/>
                <w:szCs w:val="22"/>
                <w:lang w:eastAsia="en-JM"/>
              </w:rPr>
              <w:t>minimized</w:t>
            </w:r>
            <w:r w:rsidR="00E41852" w:rsidRPr="00E41852">
              <w:rPr>
                <w:rFonts w:cs="Arial"/>
                <w:szCs w:val="22"/>
                <w:lang w:eastAsia="en-JM"/>
              </w:rPr>
              <w:t xml:space="preserve"> negative impact on the environment. SAPP consists of 12 countries </w:t>
            </w:r>
            <w:r w:rsidR="007B5F89" w:rsidRPr="00E41852">
              <w:rPr>
                <w:rFonts w:cs="Arial"/>
                <w:szCs w:val="22"/>
                <w:lang w:eastAsia="en-JM"/>
              </w:rPr>
              <w:t>totaling</w:t>
            </w:r>
            <w:r w:rsidR="00E41852" w:rsidRPr="00E41852">
              <w:rPr>
                <w:rFonts w:cs="Arial"/>
                <w:szCs w:val="22"/>
                <w:lang w:eastAsia="en-JM"/>
              </w:rPr>
              <w:t xml:space="preserve"> a population of approximately 300 million people. As of 2021, SAPP had 17 members active in cross-border power trade</w:t>
            </w:r>
            <w:r w:rsidR="004565D0">
              <w:rPr>
                <w:rFonts w:cs="Arial"/>
                <w:szCs w:val="22"/>
                <w:lang w:eastAsia="en-JM"/>
              </w:rPr>
              <w:t xml:space="preserve">. </w:t>
            </w:r>
            <w:r w:rsidR="0015718C" w:rsidRPr="0015718C">
              <w:rPr>
                <w:rFonts w:cs="Arial"/>
                <w:szCs w:val="22"/>
                <w:lang w:eastAsia="en-JM"/>
              </w:rPr>
              <w:t>The main products traded in the SAPP competitive electricity market include the Day-Ahead Market (DAM), Intra-Day Market (IDM), Forward Physical Market – Weekly (FPM-W), and Forward Physical Market – Monthly (FPM-M). The total volume traded across these markets amounted to approximately 1.5 TWh.</w:t>
            </w:r>
            <w:r w:rsidR="000F2C08">
              <w:rPr>
                <w:rFonts w:cs="Arial"/>
                <w:szCs w:val="22"/>
                <w:lang w:eastAsia="en-JM"/>
              </w:rPr>
              <w:t xml:space="preserve"> </w:t>
            </w:r>
            <w:r w:rsidR="000F2C08" w:rsidRPr="000F2C08">
              <w:rPr>
                <w:rFonts w:cs="Arial"/>
                <w:szCs w:val="22"/>
                <w:lang w:eastAsia="en-JM"/>
              </w:rPr>
              <w:t>A key takeaway from the development of SAPP is that national markets have not been fully deregulated. In each participating country, the incumbent power companies operate as single buyers and sellers of electricity. Despite this, a market model has successfully been developed to optimize the regional use of power resources. In some countries, Independent Power Producers (IPPs) are permitted to participate directly in the SAPP. Under the SAPP market framework, only excess generation is traded, meaning member states prioritize covering their domestic demand before offering surplus generation to the regional market. Additionally, power can be traded on an emergency basis to address unforeseen shortages.</w:t>
            </w:r>
          </w:p>
        </w:tc>
      </w:tr>
    </w:tbl>
    <w:p w14:paraId="2C6B12E2" w14:textId="77777777" w:rsidR="00862E4C" w:rsidRDefault="00862E4C" w:rsidP="00862E4C">
      <w:pPr>
        <w:spacing w:before="120" w:line="259" w:lineRule="auto"/>
        <w:rPr>
          <w:rFonts w:cs="Arial"/>
          <w:szCs w:val="22"/>
          <w:lang w:eastAsia="en-JM"/>
        </w:rPr>
      </w:pPr>
    </w:p>
    <w:p w14:paraId="34A9B88C" w14:textId="75C20D71" w:rsidR="00FE61BC" w:rsidRPr="0019192F" w:rsidRDefault="00FE61BC" w:rsidP="00FE61BC">
      <w:pPr>
        <w:pStyle w:val="Heading3"/>
      </w:pPr>
      <w:r>
        <w:t>Fully Integrated</w:t>
      </w:r>
      <w:r w:rsidR="00815057">
        <w:t xml:space="preserve"> </w:t>
      </w:r>
      <w:r w:rsidR="00C92E83">
        <w:t>T</w:t>
      </w:r>
      <w:r w:rsidR="00815057">
        <w:t xml:space="preserve">rading </w:t>
      </w:r>
      <w:r w:rsidR="00C92E83">
        <w:t>M</w:t>
      </w:r>
      <w:r w:rsidR="00815057">
        <w:t>odel</w:t>
      </w:r>
    </w:p>
    <w:p w14:paraId="4EBD9EA2" w14:textId="0262B826" w:rsidR="00B14D56" w:rsidRPr="00B14D56" w:rsidRDefault="00B14D56" w:rsidP="00B14D56">
      <w:pPr>
        <w:spacing w:before="120" w:line="259" w:lineRule="auto"/>
        <w:rPr>
          <w:rFonts w:cs="Arial"/>
          <w:szCs w:val="22"/>
          <w:lang w:eastAsia="en-JM"/>
        </w:rPr>
      </w:pPr>
      <w:r w:rsidRPr="00B14D56">
        <w:rPr>
          <w:rFonts w:cs="Arial"/>
          <w:szCs w:val="22"/>
          <w:lang w:eastAsia="en-JM"/>
        </w:rPr>
        <w:t>An integrated primary trading model focuses on regional, multilateral trading as the default option, but it is a long-term goal</w:t>
      </w:r>
      <w:r w:rsidR="0030299A">
        <w:rPr>
          <w:rFonts w:cs="Arial"/>
          <w:szCs w:val="22"/>
          <w:lang w:eastAsia="en-JM"/>
        </w:rPr>
        <w:t xml:space="preserve">, which requires development of a </w:t>
      </w:r>
      <w:r w:rsidR="00967ABA">
        <w:rPr>
          <w:rFonts w:cs="Arial"/>
          <w:szCs w:val="22"/>
          <w:lang w:eastAsia="en-JM"/>
        </w:rPr>
        <w:t>secondary trading model as the primary step</w:t>
      </w:r>
      <w:r w:rsidRPr="00B14D56">
        <w:rPr>
          <w:rFonts w:cs="Arial"/>
          <w:szCs w:val="22"/>
          <w:lang w:eastAsia="en-JM"/>
        </w:rPr>
        <w:t xml:space="preserve">. This model </w:t>
      </w:r>
      <w:r w:rsidR="00967ABA">
        <w:rPr>
          <w:rFonts w:cs="Arial"/>
          <w:szCs w:val="22"/>
          <w:lang w:eastAsia="en-JM"/>
        </w:rPr>
        <w:t xml:space="preserve">also </w:t>
      </w:r>
      <w:r w:rsidRPr="00B14D56">
        <w:rPr>
          <w:rFonts w:cs="Arial"/>
          <w:szCs w:val="22"/>
          <w:lang w:eastAsia="en-JM"/>
        </w:rPr>
        <w:t>requires strong cooperation and alignment of technical, regulatory, and policy frameworks among participants.</w:t>
      </w:r>
    </w:p>
    <w:p w14:paraId="5B7B9C32" w14:textId="36876936" w:rsidR="00B14D56" w:rsidRPr="00B14D56" w:rsidRDefault="00B14D56" w:rsidP="00B14D56">
      <w:pPr>
        <w:spacing w:before="120" w:line="259" w:lineRule="auto"/>
        <w:rPr>
          <w:rFonts w:cs="Arial"/>
          <w:szCs w:val="22"/>
          <w:lang w:eastAsia="en-JM"/>
        </w:rPr>
      </w:pPr>
      <w:r w:rsidRPr="00B14D56">
        <w:rPr>
          <w:rFonts w:cs="Arial"/>
          <w:szCs w:val="22"/>
          <w:lang w:eastAsia="en-JM"/>
        </w:rPr>
        <w:t xml:space="preserve">In this model, more electricity </w:t>
      </w:r>
      <w:r w:rsidR="00967ABA">
        <w:rPr>
          <w:rFonts w:cs="Arial"/>
          <w:szCs w:val="22"/>
          <w:lang w:eastAsia="en-JM"/>
        </w:rPr>
        <w:t>can</w:t>
      </w:r>
      <w:r w:rsidRPr="00B14D56">
        <w:rPr>
          <w:rFonts w:cs="Arial"/>
          <w:szCs w:val="22"/>
          <w:lang w:eastAsia="en-JM"/>
        </w:rPr>
        <w:t xml:space="preserve"> be traded based on short-term market and system needs, with the Day-Ahead Market (DAM) being the key focus. This approach </w:t>
      </w:r>
      <w:r w:rsidR="00967ABA">
        <w:rPr>
          <w:rFonts w:cs="Arial"/>
          <w:szCs w:val="22"/>
          <w:lang w:eastAsia="en-JM"/>
        </w:rPr>
        <w:t>can</w:t>
      </w:r>
      <w:r w:rsidRPr="00B14D56">
        <w:rPr>
          <w:rFonts w:cs="Arial"/>
          <w:szCs w:val="22"/>
          <w:lang w:eastAsia="en-JM"/>
        </w:rPr>
        <w:t xml:space="preserve"> help better use generation resources and transmission infrastructure, particularly as renewable energy becomes a bigger part of the system. However, adopting an integrated primary model would require national market changes to encourage competition and efficient price signals. </w:t>
      </w:r>
      <w:proofErr w:type="gramStart"/>
      <w:r w:rsidRPr="00B14D56">
        <w:rPr>
          <w:rFonts w:cs="Arial"/>
          <w:szCs w:val="22"/>
          <w:lang w:eastAsia="en-JM"/>
        </w:rPr>
        <w:t>Opening up</w:t>
      </w:r>
      <w:proofErr w:type="gramEnd"/>
      <w:r w:rsidRPr="00B14D56">
        <w:rPr>
          <w:rFonts w:cs="Arial"/>
          <w:szCs w:val="22"/>
          <w:lang w:eastAsia="en-JM"/>
        </w:rPr>
        <w:t xml:space="preserve"> markets brings three key benefits: better use of resources, more efficient generation, and wholesale prices that reflect actual market conditions, leading to better consumption patterns.</w:t>
      </w:r>
    </w:p>
    <w:p w14:paraId="302400DB" w14:textId="537296D6" w:rsidR="00B14D56" w:rsidRDefault="00B14D56" w:rsidP="00B14D56">
      <w:pPr>
        <w:spacing w:before="120" w:line="259" w:lineRule="auto"/>
        <w:rPr>
          <w:rFonts w:cs="Arial"/>
          <w:szCs w:val="22"/>
          <w:lang w:eastAsia="en-JM"/>
        </w:rPr>
      </w:pPr>
      <w:r w:rsidRPr="00B14D56">
        <w:rPr>
          <w:rFonts w:cs="Arial"/>
          <w:szCs w:val="22"/>
          <w:lang w:eastAsia="en-JM"/>
        </w:rPr>
        <w:t>The integrated primary model would involve trading domestic resources through a regional market operator, optimizing production and consumption based on the region's needs. However, national operators would still be responsible for managing system operations and planning, ensuring that national control remains intact.</w:t>
      </w:r>
      <w:r w:rsidR="009C7660">
        <w:rPr>
          <w:rFonts w:cs="Arial"/>
          <w:szCs w:val="22"/>
          <w:lang w:eastAsia="en-JM"/>
        </w:rPr>
        <w:t xml:space="preserve"> Typical </w:t>
      </w:r>
      <w:r w:rsidR="004911C1">
        <w:rPr>
          <w:rFonts w:cs="Arial"/>
          <w:szCs w:val="22"/>
          <w:lang w:eastAsia="en-JM"/>
        </w:rPr>
        <w:t>trade flow example in this model is as follows:</w:t>
      </w:r>
    </w:p>
    <w:p w14:paraId="63FBEB89" w14:textId="1071889E" w:rsidR="001D0453" w:rsidRPr="001D0453" w:rsidRDefault="001D0453" w:rsidP="001D0453">
      <w:pPr>
        <w:pStyle w:val="Caption"/>
        <w:keepNext/>
        <w:rPr>
          <w:color w:val="auto"/>
        </w:rPr>
      </w:pPr>
      <w:bookmarkStart w:id="71" w:name="_Toc185235914"/>
      <w:r w:rsidRPr="001D0453">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12</w:t>
      </w:r>
      <w:r w:rsidR="0017404E">
        <w:rPr>
          <w:color w:val="auto"/>
        </w:rPr>
        <w:fldChar w:fldCharType="end"/>
      </w:r>
      <w:r w:rsidRPr="001D0453">
        <w:rPr>
          <w:color w:val="auto"/>
        </w:rPr>
        <w:t>: Trade flow in Integrated Power Trading Model</w:t>
      </w:r>
      <w:bookmarkEnd w:id="71"/>
    </w:p>
    <w:p w14:paraId="3067C422" w14:textId="57B7EDCE" w:rsidR="004911C1" w:rsidRPr="00B14D56" w:rsidRDefault="003115BB" w:rsidP="001D0453">
      <w:pPr>
        <w:spacing w:before="120" w:line="259" w:lineRule="auto"/>
        <w:jc w:val="center"/>
        <w:rPr>
          <w:rFonts w:cs="Arial"/>
          <w:szCs w:val="22"/>
          <w:lang w:eastAsia="en-JM"/>
        </w:rPr>
      </w:pPr>
      <w:r w:rsidRPr="003115BB">
        <w:rPr>
          <w:noProof/>
        </w:rPr>
        <w:drawing>
          <wp:inline distT="0" distB="0" distL="0" distR="0" wp14:anchorId="20880374" wp14:editId="6EEB4E55">
            <wp:extent cx="5706320" cy="3130550"/>
            <wp:effectExtent l="19050" t="19050" r="27940" b="12700"/>
            <wp:docPr id="552685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8443" cy="3142687"/>
                    </a:xfrm>
                    <a:prstGeom prst="rect">
                      <a:avLst/>
                    </a:prstGeom>
                    <a:noFill/>
                    <a:ln>
                      <a:solidFill>
                        <a:schemeClr val="bg1">
                          <a:lumMod val="85000"/>
                        </a:schemeClr>
                      </a:solidFill>
                    </a:ln>
                  </pic:spPr>
                </pic:pic>
              </a:graphicData>
            </a:graphic>
          </wp:inline>
        </w:drawing>
      </w:r>
    </w:p>
    <w:p w14:paraId="431EFE33" w14:textId="5ABA3D62" w:rsidR="00862E4C" w:rsidRDefault="00201F86" w:rsidP="00FE61BC">
      <w:pPr>
        <w:spacing w:before="120" w:line="259" w:lineRule="auto"/>
        <w:rPr>
          <w:rFonts w:cs="Arial"/>
          <w:szCs w:val="22"/>
          <w:lang w:eastAsia="en-JM"/>
        </w:rPr>
      </w:pPr>
      <w:r w:rsidRPr="00331513">
        <w:rPr>
          <w:rFonts w:cs="Arial"/>
          <w:sz w:val="18"/>
          <w:szCs w:val="18"/>
          <w:lang w:eastAsia="en-JM"/>
        </w:rPr>
        <w:t>Source:</w:t>
      </w:r>
      <w:r w:rsidR="00331513" w:rsidRPr="00331513">
        <w:rPr>
          <w:rFonts w:cs="Arial"/>
          <w:sz w:val="18"/>
          <w:szCs w:val="18"/>
          <w:lang w:eastAsia="en-JM"/>
        </w:rPr>
        <w:t xml:space="preserve"> </w:t>
      </w:r>
      <w:r w:rsidR="00380F41" w:rsidRPr="00331513">
        <w:rPr>
          <w:rFonts w:cs="Arial"/>
          <w:sz w:val="18"/>
          <w:szCs w:val="18"/>
          <w:lang w:eastAsia="en-JM"/>
        </w:rPr>
        <w:t>IEA</w:t>
      </w:r>
      <w:r w:rsidR="00380F41">
        <w:rPr>
          <w:rStyle w:val="FootnoteReference"/>
          <w:szCs w:val="22"/>
          <w:lang w:eastAsia="en-JM"/>
        </w:rPr>
        <w:footnoteReference w:id="21"/>
      </w:r>
    </w:p>
    <w:p w14:paraId="5F0ADABB" w14:textId="78447EE6" w:rsidR="008612D8" w:rsidRDefault="002E2A3D" w:rsidP="00FE61BC">
      <w:pPr>
        <w:spacing w:before="120" w:line="259" w:lineRule="auto"/>
        <w:rPr>
          <w:rFonts w:cs="Arial"/>
          <w:szCs w:val="22"/>
          <w:lang w:eastAsia="en-JM"/>
        </w:rPr>
      </w:pPr>
      <w:r w:rsidRPr="002E2A3D">
        <w:rPr>
          <w:rFonts w:cs="Arial"/>
          <w:szCs w:val="22"/>
          <w:lang w:eastAsia="en-JM"/>
        </w:rPr>
        <w:t>The primary trading model is a fully integrated market that would stretch across multiple AMS. It will therefore require some new key enabling elements and functions. These are listed</w:t>
      </w:r>
      <w:r>
        <w:rPr>
          <w:rFonts w:cs="Arial"/>
          <w:szCs w:val="22"/>
          <w:lang w:eastAsia="en-JM"/>
        </w:rPr>
        <w:t xml:space="preserve"> as follows:</w:t>
      </w:r>
    </w:p>
    <w:p w14:paraId="467AE965" w14:textId="77777777" w:rsidR="002E2A3D" w:rsidRPr="002E2A3D" w:rsidRDefault="002E2A3D" w:rsidP="005E5987">
      <w:pPr>
        <w:pStyle w:val="ListParagraph"/>
        <w:numPr>
          <w:ilvl w:val="0"/>
          <w:numId w:val="21"/>
        </w:numPr>
        <w:spacing w:before="0" w:after="0" w:line="259" w:lineRule="auto"/>
        <w:rPr>
          <w:rFonts w:cs="Arial"/>
          <w:lang w:eastAsia="en-JM"/>
        </w:rPr>
      </w:pPr>
      <w:r w:rsidRPr="002E2A3D">
        <w:rPr>
          <w:rFonts w:cs="Arial"/>
          <w:lang w:eastAsia="en-JM"/>
        </w:rPr>
        <w:t>Comprehensive national market reforms, including design, organizational adjustments, regulatory frameworks, and legislative changes, to support integrated markets and institutions.</w:t>
      </w:r>
    </w:p>
    <w:p w14:paraId="74589F51" w14:textId="77777777" w:rsidR="002E2A3D" w:rsidRPr="002E2A3D" w:rsidRDefault="002E2A3D" w:rsidP="005E5987">
      <w:pPr>
        <w:pStyle w:val="ListParagraph"/>
        <w:numPr>
          <w:ilvl w:val="0"/>
          <w:numId w:val="21"/>
        </w:numPr>
        <w:spacing w:before="0" w:after="0" w:line="259" w:lineRule="auto"/>
        <w:rPr>
          <w:rFonts w:cs="Arial"/>
          <w:lang w:eastAsia="en-JM"/>
        </w:rPr>
      </w:pPr>
      <w:r w:rsidRPr="002E2A3D">
        <w:rPr>
          <w:rFonts w:cs="Arial"/>
          <w:lang w:eastAsia="en-JM"/>
        </w:rPr>
        <w:t>A capacity-building program aligned with domestic market transformations.</w:t>
      </w:r>
    </w:p>
    <w:p w14:paraId="06E4E3DC" w14:textId="77777777" w:rsidR="002E2A3D" w:rsidRPr="002E2A3D" w:rsidRDefault="002E2A3D" w:rsidP="005E5987">
      <w:pPr>
        <w:pStyle w:val="ListParagraph"/>
        <w:numPr>
          <w:ilvl w:val="0"/>
          <w:numId w:val="21"/>
        </w:numPr>
        <w:spacing w:before="0" w:after="0" w:line="259" w:lineRule="auto"/>
        <w:rPr>
          <w:rFonts w:cs="Arial"/>
          <w:lang w:eastAsia="en-JM"/>
        </w:rPr>
      </w:pPr>
      <w:r w:rsidRPr="002E2A3D">
        <w:rPr>
          <w:rFonts w:cs="Arial"/>
          <w:lang w:eastAsia="en-JM"/>
        </w:rPr>
        <w:t>Streamlining of national procurement processes and market operators, which will be centralized under the regional market operator.</w:t>
      </w:r>
    </w:p>
    <w:p w14:paraId="16062519" w14:textId="77777777" w:rsidR="002E2A3D" w:rsidRPr="002E2A3D" w:rsidRDefault="002E2A3D" w:rsidP="005E5987">
      <w:pPr>
        <w:pStyle w:val="ListParagraph"/>
        <w:numPr>
          <w:ilvl w:val="0"/>
          <w:numId w:val="21"/>
        </w:numPr>
        <w:spacing w:before="0" w:after="0" w:line="259" w:lineRule="auto"/>
        <w:rPr>
          <w:rFonts w:cs="Arial"/>
          <w:lang w:eastAsia="en-JM"/>
        </w:rPr>
      </w:pPr>
      <w:r w:rsidRPr="002E2A3D">
        <w:rPr>
          <w:rFonts w:cs="Arial"/>
          <w:lang w:eastAsia="en-JM"/>
        </w:rPr>
        <w:t>Incentive-driven measures to enhance liquidity and promote the development of organized pooled auction market segments.</w:t>
      </w:r>
    </w:p>
    <w:p w14:paraId="04C9F013" w14:textId="77777777" w:rsidR="002E2A3D" w:rsidRPr="002E2A3D" w:rsidRDefault="002E2A3D" w:rsidP="005E5987">
      <w:pPr>
        <w:pStyle w:val="ListParagraph"/>
        <w:numPr>
          <w:ilvl w:val="0"/>
          <w:numId w:val="21"/>
        </w:numPr>
        <w:spacing w:before="0" w:after="0" w:line="259" w:lineRule="auto"/>
        <w:rPr>
          <w:rFonts w:cs="Arial"/>
          <w:lang w:eastAsia="en-JM"/>
        </w:rPr>
      </w:pPr>
      <w:proofErr w:type="gramStart"/>
      <w:r w:rsidRPr="002E2A3D">
        <w:rPr>
          <w:rFonts w:cs="Arial"/>
          <w:lang w:eastAsia="en-JM"/>
        </w:rPr>
        <w:t>Option</w:t>
      </w:r>
      <w:proofErr w:type="gramEnd"/>
      <w:r w:rsidRPr="002E2A3D">
        <w:rPr>
          <w:rFonts w:cs="Arial"/>
          <w:lang w:eastAsia="en-JM"/>
        </w:rPr>
        <w:t xml:space="preserve"> to transition long-term physical contracts into financial contracts, positioning short-term markets (e.g., DAM/IDM) as the primary venue for physical trading.</w:t>
      </w:r>
    </w:p>
    <w:p w14:paraId="08BF4324" w14:textId="520BC106" w:rsidR="002E2A3D" w:rsidRPr="002E2A3D" w:rsidRDefault="002E2A3D" w:rsidP="005E5987">
      <w:pPr>
        <w:pStyle w:val="ListParagraph"/>
        <w:numPr>
          <w:ilvl w:val="0"/>
          <w:numId w:val="21"/>
        </w:numPr>
        <w:spacing w:before="0" w:after="0" w:line="259" w:lineRule="auto"/>
        <w:rPr>
          <w:rFonts w:cs="Arial"/>
          <w:lang w:eastAsia="en-JM"/>
        </w:rPr>
      </w:pPr>
      <w:r w:rsidRPr="002E2A3D">
        <w:rPr>
          <w:rFonts w:cs="Arial"/>
          <w:lang w:eastAsia="en-JM"/>
        </w:rPr>
        <w:t>Option to adopt a congestion rent model as an alternative to traditional wheeling charges.</w:t>
      </w:r>
    </w:p>
    <w:p w14:paraId="07954F85" w14:textId="77777777" w:rsidR="00812C56" w:rsidRDefault="00812C56" w:rsidP="00FE61BC">
      <w:pPr>
        <w:spacing w:before="120" w:line="259" w:lineRule="auto"/>
        <w:rPr>
          <w:rFonts w:cs="Arial"/>
          <w:szCs w:val="22"/>
          <w:lang w:eastAsia="en-JM"/>
        </w:rPr>
      </w:pPr>
    </w:p>
    <w:p w14:paraId="3E1359B9" w14:textId="4AF26B42" w:rsidR="0046683D" w:rsidRDefault="008C5FDE" w:rsidP="00FE61BC">
      <w:pPr>
        <w:spacing w:before="120" w:line="259" w:lineRule="auto"/>
        <w:rPr>
          <w:rFonts w:cs="Arial"/>
          <w:szCs w:val="22"/>
          <w:lang w:eastAsia="en-JM"/>
        </w:rPr>
      </w:pPr>
      <w:r>
        <w:rPr>
          <w:rFonts w:cs="Arial"/>
          <w:szCs w:val="22"/>
          <w:lang w:eastAsia="en-JM"/>
        </w:rPr>
        <w:t xml:space="preserve">Thus, </w:t>
      </w:r>
      <w:r w:rsidR="002C0ECA">
        <w:rPr>
          <w:rFonts w:cs="Arial"/>
          <w:szCs w:val="22"/>
          <w:lang w:eastAsia="en-JM"/>
        </w:rPr>
        <w:t xml:space="preserve">to </w:t>
      </w:r>
      <w:r w:rsidR="005072A2">
        <w:rPr>
          <w:rFonts w:cs="Arial"/>
          <w:szCs w:val="22"/>
          <w:lang w:eastAsia="en-JM"/>
        </w:rPr>
        <w:t xml:space="preserve">facilitate </w:t>
      </w:r>
      <w:r w:rsidR="002C0ECA">
        <w:rPr>
          <w:rFonts w:cs="Arial"/>
          <w:szCs w:val="22"/>
          <w:lang w:eastAsia="en-JM"/>
        </w:rPr>
        <w:t>transition from</w:t>
      </w:r>
      <w:r w:rsidR="005072A2">
        <w:rPr>
          <w:rFonts w:cs="Arial"/>
          <w:szCs w:val="22"/>
          <w:lang w:eastAsia="en-JM"/>
        </w:rPr>
        <w:t xml:space="preserve"> a </w:t>
      </w:r>
      <w:r w:rsidR="00524269">
        <w:rPr>
          <w:rFonts w:cs="Arial"/>
          <w:szCs w:val="22"/>
          <w:lang w:eastAsia="en-JM"/>
        </w:rPr>
        <w:t>simple bilateral</w:t>
      </w:r>
      <w:r w:rsidR="002C0ECA">
        <w:rPr>
          <w:rFonts w:cs="Arial"/>
          <w:szCs w:val="22"/>
          <w:lang w:eastAsia="en-JM"/>
        </w:rPr>
        <w:t xml:space="preserve"> power market to a robust multi-lateral regional </w:t>
      </w:r>
      <w:r w:rsidR="005072A2">
        <w:rPr>
          <w:rFonts w:cs="Arial"/>
          <w:szCs w:val="22"/>
          <w:lang w:eastAsia="en-JM"/>
        </w:rPr>
        <w:t>framework, same</w:t>
      </w:r>
      <w:r w:rsidR="002C0ECA">
        <w:rPr>
          <w:rFonts w:cs="Arial"/>
          <w:szCs w:val="22"/>
          <w:lang w:eastAsia="en-JM"/>
        </w:rPr>
        <w:t xml:space="preserve"> would require </w:t>
      </w:r>
      <w:r w:rsidR="000A199A">
        <w:rPr>
          <w:rFonts w:cs="Arial"/>
          <w:szCs w:val="22"/>
          <w:lang w:eastAsia="en-JM"/>
        </w:rPr>
        <w:t xml:space="preserve">developing </w:t>
      </w:r>
      <w:r w:rsidR="007F0E86">
        <w:rPr>
          <w:rFonts w:cs="Arial"/>
          <w:szCs w:val="22"/>
          <w:lang w:eastAsia="en-JM"/>
        </w:rPr>
        <w:t xml:space="preserve">some key institutional </w:t>
      </w:r>
      <w:r w:rsidR="000A199A">
        <w:rPr>
          <w:rFonts w:cs="Arial"/>
          <w:szCs w:val="22"/>
          <w:lang w:eastAsia="en-JM"/>
        </w:rPr>
        <w:t>mechanisms</w:t>
      </w:r>
      <w:r w:rsidR="00105750">
        <w:rPr>
          <w:rFonts w:cs="Arial"/>
          <w:szCs w:val="22"/>
          <w:lang w:eastAsia="en-JM"/>
        </w:rPr>
        <w:t>/ arrangements</w:t>
      </w:r>
      <w:r w:rsidR="003C1597">
        <w:rPr>
          <w:rFonts w:cs="Arial"/>
          <w:szCs w:val="22"/>
          <w:lang w:eastAsia="en-JM"/>
        </w:rPr>
        <w:t xml:space="preserve"> which in turn would facilitate fulfilment </w:t>
      </w:r>
      <w:r w:rsidR="00524269">
        <w:rPr>
          <w:rFonts w:cs="Arial"/>
          <w:szCs w:val="22"/>
          <w:lang w:eastAsia="en-JM"/>
        </w:rPr>
        <w:t>of essential</w:t>
      </w:r>
      <w:r w:rsidR="003C1597">
        <w:rPr>
          <w:rFonts w:cs="Arial"/>
          <w:szCs w:val="22"/>
          <w:lang w:eastAsia="en-JM"/>
        </w:rPr>
        <w:t xml:space="preserve"> </w:t>
      </w:r>
      <w:r w:rsidR="007F0E86">
        <w:rPr>
          <w:rFonts w:cs="Arial"/>
          <w:szCs w:val="22"/>
          <w:lang w:eastAsia="en-JM"/>
        </w:rPr>
        <w:t>political</w:t>
      </w:r>
      <w:r w:rsidR="003C1597">
        <w:rPr>
          <w:rFonts w:cs="Arial"/>
          <w:szCs w:val="22"/>
          <w:lang w:eastAsia="en-JM"/>
        </w:rPr>
        <w:t xml:space="preserve"> and </w:t>
      </w:r>
      <w:r w:rsidR="007F0E86">
        <w:rPr>
          <w:rFonts w:cs="Arial"/>
          <w:szCs w:val="22"/>
          <w:lang w:eastAsia="en-JM"/>
        </w:rPr>
        <w:t>technical</w:t>
      </w:r>
      <w:r w:rsidR="000A199A">
        <w:rPr>
          <w:rFonts w:cs="Arial"/>
          <w:szCs w:val="22"/>
          <w:lang w:eastAsia="en-JM"/>
        </w:rPr>
        <w:t xml:space="preserve"> requirements for setting up and </w:t>
      </w:r>
      <w:proofErr w:type="gramStart"/>
      <w:r w:rsidR="000A199A">
        <w:rPr>
          <w:rFonts w:cs="Arial"/>
          <w:szCs w:val="22"/>
          <w:lang w:eastAsia="en-JM"/>
        </w:rPr>
        <w:t>operating  a</w:t>
      </w:r>
      <w:proofErr w:type="gramEnd"/>
      <w:r w:rsidR="000A199A">
        <w:rPr>
          <w:rFonts w:cs="Arial"/>
          <w:szCs w:val="22"/>
          <w:lang w:eastAsia="en-JM"/>
        </w:rPr>
        <w:t xml:space="preserve"> regional power exchange</w:t>
      </w:r>
      <w:r w:rsidR="0024201D">
        <w:rPr>
          <w:rFonts w:cs="Arial"/>
          <w:szCs w:val="22"/>
          <w:lang w:eastAsia="en-JM"/>
        </w:rPr>
        <w:t xml:space="preserve"> successfully</w:t>
      </w:r>
      <w:r w:rsidR="000A199A">
        <w:rPr>
          <w:rFonts w:cs="Arial"/>
          <w:szCs w:val="22"/>
          <w:lang w:eastAsia="en-JM"/>
        </w:rPr>
        <w:t>.</w:t>
      </w:r>
      <w:r w:rsidR="007F0E86">
        <w:rPr>
          <w:rFonts w:cs="Arial"/>
          <w:szCs w:val="22"/>
          <w:lang w:eastAsia="en-JM"/>
        </w:rPr>
        <w:t xml:space="preserve"> </w:t>
      </w:r>
    </w:p>
    <w:p w14:paraId="69B4AFD3" w14:textId="77777777" w:rsidR="00862E4C" w:rsidRDefault="00862E4C" w:rsidP="00170491">
      <w:pPr>
        <w:spacing w:before="120" w:line="259" w:lineRule="auto"/>
        <w:rPr>
          <w:rFonts w:cs="Arial"/>
          <w:szCs w:val="22"/>
          <w:lang w:eastAsia="en-JM"/>
        </w:rPr>
      </w:pPr>
    </w:p>
    <w:p w14:paraId="520B05FB" w14:textId="77777777" w:rsidR="00862E4C" w:rsidRDefault="00862E4C" w:rsidP="00170491">
      <w:pPr>
        <w:spacing w:before="120" w:line="259" w:lineRule="auto"/>
        <w:rPr>
          <w:rFonts w:cs="Arial"/>
          <w:szCs w:val="22"/>
          <w:lang w:val="en-JM" w:eastAsia="en-JM"/>
        </w:rPr>
        <w:sectPr w:rsidR="00862E4C" w:rsidSect="00C93C1B">
          <w:footerReference w:type="default" r:id="rId44"/>
          <w:pgSz w:w="12240" w:h="15840" w:code="1"/>
          <w:pgMar w:top="1440" w:right="1440" w:bottom="900" w:left="1440" w:header="720" w:footer="720" w:gutter="0"/>
          <w:cols w:space="720"/>
          <w:noEndnote/>
          <w:docGrid w:linePitch="299"/>
        </w:sectPr>
      </w:pPr>
    </w:p>
    <w:bookmarkStart w:id="72" w:name="_Toc522203048"/>
    <w:bookmarkEnd w:id="68"/>
    <w:p w14:paraId="35986456" w14:textId="483B24D9" w:rsidR="00B01EE7" w:rsidRPr="000E4469" w:rsidRDefault="00B01EE7" w:rsidP="005E5987">
      <w:pPr>
        <w:pStyle w:val="Heading1"/>
        <w:numPr>
          <w:ilvl w:val="0"/>
          <w:numId w:val="14"/>
        </w:numPr>
        <w:ind w:left="0" w:firstLine="0"/>
      </w:pPr>
      <w:r w:rsidRPr="000E4469">
        <w:fldChar w:fldCharType="begin"/>
      </w:r>
      <w:r w:rsidRPr="000E4469">
        <w:instrText xml:space="preserve"> SET ChapterStart "1" </w:instrText>
      </w:r>
      <w:r w:rsidRPr="000E4469">
        <w:fldChar w:fldCharType="separate"/>
      </w:r>
      <w:r w:rsidRPr="000E4469">
        <w:t>1</w:t>
      </w:r>
      <w:r w:rsidRPr="000E4469">
        <w:fldChar w:fldCharType="end"/>
      </w:r>
      <w:bookmarkStart w:id="73" w:name="_Toc185235895"/>
      <w:r w:rsidR="00226468" w:rsidRPr="00226468">
        <w:t>Minimum requirements for regional power market integration</w:t>
      </w:r>
      <w:bookmarkEnd w:id="73"/>
    </w:p>
    <w:p w14:paraId="324DF7E8" w14:textId="00BC61F1" w:rsidR="00B01EE7" w:rsidRPr="000E4469" w:rsidRDefault="00646E8E" w:rsidP="00B01EE7">
      <w:pPr>
        <w:rPr>
          <w:rFonts w:cs="Arial"/>
          <w:szCs w:val="22"/>
        </w:rPr>
      </w:pPr>
      <w:bookmarkStart w:id="74" w:name="_Toc49699255"/>
      <w:bookmarkStart w:id="75" w:name="_Toc49768573"/>
      <w:bookmarkStart w:id="76" w:name="_Toc17035998"/>
      <w:bookmarkStart w:id="77" w:name="_Toc17093267"/>
      <w:bookmarkStart w:id="78" w:name="_Toc422129850"/>
      <w:bookmarkStart w:id="79" w:name="_Toc421621212"/>
      <w:bookmarkStart w:id="80" w:name="_Toc421621304"/>
      <w:bookmarkStart w:id="81" w:name="_Toc421621214"/>
      <w:bookmarkStart w:id="82" w:name="_Toc421621306"/>
      <w:bookmarkStart w:id="83" w:name="_Toc421621215"/>
      <w:bookmarkStart w:id="84" w:name="_Toc421621307"/>
      <w:bookmarkStart w:id="85" w:name="_Toc421621216"/>
      <w:bookmarkStart w:id="86" w:name="_Toc421621308"/>
      <w:bookmarkStart w:id="87" w:name="_Toc421621217"/>
      <w:bookmarkStart w:id="88" w:name="_Toc421621309"/>
      <w:bookmarkStart w:id="89" w:name="_Toc421621218"/>
      <w:bookmarkStart w:id="90" w:name="_Toc421621310"/>
      <w:bookmarkStart w:id="91" w:name="_Toc421621219"/>
      <w:bookmarkStart w:id="92" w:name="_Toc421621311"/>
      <w:bookmarkStart w:id="93" w:name="_Toc421621220"/>
      <w:bookmarkStart w:id="94" w:name="_Toc421621312"/>
      <w:bookmarkStart w:id="95" w:name="_Toc421621221"/>
      <w:bookmarkStart w:id="96" w:name="_Toc421621313"/>
      <w:bookmarkStart w:id="97" w:name="_Toc421621222"/>
      <w:bookmarkStart w:id="98" w:name="_Toc421621314"/>
      <w:bookmarkStart w:id="99" w:name="_Toc421621223"/>
      <w:bookmarkStart w:id="100" w:name="_Toc421621315"/>
      <w:bookmarkStart w:id="101" w:name="_Toc421621224"/>
      <w:bookmarkStart w:id="102" w:name="_Toc421621316"/>
      <w:bookmarkStart w:id="103" w:name="_Toc88058593"/>
      <w:bookmarkStart w:id="104" w:name="_Toc434214864"/>
      <w:bookmarkStart w:id="105" w:name="_Toc47018186"/>
      <w:bookmarkStart w:id="106" w:name="_Toc461453391"/>
      <w:bookmarkStart w:id="107" w:name="_Toc486256094"/>
      <w:bookmarkStart w:id="108" w:name="_Toc18582502"/>
      <w:bookmarkStart w:id="109" w:name="_Toc51588652"/>
      <w:bookmarkStart w:id="110" w:name="_Toc89429151"/>
      <w:bookmarkStart w:id="111" w:name="_Toc89778141"/>
      <w:bookmarkStart w:id="112" w:name="_Toc121403088"/>
      <w:bookmarkStart w:id="113" w:name="_Toc126831078"/>
      <w:bookmarkStart w:id="114" w:name="_Toc126831111"/>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Pr="00646E8E">
        <w:rPr>
          <w:rFonts w:cs="Arial"/>
          <w:szCs w:val="22"/>
        </w:rPr>
        <w:t>The successful integration of a regional power market involves meeting a range of minimum requirements across political, technical, and institutional dimensions. Political requirements include establishing cross-border agreements and commitments, while technical requirements focus on grid connectivity, operational protocols, and ensuring reliability in energy exchanges. However, the effective realization of these political and technical prerequisites can only be achieved through the development of robust institutional mechanisms. These institutions play a critical role in coordinating the efforts of various stakeholders, managing market operations, and ensuring compliance with agreed frameworks. Together, these requirements form a comprehensive foundation for a functioning regional power market, where institutional mechanisms act as the key enablers to bring political and technical objectives into action.</w:t>
      </w:r>
      <w:r w:rsidR="0046683D">
        <w:rPr>
          <w:rFonts w:cs="Arial"/>
          <w:szCs w:val="22"/>
        </w:rPr>
        <w:t xml:space="preserve"> The major requirements in this regard are accordingly discussed further in subsequent sections.</w:t>
      </w:r>
    </w:p>
    <w:p w14:paraId="742C4FC0" w14:textId="2AC992AB" w:rsidR="00B01EE7" w:rsidRPr="005B3142" w:rsidRDefault="00FE61BC" w:rsidP="00FE61BC">
      <w:pPr>
        <w:pStyle w:val="Heading2"/>
      </w:pPr>
      <w:bookmarkStart w:id="115" w:name="_Toc185235896"/>
      <w:bookmarkEnd w:id="104"/>
      <w:bookmarkEnd w:id="105"/>
      <w:r>
        <w:t>Political</w:t>
      </w:r>
      <w:bookmarkEnd w:id="115"/>
    </w:p>
    <w:p w14:paraId="212FEB83" w14:textId="0802E671" w:rsidR="004C2BDB" w:rsidRPr="004C2BDB" w:rsidRDefault="004C2BDB" w:rsidP="004C2BDB">
      <w:pPr>
        <w:rPr>
          <w:rFonts w:cs="Arial"/>
          <w:szCs w:val="22"/>
        </w:rPr>
      </w:pPr>
      <w:r w:rsidRPr="004C2BDB">
        <w:rPr>
          <w:rFonts w:cs="Arial"/>
          <w:szCs w:val="22"/>
        </w:rPr>
        <w:t xml:space="preserve">The establishment of a regional power exchange in the BBINS region necessitates addressing several political requirements to ensure effective and sustainable cross-border electricity trading. A critical prerequisite </w:t>
      </w:r>
      <w:r w:rsidR="00B9769F">
        <w:rPr>
          <w:rFonts w:cs="Arial"/>
          <w:szCs w:val="22"/>
        </w:rPr>
        <w:t>would be</w:t>
      </w:r>
      <w:r w:rsidRPr="004C2BDB">
        <w:rPr>
          <w:rFonts w:cs="Arial"/>
          <w:szCs w:val="22"/>
        </w:rPr>
        <w:t xml:space="preserve"> the development of intergovernmental agreements that establish a robust framework for cooperation among the participating countries. These agreements may include the establishment or designation of specific authorities and regional institutions responsible for overseeing and facilitating the power exchange. Such agreements serve to formalize commitments and delineate roles and responsibilities, providing a stable institutional foundation for integration.</w:t>
      </w:r>
    </w:p>
    <w:p w14:paraId="0953A1C7" w14:textId="77777777" w:rsidR="004C2BDB" w:rsidRPr="004C2BDB" w:rsidRDefault="004C2BDB" w:rsidP="004C2BDB">
      <w:pPr>
        <w:rPr>
          <w:rFonts w:cs="Arial"/>
          <w:szCs w:val="22"/>
        </w:rPr>
      </w:pPr>
      <w:r w:rsidRPr="004C2BDB">
        <w:rPr>
          <w:rFonts w:cs="Arial"/>
          <w:szCs w:val="22"/>
        </w:rPr>
        <w:t>Another essential requirement is achieving consensus on certain non-technical aspects, such as adopting a common working language. A shared linguistic framework will streamline communication and decision-making processes among diverse stakeholders from different jurisdictions, reducing potential misunderstandings and fostering greater collaboration.</w:t>
      </w:r>
    </w:p>
    <w:p w14:paraId="7AE0BA37" w14:textId="589DF61A" w:rsidR="004C2BDB" w:rsidRDefault="004C2BDB" w:rsidP="004C2BDB">
      <w:pPr>
        <w:rPr>
          <w:rFonts w:cs="Arial"/>
          <w:szCs w:val="22"/>
        </w:rPr>
      </w:pPr>
      <w:r w:rsidRPr="004C2BDB">
        <w:rPr>
          <w:rFonts w:cs="Arial"/>
          <w:szCs w:val="22"/>
        </w:rPr>
        <w:t xml:space="preserve">A key political factor is the alignment of priorities and commitments among the participating governments. Political support </w:t>
      </w:r>
      <w:r w:rsidR="00083E34">
        <w:rPr>
          <w:rFonts w:cs="Arial"/>
          <w:szCs w:val="22"/>
        </w:rPr>
        <w:t xml:space="preserve">would </w:t>
      </w:r>
      <w:r w:rsidRPr="004C2BDB">
        <w:rPr>
          <w:rFonts w:cs="Arial"/>
          <w:szCs w:val="22"/>
        </w:rPr>
        <w:t>ensure that regional integration initiatives are accorded adequate attention and resources within national agendas. Cross-border integration requires coordination beyond the technical and institutional domains, emphasizing the importance of sustained governmental engagement and endorsement. Historical examples of successful regional cooperation demonstrate that consistent political backing significantly enhances the likelihood of achieving long-term integration goals.</w:t>
      </w:r>
    </w:p>
    <w:p w14:paraId="055D1860" w14:textId="0C4FBC05" w:rsidR="00FE61BC" w:rsidRDefault="004C2BDB" w:rsidP="004C2BDB">
      <w:pPr>
        <w:rPr>
          <w:rFonts w:cs="Arial"/>
          <w:szCs w:val="22"/>
        </w:rPr>
      </w:pPr>
      <w:r w:rsidRPr="004C2BDB">
        <w:rPr>
          <w:rFonts w:cs="Arial"/>
          <w:szCs w:val="22"/>
        </w:rPr>
        <w:t>Therefore, while technical expertise and institutional mechanisms are indispensable, the political dimensions</w:t>
      </w:r>
      <w:r w:rsidR="0020143F">
        <w:rPr>
          <w:rFonts w:cs="Arial"/>
          <w:szCs w:val="22"/>
        </w:rPr>
        <w:t xml:space="preserve">, viz. </w:t>
      </w:r>
      <w:r w:rsidRPr="004C2BDB">
        <w:rPr>
          <w:rFonts w:cs="Arial"/>
          <w:szCs w:val="22"/>
        </w:rPr>
        <w:t>intergovernmental agreements, common frameworks, and consistent governmental alignment</w:t>
      </w:r>
      <w:r w:rsidR="0020143F">
        <w:rPr>
          <w:rFonts w:cs="Arial"/>
          <w:szCs w:val="22"/>
        </w:rPr>
        <w:t xml:space="preserve"> </w:t>
      </w:r>
      <w:r w:rsidRPr="004C2BDB">
        <w:rPr>
          <w:rFonts w:cs="Arial"/>
          <w:szCs w:val="22"/>
        </w:rPr>
        <w:t>are the foundation upon which a regional power exchange in the BBINS region must be constructed. These elements require sustained dialogue, mutual trust, and a shared vision for regional energy integration to realize the full potential of cross-border electricity trading.</w:t>
      </w:r>
    </w:p>
    <w:p w14:paraId="166608AB" w14:textId="4295E37D" w:rsidR="00FE61BC" w:rsidRPr="0019192F" w:rsidRDefault="00FE61BC" w:rsidP="00FE61BC">
      <w:pPr>
        <w:pStyle w:val="Heading3"/>
      </w:pPr>
      <w:r w:rsidRPr="00FE61BC">
        <w:t>Intergovernmental agreement(s)</w:t>
      </w:r>
    </w:p>
    <w:p w14:paraId="368D12E3" w14:textId="77777777" w:rsidR="0005732C" w:rsidRPr="0005732C" w:rsidRDefault="0005732C" w:rsidP="0005732C">
      <w:pPr>
        <w:rPr>
          <w:rFonts w:cs="Arial"/>
          <w:szCs w:val="22"/>
          <w:lang w:eastAsia="en-JM"/>
        </w:rPr>
      </w:pPr>
      <w:r w:rsidRPr="0005732C">
        <w:rPr>
          <w:rFonts w:cs="Arial"/>
          <w:szCs w:val="22"/>
          <w:lang w:eastAsia="en-JM"/>
        </w:rPr>
        <w:t>Intergovernmental agreements play a pivotal role in establishing and operationalizing regional power exchanges. These agreements serve as the foundation for political support, enabling collaboration among countries to achieve cross-border electricity trading. By formalizing commitments and creating a framework for cooperation, these agreements set the stage for effective regional energy integration.</w:t>
      </w:r>
    </w:p>
    <w:p w14:paraId="5A903974" w14:textId="77777777" w:rsidR="0005732C" w:rsidRPr="0005732C" w:rsidRDefault="0005732C" w:rsidP="0005732C">
      <w:pPr>
        <w:rPr>
          <w:rFonts w:cs="Arial"/>
          <w:szCs w:val="22"/>
          <w:lang w:eastAsia="en-JM"/>
        </w:rPr>
      </w:pPr>
      <w:r w:rsidRPr="0005732C">
        <w:rPr>
          <w:rFonts w:cs="Arial"/>
          <w:szCs w:val="22"/>
          <w:lang w:eastAsia="en-JM"/>
        </w:rPr>
        <w:t>At the initial stages, such agreements are crucial for building consensus among participating nations. They provide the legal and institutional framework that allows utilities, regulatory authorities, and other stakeholders to move forward with necessary developments. For instance, they can authorize exemptions or adjustments to existing national laws and regulations to accommodate regional trading mechanisms. This is essential in overcoming policy and regulatory barriers that might otherwise hinder integration efforts.</w:t>
      </w:r>
    </w:p>
    <w:p w14:paraId="0FA04F15" w14:textId="77777777" w:rsidR="0005732C" w:rsidRPr="0005732C" w:rsidRDefault="0005732C" w:rsidP="0005732C">
      <w:pPr>
        <w:rPr>
          <w:rFonts w:cs="Arial"/>
          <w:szCs w:val="22"/>
          <w:lang w:eastAsia="en-JM"/>
        </w:rPr>
      </w:pPr>
      <w:r w:rsidRPr="0005732C">
        <w:rPr>
          <w:rFonts w:cs="Arial"/>
          <w:szCs w:val="22"/>
          <w:lang w:eastAsia="en-JM"/>
        </w:rPr>
        <w:t>Additionally, intergovernmental agreements help in defining the level of technical and operational harmonization required for system cooperation. They facilitate the sharing of data, the alignment of market rules, and the coordination of grid operations, which are critical for ensuring the reliability and efficiency of a regional power exchange. Agreements may also establish protocols for dispute resolution, pricing mechanisms, and responsibilities for infrastructure investments.</w:t>
      </w:r>
    </w:p>
    <w:p w14:paraId="598D413D" w14:textId="77777777" w:rsidR="0005732C" w:rsidRPr="0005732C" w:rsidRDefault="0005732C" w:rsidP="0005732C">
      <w:pPr>
        <w:rPr>
          <w:rFonts w:cs="Arial"/>
          <w:szCs w:val="22"/>
          <w:lang w:eastAsia="en-JM"/>
        </w:rPr>
      </w:pPr>
      <w:r w:rsidRPr="0005732C">
        <w:rPr>
          <w:rFonts w:cs="Arial"/>
          <w:szCs w:val="22"/>
          <w:lang w:eastAsia="en-JM"/>
        </w:rPr>
        <w:t>Examples from successful regional power exchanges, such as the Southern African Power Pool (SAPP) and the Nord Pool in Europe, highlight the importance of these agreements. For SAPP, intergovernmental agreements created a structured environment where member countries collaborated on energy trading while addressing regulatory challenges. Similarly, in the case of Nord Pool, initial agreements among Nordic countries ensured that national utilities could participate in a shared market while adhering to common rules and standards.</w:t>
      </w:r>
    </w:p>
    <w:p w14:paraId="02AD8680" w14:textId="5B395656" w:rsidR="0040130A" w:rsidRDefault="00B2698A" w:rsidP="0005732C">
      <w:pPr>
        <w:rPr>
          <w:rFonts w:cs="Arial"/>
          <w:szCs w:val="22"/>
          <w:lang w:eastAsia="en-JM"/>
        </w:rPr>
      </w:pPr>
      <w:r>
        <w:rPr>
          <w:rFonts w:cs="Arial"/>
          <w:szCs w:val="22"/>
          <w:lang w:eastAsia="en-JM"/>
        </w:rPr>
        <w:t>Thus</w:t>
      </w:r>
      <w:r w:rsidR="0005732C" w:rsidRPr="0005732C">
        <w:rPr>
          <w:rFonts w:cs="Arial"/>
          <w:szCs w:val="22"/>
          <w:lang w:eastAsia="en-JM"/>
        </w:rPr>
        <w:t>, intergovernmental agreements are not merely procedural instruments but are strategic tools for fostering political commitment, enabling regulatory harmonization, and promoting trust among nations. They are indispensable in creating the political and operational preconditions for a functional and sustainable regional power exchange.</w:t>
      </w:r>
    </w:p>
    <w:p w14:paraId="64A6848C" w14:textId="77777777" w:rsidR="004F005D" w:rsidRDefault="004F005D" w:rsidP="0005732C">
      <w:pPr>
        <w:rPr>
          <w:rFonts w:cs="Arial"/>
          <w:szCs w:val="22"/>
          <w:lang w:eastAsia="en-JM"/>
        </w:rPr>
      </w:pPr>
    </w:p>
    <w:tbl>
      <w:tblPr>
        <w:tblStyle w:val="TableGrid"/>
        <w:tblW w:w="0" w:type="auto"/>
        <w:shd w:val="clear" w:color="auto" w:fill="E2F3FA" w:themeFill="accent5" w:themeFillTint="33"/>
        <w:tblLook w:val="04A0" w:firstRow="1" w:lastRow="0" w:firstColumn="1" w:lastColumn="0" w:noHBand="0" w:noVBand="1"/>
      </w:tblPr>
      <w:tblGrid>
        <w:gridCol w:w="9350"/>
      </w:tblGrid>
      <w:tr w:rsidR="0040130A" w14:paraId="37815E62" w14:textId="77777777" w:rsidTr="00857566">
        <w:tc>
          <w:tcPr>
            <w:tcW w:w="9350" w:type="dxa"/>
            <w:shd w:val="clear" w:color="auto" w:fill="E2F3FA" w:themeFill="accent5" w:themeFillTint="33"/>
          </w:tcPr>
          <w:p w14:paraId="6F58BCBA" w14:textId="501ADA62" w:rsidR="0040130A" w:rsidRPr="00E868A2" w:rsidRDefault="0040130A" w:rsidP="0005732C">
            <w:pPr>
              <w:rPr>
                <w:rFonts w:cs="Arial"/>
                <w:b/>
                <w:bCs/>
                <w:szCs w:val="22"/>
                <w:lang w:eastAsia="en-JM"/>
              </w:rPr>
            </w:pPr>
            <w:r w:rsidRPr="00E868A2">
              <w:rPr>
                <w:rFonts w:cs="Arial"/>
                <w:b/>
                <w:bCs/>
                <w:szCs w:val="22"/>
                <w:lang w:eastAsia="en-JM"/>
              </w:rPr>
              <w:t>Example</w:t>
            </w:r>
            <w:r w:rsidR="00E868A2" w:rsidRPr="00E868A2">
              <w:rPr>
                <w:rFonts w:cs="Arial"/>
                <w:b/>
                <w:bCs/>
                <w:szCs w:val="22"/>
                <w:lang w:eastAsia="en-JM"/>
              </w:rPr>
              <w:t>s</w:t>
            </w:r>
            <w:r w:rsidR="00735DCF" w:rsidRPr="00E868A2">
              <w:rPr>
                <w:rFonts w:cs="Arial"/>
                <w:b/>
                <w:bCs/>
                <w:szCs w:val="22"/>
                <w:lang w:eastAsia="en-JM"/>
              </w:rPr>
              <w:t xml:space="preserve"> of </w:t>
            </w:r>
            <w:r w:rsidR="00E868A2" w:rsidRPr="00E868A2">
              <w:rPr>
                <w:rFonts w:cs="Arial"/>
                <w:b/>
                <w:bCs/>
                <w:szCs w:val="22"/>
                <w:lang w:eastAsia="en-JM"/>
              </w:rPr>
              <w:t>Inter-governmental agreement/ MoU, and detailed agreements/ procedures/ guidelines/ rules that govern the power trade</w:t>
            </w:r>
            <w:r w:rsidR="00E868A2">
              <w:rPr>
                <w:rFonts w:cs="Arial"/>
                <w:b/>
                <w:bCs/>
                <w:szCs w:val="22"/>
                <w:lang w:eastAsia="en-JM"/>
              </w:rPr>
              <w:t>:</w:t>
            </w:r>
          </w:p>
          <w:p w14:paraId="728029BF" w14:textId="77777777" w:rsidR="00735DCF" w:rsidRPr="004F005D" w:rsidRDefault="00735DCF" w:rsidP="00735DCF">
            <w:pPr>
              <w:pStyle w:val="ListParagraph"/>
              <w:numPr>
                <w:ilvl w:val="0"/>
                <w:numId w:val="18"/>
              </w:numPr>
              <w:rPr>
                <w:rFonts w:cs="Arial"/>
                <w:i/>
                <w:iCs/>
                <w:lang w:eastAsia="en-JM"/>
              </w:rPr>
            </w:pPr>
            <w:r w:rsidRPr="004F005D">
              <w:rPr>
                <w:rFonts w:cs="Arial"/>
                <w:i/>
                <w:iCs/>
                <w:lang w:eastAsia="en-JM"/>
              </w:rPr>
              <w:t xml:space="preserve">SAPP’s intergovernmental and inter-utility </w:t>
            </w:r>
            <w:proofErr w:type="spellStart"/>
            <w:r w:rsidRPr="004F005D">
              <w:rPr>
                <w:rFonts w:cs="Arial"/>
                <w:i/>
                <w:iCs/>
                <w:lang w:eastAsia="en-JM"/>
              </w:rPr>
              <w:t>MoUs</w:t>
            </w:r>
            <w:proofErr w:type="spellEnd"/>
            <w:r w:rsidRPr="004F005D">
              <w:rPr>
                <w:rFonts w:cs="Arial"/>
                <w:i/>
                <w:iCs/>
                <w:lang w:eastAsia="en-JM"/>
              </w:rPr>
              <w:t xml:space="preserve">, and Operating </w:t>
            </w:r>
            <w:proofErr w:type="gramStart"/>
            <w:r w:rsidRPr="004F005D">
              <w:rPr>
                <w:rFonts w:cs="Arial"/>
                <w:i/>
                <w:iCs/>
                <w:lang w:eastAsia="en-JM"/>
              </w:rPr>
              <w:t>Guidelines;</w:t>
            </w:r>
            <w:proofErr w:type="gramEnd"/>
          </w:p>
          <w:p w14:paraId="39CE7348" w14:textId="77777777" w:rsidR="00735DCF" w:rsidRPr="004F005D" w:rsidRDefault="00735DCF" w:rsidP="00735DCF">
            <w:pPr>
              <w:pStyle w:val="ListParagraph"/>
              <w:numPr>
                <w:ilvl w:val="0"/>
                <w:numId w:val="18"/>
              </w:numPr>
              <w:rPr>
                <w:rFonts w:cs="Arial"/>
                <w:i/>
                <w:iCs/>
                <w:lang w:eastAsia="en-JM"/>
              </w:rPr>
            </w:pPr>
            <w:r w:rsidRPr="004F005D">
              <w:rPr>
                <w:rFonts w:cs="Arial"/>
                <w:i/>
                <w:iCs/>
                <w:lang w:eastAsia="en-JM"/>
              </w:rPr>
              <w:t xml:space="preserve">Marco treaty and Regional Electricity Market Regulations (REMR) in Central </w:t>
            </w:r>
            <w:proofErr w:type="gramStart"/>
            <w:r w:rsidRPr="004F005D">
              <w:rPr>
                <w:rFonts w:cs="Arial"/>
                <w:i/>
                <w:iCs/>
                <w:lang w:eastAsia="en-JM"/>
              </w:rPr>
              <w:t>America;</w:t>
            </w:r>
            <w:proofErr w:type="gramEnd"/>
          </w:p>
          <w:p w14:paraId="40296467" w14:textId="77777777" w:rsidR="00735DCF" w:rsidRPr="004F005D" w:rsidRDefault="00735DCF" w:rsidP="00735DCF">
            <w:pPr>
              <w:pStyle w:val="ListParagraph"/>
              <w:numPr>
                <w:ilvl w:val="0"/>
                <w:numId w:val="18"/>
              </w:numPr>
              <w:rPr>
                <w:rFonts w:cs="Arial"/>
                <w:i/>
                <w:iCs/>
                <w:lang w:eastAsia="en-JM"/>
              </w:rPr>
            </w:pPr>
            <w:r w:rsidRPr="004F005D">
              <w:rPr>
                <w:rFonts w:cs="Arial"/>
                <w:i/>
                <w:iCs/>
                <w:lang w:eastAsia="en-JM"/>
              </w:rPr>
              <w:t xml:space="preserve">GCC General Agreement and Power Exchange and Trading Agreement (PETA), for </w:t>
            </w:r>
            <w:proofErr w:type="gramStart"/>
            <w:r w:rsidRPr="004F005D">
              <w:rPr>
                <w:rFonts w:cs="Arial"/>
                <w:i/>
                <w:iCs/>
                <w:lang w:eastAsia="en-JM"/>
              </w:rPr>
              <w:t>GCCIA;</w:t>
            </w:r>
            <w:proofErr w:type="gramEnd"/>
          </w:p>
          <w:p w14:paraId="0EFD95B1" w14:textId="77777777" w:rsidR="00735DCF" w:rsidRPr="004F005D" w:rsidRDefault="00735DCF" w:rsidP="00735DCF">
            <w:pPr>
              <w:pStyle w:val="ListParagraph"/>
              <w:numPr>
                <w:ilvl w:val="0"/>
                <w:numId w:val="18"/>
              </w:numPr>
              <w:rPr>
                <w:rFonts w:cs="Arial"/>
                <w:i/>
                <w:iCs/>
                <w:lang w:eastAsia="en-JM"/>
              </w:rPr>
            </w:pPr>
            <w:r w:rsidRPr="004F005D">
              <w:rPr>
                <w:rFonts w:cs="Arial"/>
                <w:i/>
                <w:iCs/>
                <w:lang w:eastAsia="en-JM"/>
              </w:rPr>
              <w:t xml:space="preserve">GMS Inter-Governmental Agreement (IGA) on Regional Power </w:t>
            </w:r>
            <w:proofErr w:type="gramStart"/>
            <w:r w:rsidRPr="004F005D">
              <w:rPr>
                <w:rFonts w:cs="Arial"/>
                <w:i/>
                <w:iCs/>
                <w:lang w:eastAsia="en-JM"/>
              </w:rPr>
              <w:t>Trade;</w:t>
            </w:r>
            <w:proofErr w:type="gramEnd"/>
          </w:p>
          <w:p w14:paraId="31646BB6" w14:textId="77777777" w:rsidR="00735DCF" w:rsidRPr="004F005D" w:rsidRDefault="00735DCF" w:rsidP="00735DCF">
            <w:pPr>
              <w:pStyle w:val="ListParagraph"/>
              <w:numPr>
                <w:ilvl w:val="0"/>
                <w:numId w:val="18"/>
              </w:numPr>
              <w:rPr>
                <w:rFonts w:cs="Arial"/>
                <w:i/>
                <w:iCs/>
                <w:lang w:eastAsia="en-JM"/>
              </w:rPr>
            </w:pPr>
            <w:r w:rsidRPr="004F005D">
              <w:rPr>
                <w:rFonts w:cs="Arial"/>
                <w:i/>
                <w:iCs/>
                <w:lang w:eastAsia="en-JM"/>
              </w:rPr>
              <w:t>Memorandum of Understanding on the ASEAN Power Grid; and</w:t>
            </w:r>
          </w:p>
          <w:p w14:paraId="25FB5F3D" w14:textId="7B08619A" w:rsidR="00735DCF" w:rsidRPr="00735DCF" w:rsidRDefault="00735DCF" w:rsidP="00735DCF">
            <w:pPr>
              <w:pStyle w:val="ListParagraph"/>
              <w:numPr>
                <w:ilvl w:val="0"/>
                <w:numId w:val="18"/>
              </w:numPr>
              <w:rPr>
                <w:rFonts w:cs="Arial"/>
                <w:lang w:eastAsia="en-JM"/>
              </w:rPr>
            </w:pPr>
            <w:r w:rsidRPr="004F005D">
              <w:rPr>
                <w:rFonts w:cs="Arial"/>
                <w:i/>
                <w:iCs/>
                <w:lang w:eastAsia="en-JM"/>
              </w:rPr>
              <w:t>Directives, rules and guidelines of European Commission for European common market</w:t>
            </w:r>
          </w:p>
        </w:tc>
      </w:tr>
    </w:tbl>
    <w:p w14:paraId="61731A54" w14:textId="77777777" w:rsidR="0040130A" w:rsidRDefault="0040130A" w:rsidP="0005732C">
      <w:pPr>
        <w:rPr>
          <w:rFonts w:cs="Arial"/>
          <w:szCs w:val="22"/>
        </w:rPr>
      </w:pPr>
    </w:p>
    <w:p w14:paraId="506F6423" w14:textId="36C49BC1" w:rsidR="00FE61BC" w:rsidRPr="0019192F" w:rsidRDefault="00FE61BC" w:rsidP="00FE61BC">
      <w:pPr>
        <w:pStyle w:val="Heading3"/>
      </w:pPr>
      <w:r w:rsidRPr="00FE61BC">
        <w:t>Common working language</w:t>
      </w:r>
    </w:p>
    <w:p w14:paraId="7E0DDB3B" w14:textId="77777777" w:rsidR="009F0B02" w:rsidRDefault="009F0B02" w:rsidP="00FE61BC">
      <w:pPr>
        <w:rPr>
          <w:rFonts w:cs="Arial"/>
          <w:szCs w:val="22"/>
        </w:rPr>
      </w:pPr>
      <w:r w:rsidRPr="009F0B02">
        <w:rPr>
          <w:rFonts w:cs="Arial"/>
          <w:szCs w:val="22"/>
        </w:rPr>
        <w:t xml:space="preserve">A common working language is a fundamental non-technical requirement for the successful establishment and operation of a regional power exchange, as it underpins effective communication and collaboration among member countries. Regional power exchanges typically involve diverse stakeholders such as utilities, grid operators, regulators, policymakers, and market participants from different linguistic and cultural backgrounds. The adoption of a shared working language, such as English in many international frameworks, facilitates the harmonization of technical standards, regulatory processes, and operational procedures. This alignment is critical for ensuring smooth coordination, particularly in real-time operations, where clarity and speed of communication are essential to prevent misunderstandings or delays. </w:t>
      </w:r>
    </w:p>
    <w:p w14:paraId="7C61D683" w14:textId="2BE7FE27" w:rsidR="00FE61BC" w:rsidRDefault="009F0B02" w:rsidP="00FE61BC">
      <w:pPr>
        <w:rPr>
          <w:rFonts w:cs="Arial"/>
          <w:szCs w:val="22"/>
        </w:rPr>
      </w:pPr>
      <w:r w:rsidRPr="009F0B02">
        <w:rPr>
          <w:rFonts w:cs="Arial"/>
          <w:szCs w:val="22"/>
        </w:rPr>
        <w:t>Moreover, a common language serves as a platform for capacity building and knowledge transfer. Training sessions, technical workshops, and joint studies conducted in a mutually understood language enable stakeholders to share expertise, adopt best practices, and foster innovation. For instance, in the Southern African Power Pool (SAPP), English is used as the standard language for communication, allowing member states with different native languages to collaborate effectively on complex energy projects and market operations. Similarly, Nord Pool leverages a common language framework to coordinate its extensive cross-border market operations seamlessly. In addition to operational benefits, a shared language also aids in fostering trust and transparency, which are crucial for long-term cooperation. It ensures that all parties have equal access to information, enabling informed decision-making and reducing the potential for disputes. Ultimately, the implementation of a common working language as part of political agreements not only streamlines operational and regulatory activities but also strengthens the foundation for enduring regional energy cooperation.</w:t>
      </w:r>
    </w:p>
    <w:p w14:paraId="0B31B4F6" w14:textId="16D6D376" w:rsidR="00B01EE7" w:rsidRDefault="00CF2780" w:rsidP="00B01EE7">
      <w:pPr>
        <w:rPr>
          <w:rFonts w:cs="Arial"/>
          <w:szCs w:val="22"/>
        </w:rPr>
      </w:pPr>
      <w:r w:rsidRPr="00CF2780">
        <w:rPr>
          <w:rFonts w:cs="Arial"/>
          <w:szCs w:val="22"/>
        </w:rPr>
        <w:t>A common working language becomes especially critical in the BBINS context, given the linguistic diversity and varying levels of English proficiency among the countries. The adoption of a shared working language</w:t>
      </w:r>
      <w:r w:rsidR="009F57BA">
        <w:rPr>
          <w:rFonts w:cs="Arial"/>
          <w:szCs w:val="22"/>
        </w:rPr>
        <w:t xml:space="preserve"> l</w:t>
      </w:r>
      <w:r w:rsidRPr="00CF2780">
        <w:rPr>
          <w:rFonts w:cs="Arial"/>
          <w:szCs w:val="22"/>
        </w:rPr>
        <w:t>ikely English, which is widely used in international and regional cooperation</w:t>
      </w:r>
      <w:r w:rsidR="008D0443">
        <w:rPr>
          <w:rFonts w:cs="Arial"/>
          <w:szCs w:val="22"/>
        </w:rPr>
        <w:t xml:space="preserve"> </w:t>
      </w:r>
      <w:r w:rsidRPr="00CF2780">
        <w:rPr>
          <w:rFonts w:cs="Arial"/>
          <w:szCs w:val="22"/>
        </w:rPr>
        <w:t>can address potential barriers to communication and coordination. This is vital for ensuring the smooth implementation and operation of a regional power exchange, where real-time data sharing, operational alignment, and technical negotiations require unambiguous understanding.</w:t>
      </w:r>
      <w:r w:rsidR="007E6E90">
        <w:rPr>
          <w:rFonts w:cs="Arial"/>
          <w:szCs w:val="22"/>
        </w:rPr>
        <w:t xml:space="preserve"> </w:t>
      </w:r>
      <w:r w:rsidR="00FC69E1">
        <w:rPr>
          <w:rFonts w:cs="Arial"/>
          <w:szCs w:val="22"/>
        </w:rPr>
        <w:t>The</w:t>
      </w:r>
      <w:r w:rsidRPr="00CF2780">
        <w:rPr>
          <w:rFonts w:cs="Arial"/>
          <w:szCs w:val="22"/>
        </w:rPr>
        <w:t xml:space="preserve"> common language will also support the development and enforcement of harmonized market rules, standardized contracts, and shared operational protocols. For instance, it will be critical for drafting technical guidelines, resolving disputes, and facilitating cross-border agreements. In addition, using a common language can bolster capacity-building initiatives, such as regional training programs and workshops, allowing stakeholders across countries to build a shared understanding of market mechanisms and operational practices. These efforts have been effective in similar setups like the ASEAN Power Grid, where English serves as the common platform for multilateral engagement.</w:t>
      </w:r>
    </w:p>
    <w:p w14:paraId="79CFA835" w14:textId="79BF935F" w:rsidR="00FE61BC" w:rsidRPr="005B3142" w:rsidRDefault="00FE61BC" w:rsidP="00FE61BC">
      <w:pPr>
        <w:pStyle w:val="Heading2"/>
      </w:pPr>
      <w:bookmarkStart w:id="116" w:name="_Toc185235897"/>
      <w:r>
        <w:t>Technical</w:t>
      </w:r>
      <w:bookmarkEnd w:id="116"/>
    </w:p>
    <w:p w14:paraId="25F6EA0B" w14:textId="4275683F" w:rsidR="00E94D83" w:rsidRDefault="00555FF6" w:rsidP="00FE61BC">
      <w:pPr>
        <w:rPr>
          <w:rFonts w:cs="Arial"/>
          <w:szCs w:val="22"/>
        </w:rPr>
      </w:pPr>
      <w:r w:rsidRPr="00555FF6">
        <w:rPr>
          <w:rFonts w:cs="Arial"/>
          <w:szCs w:val="22"/>
        </w:rPr>
        <w:t xml:space="preserve">The technical requirements for a regional power exchange </w:t>
      </w:r>
      <w:r w:rsidR="00EA745C">
        <w:rPr>
          <w:rFonts w:cs="Arial"/>
          <w:szCs w:val="22"/>
        </w:rPr>
        <w:t xml:space="preserve">majorly </w:t>
      </w:r>
      <w:r w:rsidR="00E94D83" w:rsidRPr="00555FF6">
        <w:rPr>
          <w:rFonts w:cs="Arial"/>
          <w:szCs w:val="22"/>
        </w:rPr>
        <w:t>encompass</w:t>
      </w:r>
      <w:r w:rsidRPr="00555FF6">
        <w:rPr>
          <w:rFonts w:cs="Arial"/>
          <w:szCs w:val="22"/>
        </w:rPr>
        <w:t xml:space="preserve"> the essential rules and procedures needed to enable secure and efficient cross-border electricity trading. These requirements are designed to harmonize technical and operational aspects, ensuring seamless integration and coordination across national grids. Harmonized grid codes are fundamental to ensuring that power system operations across interconnected networks are compatible and free from conflicts. These codes establish uniform protocols for frequency regulation, voltage stability, contingency handling, and other critical aspects, reducing operational risks and enhancing reliability. Similarly, a standardized methodology for wheeling charges is crucial to facilitate trading between any participating member </w:t>
      </w:r>
      <w:r w:rsidR="00754796">
        <w:rPr>
          <w:rFonts w:cs="Arial"/>
          <w:szCs w:val="22"/>
        </w:rPr>
        <w:t>countries</w:t>
      </w:r>
      <w:r w:rsidRPr="00555FF6">
        <w:rPr>
          <w:rFonts w:cs="Arial"/>
          <w:szCs w:val="22"/>
        </w:rPr>
        <w:t xml:space="preserve">, irrespective of whether they share a physical border. This ensures equitable and transparent cost allocation for using transmission infrastructure, enabling greater trading flexibility. </w:t>
      </w:r>
    </w:p>
    <w:p w14:paraId="3891D9B1" w14:textId="7FC43A20" w:rsidR="00E94D83" w:rsidRDefault="00555FF6" w:rsidP="00FE61BC">
      <w:pPr>
        <w:rPr>
          <w:rFonts w:cs="Arial"/>
          <w:szCs w:val="22"/>
        </w:rPr>
      </w:pPr>
      <w:r w:rsidRPr="00555FF6">
        <w:rPr>
          <w:rFonts w:cs="Arial"/>
          <w:szCs w:val="22"/>
        </w:rPr>
        <w:t>Data and information sharing agreements are equally critical for regional power market operation. Such agreements must clearly define the data categories to be shared and the data to remain private. For instance, sensitive information such as existing contracts or details of critical infrastructure should remain confidential at the national level. However, regionally relevant data</w:t>
      </w:r>
      <w:r w:rsidR="00EA745C">
        <w:rPr>
          <w:rFonts w:cs="Arial"/>
          <w:szCs w:val="22"/>
        </w:rPr>
        <w:t xml:space="preserve">, </w:t>
      </w:r>
      <w:r w:rsidRPr="00555FF6">
        <w:rPr>
          <w:rFonts w:cs="Arial"/>
          <w:szCs w:val="22"/>
        </w:rPr>
        <w:t>such as dispatch schedules, generator-specific bids, and offers</w:t>
      </w:r>
      <w:r w:rsidR="00EA745C">
        <w:rPr>
          <w:rFonts w:cs="Arial"/>
          <w:szCs w:val="22"/>
        </w:rPr>
        <w:t xml:space="preserve"> </w:t>
      </w:r>
      <w:r w:rsidRPr="00555FF6">
        <w:rPr>
          <w:rFonts w:cs="Arial"/>
          <w:szCs w:val="22"/>
        </w:rPr>
        <w:t xml:space="preserve">must be accessible to market participants to support trading. Additionally, publicly available data on transmission capacity, historical cross-border flows, and average clearing prices enhances transparency and builds trust among stakeholders. Interconnector capacity calculation methodologies are another technical cornerstone. These ensure optimal utilization of cross-border transmission lines while maintaining grid security. Clear and standardized approaches to capacity calculation prevent congestion and enable efficient electricity trading. </w:t>
      </w:r>
    </w:p>
    <w:p w14:paraId="2E74FD34" w14:textId="42F2625C" w:rsidR="00FE61BC" w:rsidRDefault="00555FF6" w:rsidP="00FE61BC">
      <w:pPr>
        <w:rPr>
          <w:rFonts w:cs="Arial"/>
          <w:szCs w:val="22"/>
        </w:rPr>
      </w:pPr>
      <w:r w:rsidRPr="00555FF6">
        <w:rPr>
          <w:rFonts w:cs="Arial"/>
          <w:szCs w:val="22"/>
        </w:rPr>
        <w:t xml:space="preserve">In practice, harmonizing these technical elements requires </w:t>
      </w:r>
      <w:r w:rsidR="00E94D83" w:rsidRPr="000E5216">
        <w:rPr>
          <w:rFonts w:cs="Arial"/>
          <w:szCs w:val="22"/>
        </w:rPr>
        <w:t xml:space="preserve">robust institutional mechanisms, </w:t>
      </w:r>
      <w:r w:rsidRPr="000E5216">
        <w:rPr>
          <w:rFonts w:cs="Arial"/>
          <w:szCs w:val="22"/>
        </w:rPr>
        <w:t>cooperation among member countries, and adherence to agreed-upon rules.</w:t>
      </w:r>
      <w:r w:rsidRPr="00555FF6">
        <w:rPr>
          <w:rFonts w:cs="Arial"/>
          <w:szCs w:val="22"/>
        </w:rPr>
        <w:t xml:space="preserve"> Together, these technical requirements create the foundation for a sustainable and well-functioning regional power exchange, enabling the BBINS region to realize its potential for integrated energy markets</w:t>
      </w:r>
      <w:r w:rsidR="00BF4A8A">
        <w:rPr>
          <w:rFonts w:cs="Arial"/>
          <w:szCs w:val="22"/>
        </w:rPr>
        <w:t xml:space="preserve">. Major technical requirements </w:t>
      </w:r>
      <w:r w:rsidR="009F0937">
        <w:rPr>
          <w:rFonts w:cs="Arial"/>
          <w:szCs w:val="22"/>
        </w:rPr>
        <w:t>with respect to setting up/ operating of a regional power exchange are provided as follows:</w:t>
      </w:r>
    </w:p>
    <w:p w14:paraId="592288C8" w14:textId="060DF750" w:rsidR="00FE61BC" w:rsidRPr="0019192F" w:rsidRDefault="00FE61BC" w:rsidP="00FE61BC">
      <w:pPr>
        <w:pStyle w:val="Heading3"/>
      </w:pPr>
      <w:r>
        <w:t>Harmonized grid codes</w:t>
      </w:r>
    </w:p>
    <w:p w14:paraId="5190F4BB" w14:textId="39602E62" w:rsidR="00286FAB" w:rsidRPr="00286FAB" w:rsidRDefault="00286FAB" w:rsidP="00286FAB">
      <w:pPr>
        <w:rPr>
          <w:rFonts w:cs="Arial"/>
          <w:szCs w:val="22"/>
          <w:lang w:eastAsia="en-JM"/>
        </w:rPr>
      </w:pPr>
      <w:r w:rsidRPr="00286FAB">
        <w:rPr>
          <w:rFonts w:cs="Arial"/>
          <w:szCs w:val="22"/>
          <w:lang w:eastAsia="en-JM"/>
        </w:rPr>
        <w:t xml:space="preserve">Harmonized grid codes are foundational for the development and operation of a regional power exchange, ensuring that interconnected power systems operate in a secure, reliable, and efficient manner. These codes establish common rules and procedures across member </w:t>
      </w:r>
      <w:r w:rsidR="00FF036A">
        <w:rPr>
          <w:rFonts w:cs="Arial"/>
          <w:szCs w:val="22"/>
          <w:lang w:eastAsia="en-JM"/>
        </w:rPr>
        <w:t>countries</w:t>
      </w:r>
      <w:r w:rsidRPr="00286FAB">
        <w:rPr>
          <w:rFonts w:cs="Arial"/>
          <w:szCs w:val="22"/>
          <w:lang w:eastAsia="en-JM"/>
        </w:rPr>
        <w:t xml:space="preserve">, addressing differences in operational standards and design criteria that could otherwise compromise the stability of the regional grid. </w:t>
      </w:r>
      <w:r w:rsidR="009A41F1">
        <w:rPr>
          <w:rFonts w:cs="Arial"/>
          <w:szCs w:val="22"/>
          <w:lang w:eastAsia="en-JM"/>
        </w:rPr>
        <w:t>H</w:t>
      </w:r>
      <w:r w:rsidRPr="00286FAB">
        <w:rPr>
          <w:rFonts w:cs="Arial"/>
          <w:szCs w:val="22"/>
          <w:lang w:eastAsia="en-JM"/>
        </w:rPr>
        <w:t>armonization focuses on aligning key technical and operational elements to enable seamless cross-border electricity trading without imposing the need for complete unification of national grid codes.</w:t>
      </w:r>
      <w:r>
        <w:rPr>
          <w:rFonts w:cs="Arial"/>
          <w:szCs w:val="22"/>
          <w:lang w:eastAsia="en-JM"/>
        </w:rPr>
        <w:t xml:space="preserve"> </w:t>
      </w:r>
      <w:r w:rsidRPr="00286FAB">
        <w:rPr>
          <w:rFonts w:cs="Arial"/>
          <w:szCs w:val="22"/>
          <w:lang w:eastAsia="en-JM"/>
        </w:rPr>
        <w:t>At its core, harmonization aims to address security risks inherent in interconnected systems. A unified set of regional standards can mitigate vulnerabilities from external shocks, such as sudden outages or unexpected surges in demand, which could ripple across borders. While national grid codes govern the internal dynamics of a country’s power system, harmonized regional grid codes apply to interconnectors—critical transmission links that facilitate cross-border power flows. These codes ensure that interconnected grids maintain compatibility in parameters such as voltage levels, nominal frequency, protection schemes, and contingency protocols, particularly in synchronous systems like those between India-Bhutan and India-Nepal.</w:t>
      </w:r>
      <w:r>
        <w:rPr>
          <w:rFonts w:cs="Arial"/>
          <w:szCs w:val="22"/>
          <w:lang w:eastAsia="en-JM"/>
        </w:rPr>
        <w:t xml:space="preserve"> </w:t>
      </w:r>
      <w:r w:rsidRPr="00286FAB">
        <w:rPr>
          <w:rFonts w:cs="Arial"/>
          <w:szCs w:val="22"/>
          <w:lang w:eastAsia="en-JM"/>
        </w:rPr>
        <w:t>In contrast, asynchronous interconnections, such as the HVDC back-to-back systems between India and Bangladesh, inherently reduce risks of fault propagation between grids. However, even in such systems, the tripping of an HVDC terminal can create significant disturbances, including loss of load or supply. Future interconnections</w:t>
      </w:r>
      <w:r w:rsidR="008B7A0D">
        <w:rPr>
          <w:rFonts w:cs="Arial"/>
          <w:szCs w:val="22"/>
          <w:lang w:eastAsia="en-JM"/>
        </w:rPr>
        <w:t xml:space="preserve">, </w:t>
      </w:r>
      <w:r w:rsidRPr="00286FAB">
        <w:rPr>
          <w:rFonts w:cs="Arial"/>
          <w:szCs w:val="22"/>
          <w:lang w:eastAsia="en-JM"/>
        </w:rPr>
        <w:t>such as potential AC links between India and Bangladesh or HVDC systems with Sri Lanka</w:t>
      </w:r>
      <w:r w:rsidR="008B7A0D">
        <w:rPr>
          <w:rFonts w:cs="Arial"/>
          <w:szCs w:val="22"/>
          <w:lang w:eastAsia="en-JM"/>
        </w:rPr>
        <w:t xml:space="preserve"> </w:t>
      </w:r>
      <w:r w:rsidRPr="00286FAB">
        <w:rPr>
          <w:rFonts w:cs="Arial"/>
          <w:szCs w:val="22"/>
          <w:lang w:eastAsia="en-JM"/>
        </w:rPr>
        <w:t>will require careful planning to ensure operational compatibility, particularly given the technical and economic considerations of these projects.</w:t>
      </w:r>
    </w:p>
    <w:p w14:paraId="7242CDE9" w14:textId="173E8246" w:rsidR="00286FAB" w:rsidRPr="00286FAB" w:rsidRDefault="00286FAB" w:rsidP="00286FAB">
      <w:pPr>
        <w:rPr>
          <w:rFonts w:cs="Arial"/>
          <w:szCs w:val="22"/>
          <w:lang w:eastAsia="en-JM"/>
        </w:rPr>
      </w:pPr>
      <w:r w:rsidRPr="00286FAB">
        <w:rPr>
          <w:rFonts w:cs="Arial"/>
          <w:szCs w:val="22"/>
          <w:lang w:eastAsia="en-JM"/>
        </w:rPr>
        <w:t>Real-time operational coordination is indispensable for maintaining grid stability and enabling efficient cross-border trade. This involves establishing dedicated communication channels, such as operator hotlines, and creating robust frameworks for data and information sharing. Sharing operational data, such as dispatch schedules, interconnector capacity, and cross-border flow records, is critical for coordinated operations and market transparency. However, data sensitivity must also be managed carefully. While confidential information, such as infrastructure details and bilateral contracts, can remain protected, access to regionally relevant data must be ensured for stakeholders to participate effectively in trading. Publicly available data, such as historical power flows and average clearing prices, further enhance transparency and foster trust.</w:t>
      </w:r>
      <w:r>
        <w:rPr>
          <w:rFonts w:cs="Arial"/>
          <w:szCs w:val="22"/>
          <w:lang w:eastAsia="en-JM"/>
        </w:rPr>
        <w:t xml:space="preserve"> </w:t>
      </w:r>
      <w:r w:rsidRPr="00286FAB">
        <w:rPr>
          <w:rFonts w:cs="Arial"/>
          <w:szCs w:val="22"/>
          <w:lang w:eastAsia="en-JM"/>
        </w:rPr>
        <w:t>Joint emergency response and recovery protocols are another crucial component of harmonized grid codes. Grid operators from interconnected systems must collaborate on contingency planning to address potential disruptions. These protocols ensure rapid and coordinated responses to system failures, minimizing the impact of such events on regional stability.</w:t>
      </w:r>
    </w:p>
    <w:p w14:paraId="1CE65925" w14:textId="43366AFE" w:rsidR="00FE61BC" w:rsidRDefault="00286FAB" w:rsidP="00286FAB">
      <w:pPr>
        <w:rPr>
          <w:rFonts w:cs="Arial"/>
          <w:szCs w:val="22"/>
          <w:lang w:eastAsia="en-JM"/>
        </w:rPr>
      </w:pPr>
      <w:r w:rsidRPr="00286FAB">
        <w:rPr>
          <w:rFonts w:cs="Arial"/>
          <w:szCs w:val="22"/>
          <w:lang w:eastAsia="en-JM"/>
        </w:rPr>
        <w:t>Beyond the technical and operational aspects, harmonized grid codes play a strategic role in fostering trust among member</w:t>
      </w:r>
      <w:r w:rsidR="007710AB">
        <w:rPr>
          <w:rFonts w:cs="Arial"/>
          <w:szCs w:val="22"/>
          <w:lang w:eastAsia="en-JM"/>
        </w:rPr>
        <w:t xml:space="preserve"> countries</w:t>
      </w:r>
      <w:r w:rsidRPr="00286FAB">
        <w:rPr>
          <w:rFonts w:cs="Arial"/>
          <w:szCs w:val="22"/>
          <w:lang w:eastAsia="en-JM"/>
        </w:rPr>
        <w:t xml:space="preserve">. They provide a common framework that ensures equitable and reliable operations, strengthening collaboration and reducing uncertainties in cross-border trading. </w:t>
      </w:r>
      <w:r w:rsidR="006074F1">
        <w:rPr>
          <w:rFonts w:cs="Arial"/>
          <w:szCs w:val="22"/>
          <w:lang w:eastAsia="en-JM"/>
        </w:rPr>
        <w:t>Thus</w:t>
      </w:r>
      <w:r w:rsidRPr="00286FAB">
        <w:rPr>
          <w:rFonts w:cs="Arial"/>
          <w:szCs w:val="22"/>
          <w:lang w:eastAsia="en-JM"/>
        </w:rPr>
        <w:t xml:space="preserve">, the harmonization of grid codes is not merely a technical requirement but a strategic enabler for regional power market integration </w:t>
      </w:r>
      <w:r w:rsidR="00CF79B9">
        <w:rPr>
          <w:rFonts w:cs="Arial"/>
          <w:szCs w:val="22"/>
          <w:lang w:eastAsia="en-JM"/>
        </w:rPr>
        <w:t>wherein by</w:t>
      </w:r>
      <w:r w:rsidRPr="00286FAB">
        <w:rPr>
          <w:rFonts w:cs="Arial"/>
          <w:szCs w:val="22"/>
          <w:lang w:eastAsia="en-JM"/>
        </w:rPr>
        <w:t xml:space="preserve"> addressing compatibility challenges, enhancing coordination, and building trust, harmonized codes form the backbone of secure and efficient regional electricity trading. For the BBINS region, such harmonization will be instrumental in unlocking the full potential of cross-border energy cooperation, driving economic growth, and ensuring energy security for all participating nations.</w:t>
      </w:r>
    </w:p>
    <w:tbl>
      <w:tblPr>
        <w:tblStyle w:val="TableGrid"/>
        <w:tblW w:w="0" w:type="auto"/>
        <w:tblLook w:val="04A0" w:firstRow="1" w:lastRow="0" w:firstColumn="1" w:lastColumn="0" w:noHBand="0" w:noVBand="1"/>
      </w:tblPr>
      <w:tblGrid>
        <w:gridCol w:w="9350"/>
      </w:tblGrid>
      <w:tr w:rsidR="00487EC0" w14:paraId="0C64775A" w14:textId="77777777" w:rsidTr="00992BDE">
        <w:tc>
          <w:tcPr>
            <w:tcW w:w="9350" w:type="dxa"/>
            <w:shd w:val="clear" w:color="auto" w:fill="F2F2F2" w:themeFill="background1" w:themeFillShade="F2"/>
          </w:tcPr>
          <w:p w14:paraId="7C804A98" w14:textId="2D9F6BAD" w:rsidR="00487EC0" w:rsidRPr="00487EC0" w:rsidRDefault="00487EC0" w:rsidP="00992BDE">
            <w:pPr>
              <w:jc w:val="center"/>
              <w:rPr>
                <w:rFonts w:cs="Arial"/>
                <w:b/>
                <w:bCs/>
                <w:szCs w:val="22"/>
                <w:lang w:eastAsia="en-JM"/>
              </w:rPr>
            </w:pPr>
            <w:r w:rsidRPr="00487EC0">
              <w:rPr>
                <w:rFonts w:cs="Arial"/>
                <w:b/>
                <w:bCs/>
                <w:szCs w:val="22"/>
                <w:lang w:eastAsia="en-JM"/>
              </w:rPr>
              <w:t>Case Study</w:t>
            </w:r>
            <w:r>
              <w:rPr>
                <w:rFonts w:cs="Arial"/>
                <w:b/>
                <w:bCs/>
                <w:szCs w:val="22"/>
                <w:lang w:eastAsia="en-JM"/>
              </w:rPr>
              <w:t>: RPTCC</w:t>
            </w:r>
            <w:r w:rsidR="00992BDE">
              <w:rPr>
                <w:rStyle w:val="FootnoteReference"/>
                <w:b/>
                <w:bCs/>
                <w:szCs w:val="22"/>
                <w:lang w:eastAsia="en-JM"/>
              </w:rPr>
              <w:footnoteReference w:id="22"/>
            </w:r>
          </w:p>
          <w:p w14:paraId="7599126B" w14:textId="335B330E" w:rsidR="00487EC0" w:rsidRDefault="00487EC0" w:rsidP="00286FAB">
            <w:pPr>
              <w:rPr>
                <w:rFonts w:cs="Arial"/>
                <w:szCs w:val="22"/>
                <w:lang w:eastAsia="en-JM"/>
              </w:rPr>
            </w:pPr>
            <w:r w:rsidRPr="00487EC0">
              <w:rPr>
                <w:rFonts w:cs="Arial"/>
                <w:szCs w:val="22"/>
                <w:lang w:eastAsia="en-JM"/>
              </w:rPr>
              <w:t xml:space="preserve">The Regional Power Trade Coordination Committee (RPTCC), which manages regional power trade in the Greater Mekong Subregion undertook the development of a harmonized grid code with the support of the Asian Development Bank (ADB). This initiative aimed to align the national grid codes of the Greater Mekong Subregion (GMS) member countries. The harmonization process has successfully addressed various technical gaps, ensuring greater consistency and compatibility across the national grid codes. As a result, the member countries have now adopted the GMS grid code, </w:t>
            </w:r>
            <w:proofErr w:type="gramStart"/>
            <w:r w:rsidRPr="00487EC0">
              <w:rPr>
                <w:rFonts w:cs="Arial"/>
                <w:szCs w:val="22"/>
                <w:lang w:eastAsia="en-JM"/>
              </w:rPr>
              <w:t>fostering</w:t>
            </w:r>
            <w:proofErr w:type="gramEnd"/>
            <w:r w:rsidRPr="00487EC0">
              <w:rPr>
                <w:rFonts w:cs="Arial"/>
                <w:szCs w:val="22"/>
                <w:lang w:eastAsia="en-JM"/>
              </w:rPr>
              <w:t xml:space="preserve"> improved technical integration and facilitating smoother cross-border power trade within the region</w:t>
            </w:r>
          </w:p>
        </w:tc>
      </w:tr>
    </w:tbl>
    <w:p w14:paraId="02E44D30" w14:textId="77777777" w:rsidR="00487EC0" w:rsidRDefault="00487EC0" w:rsidP="00286FAB">
      <w:pPr>
        <w:rPr>
          <w:rFonts w:cs="Arial"/>
          <w:szCs w:val="22"/>
          <w:lang w:eastAsia="en-JM"/>
        </w:rPr>
      </w:pPr>
    </w:p>
    <w:p w14:paraId="4E086ADF" w14:textId="7F206910" w:rsidR="00FE61BC" w:rsidRPr="0019192F" w:rsidRDefault="00FE61BC" w:rsidP="00FE61BC">
      <w:pPr>
        <w:pStyle w:val="Heading3"/>
      </w:pPr>
      <w:r>
        <w:t>Harmonized wheeling charges</w:t>
      </w:r>
    </w:p>
    <w:p w14:paraId="42D53738" w14:textId="7A9B635C" w:rsidR="0014291D" w:rsidRPr="0014291D" w:rsidRDefault="00973227" w:rsidP="0014291D">
      <w:pPr>
        <w:rPr>
          <w:rFonts w:cs="Arial"/>
          <w:szCs w:val="22"/>
          <w:lang w:eastAsia="en-JM"/>
        </w:rPr>
      </w:pPr>
      <w:r>
        <w:rPr>
          <w:rFonts w:cs="Arial"/>
          <w:szCs w:val="22"/>
          <w:lang w:eastAsia="en-JM"/>
        </w:rPr>
        <w:t>As has been already established, h</w:t>
      </w:r>
      <w:r w:rsidR="0014291D" w:rsidRPr="0014291D">
        <w:rPr>
          <w:rFonts w:cs="Arial"/>
          <w:szCs w:val="22"/>
          <w:lang w:eastAsia="en-JM"/>
        </w:rPr>
        <w:t xml:space="preserve">armonizing technical standards is a critical aspect of establishing and operating a regional power exchange. Equally important is the agreement on the commercial terms for transmission services provided by wheeling (or transit) countries. Wheeling charges, which compensate the transmission owner for the service, must be clearly defined and </w:t>
      </w:r>
      <w:proofErr w:type="gramStart"/>
      <w:r w:rsidR="0014291D" w:rsidRPr="0014291D">
        <w:rPr>
          <w:rFonts w:cs="Arial"/>
          <w:szCs w:val="22"/>
          <w:lang w:eastAsia="en-JM"/>
        </w:rPr>
        <w:t>fairly structured</w:t>
      </w:r>
      <w:proofErr w:type="gramEnd"/>
      <w:r w:rsidR="0014291D" w:rsidRPr="0014291D">
        <w:rPr>
          <w:rFonts w:cs="Arial"/>
          <w:szCs w:val="22"/>
          <w:lang w:eastAsia="en-JM"/>
        </w:rPr>
        <w:t>. These charges should be paid by the transmission system user to the transmission owner responsible for providing the wheeling service. A relevant example can be found in the Lao PDR-Thailand-Malaysia-Singapore Power Integration Project (LTMS-PIP), where Lao PDR, as the generator, pays the wheeling charge to Malaysia, the wheeling country. Lao PDR then recovers the charge from Malaysia under the terms of their bilateral Power Purchase Agreement (PPA).</w:t>
      </w:r>
      <w:r w:rsidR="0014291D">
        <w:rPr>
          <w:rFonts w:cs="Arial"/>
          <w:szCs w:val="22"/>
          <w:lang w:eastAsia="en-JM"/>
        </w:rPr>
        <w:t xml:space="preserve"> </w:t>
      </w:r>
      <w:r w:rsidR="0014291D" w:rsidRPr="0014291D">
        <w:rPr>
          <w:rFonts w:cs="Arial"/>
          <w:szCs w:val="22"/>
          <w:lang w:eastAsia="en-JM"/>
        </w:rPr>
        <w:t>The wheeling charges should reflect the full costs incurred by the transmission owner in providing the necessary transmission infrastructure and services. These costs encompass fixed and variable expenses, including capital investment, asset depreciation, operational and maintenance costs, as well as any losses associated with the service. The structure of wheeling charges may vary across different regions, but it is crucial that the methodology considers the local circumstances of each member country. Specifically, the transmission charge framework should promote the optimal use of available infrastructure, ensuring efficient flow of electricity across borders.</w:t>
      </w:r>
      <w:r w:rsidR="0014291D">
        <w:rPr>
          <w:rFonts w:cs="Arial"/>
          <w:szCs w:val="22"/>
          <w:lang w:eastAsia="en-JM"/>
        </w:rPr>
        <w:t xml:space="preserve"> </w:t>
      </w:r>
      <w:r w:rsidR="0014291D" w:rsidRPr="0014291D">
        <w:rPr>
          <w:rFonts w:cs="Arial"/>
          <w:szCs w:val="22"/>
          <w:lang w:eastAsia="en-JM"/>
        </w:rPr>
        <w:t xml:space="preserve">In some instances, the internal transmission grid of a country may not be sufficiently developed to handle large quantities of wheeled power. In such cases, it is in the best interest of all parties to ensure that the country receives adequate compensation to incentivize the development of its infrastructure. This will help ensure that the transmission system can support the growing demand for cross-border electricity trade while encouraging investment in the necessary upgrades. Additionally, transmission owners should be provided with a reasonable return on </w:t>
      </w:r>
      <w:proofErr w:type="gramStart"/>
      <w:r w:rsidR="0014291D" w:rsidRPr="0014291D">
        <w:rPr>
          <w:rFonts w:cs="Arial"/>
          <w:szCs w:val="22"/>
          <w:lang w:eastAsia="en-JM"/>
        </w:rPr>
        <w:t>investment</w:t>
      </w:r>
      <w:proofErr w:type="gramEnd"/>
      <w:r w:rsidR="0014291D" w:rsidRPr="0014291D">
        <w:rPr>
          <w:rFonts w:cs="Arial"/>
          <w:szCs w:val="22"/>
          <w:lang w:eastAsia="en-JM"/>
        </w:rPr>
        <w:t>, particularly as the utilization of existing assets increases due to cross-border electricity flows.</w:t>
      </w:r>
    </w:p>
    <w:p w14:paraId="63CDF59C" w14:textId="77777777" w:rsidR="00A01FA6" w:rsidRDefault="0014291D" w:rsidP="00A01FA6">
      <w:pPr>
        <w:rPr>
          <w:rFonts w:cs="Arial"/>
          <w:szCs w:val="22"/>
          <w:lang w:eastAsia="en-JM"/>
        </w:rPr>
      </w:pPr>
      <w:r w:rsidRPr="0014291D">
        <w:rPr>
          <w:rFonts w:cs="Arial"/>
          <w:szCs w:val="22"/>
          <w:lang w:eastAsia="en-JM"/>
        </w:rPr>
        <w:t>The methodology for wheeling charges must also account for the varying technical capabilities and available resources of the transmission system operators (TSOs) in different member countries. This includes the differing levels of infrastructure development, technical expertise, and human resources. A one-size-fits-all approach may not be feasible, as each country may have unique challenges and requirements based on its specific grid conditions and capabilities.</w:t>
      </w:r>
      <w:r>
        <w:rPr>
          <w:rFonts w:cs="Arial"/>
          <w:szCs w:val="22"/>
          <w:lang w:eastAsia="en-JM"/>
        </w:rPr>
        <w:t xml:space="preserve"> </w:t>
      </w:r>
      <w:r w:rsidRPr="0014291D">
        <w:rPr>
          <w:rFonts w:cs="Arial"/>
          <w:szCs w:val="22"/>
          <w:lang w:eastAsia="en-JM"/>
        </w:rPr>
        <w:t>Therefore, when setting up a regional power exchange, it is essential to create a harmonized and flexible wheeling charge framework that encourages efficient power transmission while promoting infrastructure development and ensuring fair compensation for transmission service providers. A balanced approach will contribute to the long-term sustainability of the regional power market, ensuring that all parties are adequately incentivized to maintain and upgrade their transmission infrastructure, ultimately fostering a reliable and integrated electricity market.</w:t>
      </w:r>
      <w:r w:rsidR="00A01FA6">
        <w:rPr>
          <w:rFonts w:cs="Arial"/>
          <w:szCs w:val="22"/>
          <w:lang w:eastAsia="en-JM"/>
        </w:rPr>
        <w:t xml:space="preserve"> </w:t>
      </w:r>
    </w:p>
    <w:p w14:paraId="33F8BB03" w14:textId="54E156DB" w:rsidR="00FE61BC" w:rsidRDefault="00A01FA6" w:rsidP="00A01FA6">
      <w:pPr>
        <w:rPr>
          <w:rFonts w:cs="Arial"/>
          <w:szCs w:val="22"/>
          <w:lang w:eastAsia="en-JM"/>
        </w:rPr>
      </w:pPr>
      <w:r w:rsidRPr="00A01FA6">
        <w:rPr>
          <w:rFonts w:cs="Arial"/>
          <w:szCs w:val="22"/>
          <w:lang w:eastAsia="en-JM"/>
        </w:rPr>
        <w:t>A wheeling arrangement needs to consider both the physical and commercial aspects of</w:t>
      </w:r>
      <w:r>
        <w:rPr>
          <w:rFonts w:cs="Arial"/>
          <w:szCs w:val="22"/>
          <w:lang w:eastAsia="en-JM"/>
        </w:rPr>
        <w:t xml:space="preserve"> </w:t>
      </w:r>
      <w:r w:rsidRPr="00A01FA6">
        <w:rPr>
          <w:rFonts w:cs="Arial"/>
          <w:szCs w:val="22"/>
          <w:lang w:eastAsia="en-JM"/>
        </w:rPr>
        <w:t>transmission of power. Some of the key aspects that need to be considered in a basic</w:t>
      </w:r>
      <w:r>
        <w:rPr>
          <w:rFonts w:cs="Arial"/>
          <w:szCs w:val="22"/>
          <w:lang w:eastAsia="en-JM"/>
        </w:rPr>
        <w:t xml:space="preserve"> </w:t>
      </w:r>
      <w:r w:rsidRPr="00A01FA6">
        <w:rPr>
          <w:rFonts w:cs="Arial"/>
          <w:szCs w:val="22"/>
          <w:lang w:eastAsia="en-JM"/>
        </w:rPr>
        <w:t>arrangement can be summarized as follows:</w:t>
      </w:r>
    </w:p>
    <w:p w14:paraId="419300DD" w14:textId="14D1DDB5" w:rsidR="002F0F17" w:rsidRDefault="002F0F17" w:rsidP="002F0F17">
      <w:pPr>
        <w:pStyle w:val="Caption"/>
        <w:keepNext/>
      </w:pPr>
      <w:bookmarkStart w:id="117" w:name="_Toc185235915"/>
      <w:r w:rsidRPr="002F0F17">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13</w:t>
      </w:r>
      <w:r w:rsidR="0017404E">
        <w:rPr>
          <w:color w:val="auto"/>
        </w:rPr>
        <w:fldChar w:fldCharType="end"/>
      </w:r>
      <w:r w:rsidRPr="002F0F17">
        <w:rPr>
          <w:color w:val="auto"/>
        </w:rPr>
        <w:t>: Basic considerations for harmonization of wheeling charges</w:t>
      </w:r>
      <w:bookmarkEnd w:id="117"/>
    </w:p>
    <w:p w14:paraId="7D548F0A" w14:textId="77777777" w:rsidR="002F0F17" w:rsidRDefault="00F74559" w:rsidP="002F0F17">
      <w:pPr>
        <w:keepNext/>
        <w:spacing w:after="0"/>
      </w:pPr>
      <w:r>
        <w:rPr>
          <w:rFonts w:cs="Arial"/>
          <w:noProof/>
          <w:lang w:eastAsia="en-JM"/>
        </w:rPr>
        <w:drawing>
          <wp:inline distT="0" distB="0" distL="0" distR="0" wp14:anchorId="5273245F" wp14:editId="317B3A43">
            <wp:extent cx="5902325" cy="2318658"/>
            <wp:effectExtent l="19050" t="0" r="22225" b="5715"/>
            <wp:docPr id="63139425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762A8619" w14:textId="1C86D5D2" w:rsidR="00072F2A" w:rsidRDefault="00E522BB" w:rsidP="00A01FA6">
      <w:pPr>
        <w:rPr>
          <w:rFonts w:cs="Arial"/>
          <w:szCs w:val="22"/>
          <w:lang w:eastAsia="en-JM"/>
        </w:rPr>
      </w:pPr>
      <w:r w:rsidRPr="00C30573">
        <w:rPr>
          <w:rFonts w:cs="Arial"/>
          <w:szCs w:val="22"/>
          <w:lang w:eastAsia="en-JM"/>
        </w:rPr>
        <w:t>It is possible for this methodology to cover both long-term bilateral trading agreements and short-term trading.</w:t>
      </w:r>
    </w:p>
    <w:p w14:paraId="53355769" w14:textId="5F76E77E" w:rsidR="00C30573" w:rsidRDefault="00B5693D" w:rsidP="00A01FA6">
      <w:pPr>
        <w:rPr>
          <w:rFonts w:cs="Arial"/>
          <w:szCs w:val="22"/>
          <w:lang w:eastAsia="en-JM"/>
        </w:rPr>
      </w:pPr>
      <w:r w:rsidRPr="00B5693D">
        <w:rPr>
          <w:rFonts w:cs="Arial"/>
          <w:szCs w:val="22"/>
          <w:lang w:eastAsia="en-JM"/>
        </w:rPr>
        <w:t xml:space="preserve">Design parameters </w:t>
      </w:r>
      <w:r>
        <w:rPr>
          <w:rFonts w:cs="Arial"/>
          <w:szCs w:val="22"/>
          <w:lang w:eastAsia="en-JM"/>
        </w:rPr>
        <w:t xml:space="preserve">that may be </w:t>
      </w:r>
      <w:proofErr w:type="gramStart"/>
      <w:r>
        <w:rPr>
          <w:rFonts w:cs="Arial"/>
          <w:szCs w:val="22"/>
          <w:lang w:eastAsia="en-JM"/>
        </w:rPr>
        <w:t>taken into account</w:t>
      </w:r>
      <w:proofErr w:type="gramEnd"/>
      <w:r>
        <w:rPr>
          <w:rFonts w:cs="Arial"/>
          <w:szCs w:val="22"/>
          <w:lang w:eastAsia="en-JM"/>
        </w:rPr>
        <w:t xml:space="preserve"> </w:t>
      </w:r>
      <w:r w:rsidRPr="00B5693D">
        <w:rPr>
          <w:rFonts w:cs="Arial"/>
          <w:szCs w:val="22"/>
          <w:lang w:eastAsia="en-JM"/>
        </w:rPr>
        <w:t>for developing appropriate wheeling methodology</w:t>
      </w:r>
      <w:r>
        <w:rPr>
          <w:rFonts w:cs="Arial"/>
          <w:szCs w:val="22"/>
          <w:lang w:eastAsia="en-JM"/>
        </w:rPr>
        <w:t xml:space="preserve"> are as follows:</w:t>
      </w:r>
    </w:p>
    <w:p w14:paraId="7CA00A08" w14:textId="4BB67780" w:rsidR="00C30573" w:rsidRDefault="00356F7E" w:rsidP="008E21FA">
      <w:pPr>
        <w:pStyle w:val="ListParagraph"/>
        <w:numPr>
          <w:ilvl w:val="0"/>
          <w:numId w:val="22"/>
        </w:numPr>
        <w:rPr>
          <w:rFonts w:cs="Arial"/>
          <w:lang w:eastAsia="en-JM"/>
        </w:rPr>
      </w:pPr>
      <w:r w:rsidRPr="00AC3C67">
        <w:rPr>
          <w:rFonts w:cs="Arial"/>
          <w:b/>
          <w:bCs/>
          <w:lang w:eastAsia="en-JM"/>
        </w:rPr>
        <w:t>Complexity level:</w:t>
      </w:r>
      <w:r>
        <w:rPr>
          <w:rFonts w:cs="Arial"/>
          <w:lang w:eastAsia="en-JM"/>
        </w:rPr>
        <w:t xml:space="preserve"> </w:t>
      </w:r>
      <w:r w:rsidRPr="00356F7E">
        <w:rPr>
          <w:rFonts w:cs="Arial"/>
          <w:lang w:eastAsia="en-JM"/>
        </w:rPr>
        <w:t>As a starting point, the methodology should be simple to use and agreed upon (e.g. one with a minimum level of required harmonization and implementation effort). It is possible to develop more detailed/advanced methods at a future stage.</w:t>
      </w:r>
    </w:p>
    <w:p w14:paraId="27505AAF" w14:textId="6819A4EF" w:rsidR="00356F7E" w:rsidRDefault="00356F7E" w:rsidP="008E21FA">
      <w:pPr>
        <w:pStyle w:val="ListParagraph"/>
        <w:numPr>
          <w:ilvl w:val="0"/>
          <w:numId w:val="22"/>
        </w:numPr>
        <w:rPr>
          <w:rFonts w:cs="Arial"/>
          <w:lang w:eastAsia="en-JM"/>
        </w:rPr>
      </w:pPr>
      <w:r w:rsidRPr="00AC3C67">
        <w:rPr>
          <w:rFonts w:cs="Arial"/>
          <w:b/>
          <w:bCs/>
          <w:lang w:eastAsia="en-JM"/>
        </w:rPr>
        <w:t>Reflective of the cost of grid use:</w:t>
      </w:r>
      <w:r>
        <w:rPr>
          <w:rFonts w:cs="Arial"/>
          <w:lang w:eastAsia="en-JM"/>
        </w:rPr>
        <w:t xml:space="preserve"> </w:t>
      </w:r>
      <w:r w:rsidRPr="00356F7E">
        <w:rPr>
          <w:rFonts w:cs="Arial"/>
          <w:lang w:eastAsia="en-JM"/>
        </w:rPr>
        <w:t>The wheeling charges could follow general rules that approximately reflect actual grid costs, or they could reflect the actual effect each trade has on the relevant parts of the transmission system’s infrastructure. The latter methodology is more accurate from a system perspective, but also more complex to implement.</w:t>
      </w:r>
    </w:p>
    <w:p w14:paraId="640D14DA" w14:textId="3C8F6145" w:rsidR="00356F7E" w:rsidRDefault="00FF4E05" w:rsidP="008E21FA">
      <w:pPr>
        <w:pStyle w:val="ListParagraph"/>
        <w:numPr>
          <w:ilvl w:val="0"/>
          <w:numId w:val="22"/>
        </w:numPr>
        <w:rPr>
          <w:rFonts w:cs="Arial"/>
          <w:lang w:eastAsia="en-JM"/>
        </w:rPr>
      </w:pPr>
      <w:r w:rsidRPr="00AC3C67">
        <w:rPr>
          <w:rFonts w:cs="Arial"/>
          <w:b/>
          <w:bCs/>
          <w:lang w:eastAsia="en-JM"/>
        </w:rPr>
        <w:t>Cost recovery:</w:t>
      </w:r>
      <w:r>
        <w:rPr>
          <w:rFonts w:cs="Arial"/>
          <w:lang w:eastAsia="en-JM"/>
        </w:rPr>
        <w:t xml:space="preserve"> </w:t>
      </w:r>
      <w:proofErr w:type="gramStart"/>
      <w:r w:rsidRPr="00FF4E05">
        <w:rPr>
          <w:rFonts w:cs="Arial"/>
          <w:lang w:eastAsia="en-JM"/>
        </w:rPr>
        <w:t>As a general rule</w:t>
      </w:r>
      <w:proofErr w:type="gramEnd"/>
      <w:r w:rsidRPr="00FF4E05">
        <w:rPr>
          <w:rFonts w:cs="Arial"/>
          <w:lang w:eastAsia="en-JM"/>
        </w:rPr>
        <w:t>, wheeling charges should seek to cover the fixed and variable costs of providing the transmission services, including a reasonable rate of return for the transmission owners.</w:t>
      </w:r>
    </w:p>
    <w:p w14:paraId="2928B7C0" w14:textId="2590CEC7" w:rsidR="00FF4E05" w:rsidRDefault="00FF4E05" w:rsidP="008E21FA">
      <w:pPr>
        <w:pStyle w:val="ListParagraph"/>
        <w:numPr>
          <w:ilvl w:val="0"/>
          <w:numId w:val="22"/>
        </w:numPr>
        <w:rPr>
          <w:rFonts w:cs="Arial"/>
          <w:lang w:eastAsia="en-JM"/>
        </w:rPr>
      </w:pPr>
      <w:r w:rsidRPr="00AC3C67">
        <w:rPr>
          <w:rFonts w:cs="Arial"/>
          <w:b/>
          <w:bCs/>
          <w:lang w:eastAsia="en-JM"/>
        </w:rPr>
        <w:t>Wheeling price certainty:</w:t>
      </w:r>
      <w:r>
        <w:rPr>
          <w:rFonts w:cs="Arial"/>
          <w:lang w:eastAsia="en-JM"/>
        </w:rPr>
        <w:t xml:space="preserve"> </w:t>
      </w:r>
      <w:r w:rsidRPr="00FF4E05">
        <w:rPr>
          <w:rFonts w:cs="Arial"/>
          <w:lang w:eastAsia="en-JM"/>
        </w:rPr>
        <w:t>Price stability is important from the perspective of investors and other stakeholders seeking to develop generation or transmission projects. However, this should not preclude changes to the wheeling methodology over time.</w:t>
      </w:r>
    </w:p>
    <w:p w14:paraId="65EDFA86" w14:textId="55453827" w:rsidR="00FF4E05" w:rsidRDefault="00FF4E05" w:rsidP="008E21FA">
      <w:pPr>
        <w:pStyle w:val="ListParagraph"/>
        <w:numPr>
          <w:ilvl w:val="0"/>
          <w:numId w:val="22"/>
        </w:numPr>
        <w:rPr>
          <w:rFonts w:cs="Arial"/>
          <w:lang w:eastAsia="en-JM"/>
        </w:rPr>
      </w:pPr>
      <w:r w:rsidRPr="00AC3C67">
        <w:rPr>
          <w:rFonts w:cs="Arial"/>
          <w:b/>
          <w:bCs/>
          <w:lang w:eastAsia="en-JM"/>
        </w:rPr>
        <w:t>Transparency:</w:t>
      </w:r>
      <w:r w:rsidR="00CC24BF" w:rsidRPr="00CC24BF">
        <w:t xml:space="preserve"> </w:t>
      </w:r>
      <w:r w:rsidR="00CC24BF" w:rsidRPr="00CC24BF">
        <w:rPr>
          <w:rFonts w:cs="Arial"/>
          <w:lang w:eastAsia="en-JM"/>
        </w:rPr>
        <w:t xml:space="preserve">A transparent methodology should be </w:t>
      </w:r>
      <w:proofErr w:type="spellStart"/>
      <w:r w:rsidR="00CC24BF" w:rsidRPr="00CC24BF">
        <w:rPr>
          <w:rFonts w:cs="Arial"/>
          <w:lang w:eastAsia="en-JM"/>
        </w:rPr>
        <w:t>favoured</w:t>
      </w:r>
      <w:proofErr w:type="spellEnd"/>
      <w:r w:rsidR="00CC24BF" w:rsidRPr="00CC24BF">
        <w:rPr>
          <w:rFonts w:cs="Arial"/>
          <w:lang w:eastAsia="en-JM"/>
        </w:rPr>
        <w:t xml:space="preserve">, as </w:t>
      </w:r>
      <w:proofErr w:type="gramStart"/>
      <w:r w:rsidR="00CC24BF" w:rsidRPr="00CC24BF">
        <w:rPr>
          <w:rFonts w:cs="Arial"/>
          <w:lang w:eastAsia="en-JM"/>
        </w:rPr>
        <w:t>this builds</w:t>
      </w:r>
      <w:proofErr w:type="gramEnd"/>
      <w:r w:rsidR="00CC24BF" w:rsidRPr="00CC24BF">
        <w:rPr>
          <w:rFonts w:cs="Arial"/>
          <w:lang w:eastAsia="en-JM"/>
        </w:rPr>
        <w:t xml:space="preserve"> trust among relevant stakeholders. Transparent in this context refers both to the development of the methodology itself (including any future changes), which should be done in an open, inclusive manner, and to the determination of the wheeling charges themselves.</w:t>
      </w:r>
    </w:p>
    <w:p w14:paraId="30616FFB" w14:textId="5900E1C4" w:rsidR="00FF4E05" w:rsidRDefault="00CC24BF" w:rsidP="008E21FA">
      <w:pPr>
        <w:pStyle w:val="ListParagraph"/>
        <w:numPr>
          <w:ilvl w:val="0"/>
          <w:numId w:val="22"/>
        </w:numPr>
        <w:rPr>
          <w:rFonts w:cs="Arial"/>
          <w:lang w:eastAsia="en-JM"/>
        </w:rPr>
      </w:pPr>
      <w:r w:rsidRPr="00AC3C67">
        <w:rPr>
          <w:rFonts w:cs="Arial"/>
          <w:b/>
          <w:bCs/>
          <w:lang w:eastAsia="en-JM"/>
        </w:rPr>
        <w:t>Loss handling:</w:t>
      </w:r>
      <w:r>
        <w:rPr>
          <w:rFonts w:cs="Arial"/>
          <w:lang w:eastAsia="en-JM"/>
        </w:rPr>
        <w:t xml:space="preserve"> </w:t>
      </w:r>
      <w:r w:rsidRPr="00CC24BF">
        <w:rPr>
          <w:rFonts w:cs="Arial"/>
          <w:lang w:eastAsia="en-JM"/>
        </w:rPr>
        <w:t xml:space="preserve">Each trade wheeled through a transmission system will see losses. Only losses directly related to </w:t>
      </w:r>
      <w:proofErr w:type="gramStart"/>
      <w:r w:rsidRPr="00CC24BF">
        <w:rPr>
          <w:rFonts w:cs="Arial"/>
          <w:lang w:eastAsia="en-JM"/>
        </w:rPr>
        <w:t>the wheeled</w:t>
      </w:r>
      <w:proofErr w:type="gramEnd"/>
      <w:r w:rsidRPr="00CC24BF">
        <w:rPr>
          <w:rFonts w:cs="Arial"/>
          <w:lang w:eastAsia="en-JM"/>
        </w:rPr>
        <w:t xml:space="preserve"> power should generally be covered by the methodology. It may be worth developing a methodology that incentivizes TSOs to minimize their losses, but this is not necessary as a first step.</w:t>
      </w:r>
    </w:p>
    <w:p w14:paraId="6C280B5B" w14:textId="38BC6993" w:rsidR="00CC24BF" w:rsidRDefault="00CC24BF" w:rsidP="008E21FA">
      <w:pPr>
        <w:pStyle w:val="ListParagraph"/>
        <w:numPr>
          <w:ilvl w:val="0"/>
          <w:numId w:val="22"/>
        </w:numPr>
        <w:rPr>
          <w:rFonts w:cs="Arial"/>
          <w:lang w:eastAsia="en-JM"/>
        </w:rPr>
      </w:pPr>
      <w:r w:rsidRPr="00AC3C67">
        <w:rPr>
          <w:rFonts w:cs="Arial"/>
          <w:b/>
          <w:bCs/>
          <w:lang w:eastAsia="en-JM"/>
        </w:rPr>
        <w:t>Non-discriminatory practices:</w:t>
      </w:r>
      <w:r>
        <w:rPr>
          <w:rFonts w:cs="Arial"/>
          <w:lang w:eastAsia="en-JM"/>
        </w:rPr>
        <w:t xml:space="preserve"> </w:t>
      </w:r>
      <w:r w:rsidRPr="00CC24BF">
        <w:rPr>
          <w:rFonts w:cs="Arial"/>
          <w:lang w:eastAsia="en-JM"/>
        </w:rPr>
        <w:t xml:space="preserve">All involved parties should have the same rights and obligations in the regional market. This is partly covered by the third-party agreements </w:t>
      </w:r>
      <w:proofErr w:type="gramStart"/>
      <w:r w:rsidRPr="00CC24BF">
        <w:rPr>
          <w:rFonts w:cs="Arial"/>
          <w:lang w:eastAsia="en-JM"/>
        </w:rPr>
        <w:t>package</w:t>
      </w:r>
      <w:proofErr w:type="gramEnd"/>
      <w:r w:rsidRPr="00CC24BF">
        <w:rPr>
          <w:rFonts w:cs="Arial"/>
          <w:lang w:eastAsia="en-JM"/>
        </w:rPr>
        <w:t xml:space="preserve"> but it is worth reviewing for the wheeling charges, too.</w:t>
      </w:r>
    </w:p>
    <w:p w14:paraId="1CE0F522" w14:textId="2921E68A" w:rsidR="00CC24BF" w:rsidRDefault="00CC24BF" w:rsidP="008E21FA">
      <w:pPr>
        <w:pStyle w:val="ListParagraph"/>
        <w:numPr>
          <w:ilvl w:val="0"/>
          <w:numId w:val="22"/>
        </w:numPr>
        <w:rPr>
          <w:rFonts w:cs="Arial"/>
          <w:lang w:eastAsia="en-JM"/>
        </w:rPr>
      </w:pPr>
      <w:r w:rsidRPr="00AC3C67">
        <w:rPr>
          <w:rFonts w:cs="Arial"/>
          <w:b/>
          <w:bCs/>
          <w:lang w:eastAsia="en-JM"/>
        </w:rPr>
        <w:t>Decentralized versus centralized management of charge collection and distribution:</w:t>
      </w:r>
      <w:r>
        <w:rPr>
          <w:rFonts w:cs="Arial"/>
          <w:lang w:eastAsia="en-JM"/>
        </w:rPr>
        <w:t xml:space="preserve"> </w:t>
      </w:r>
      <w:r w:rsidR="00D12E7D" w:rsidRPr="00D12E7D">
        <w:rPr>
          <w:rFonts w:cs="Arial"/>
          <w:lang w:eastAsia="en-JM"/>
        </w:rPr>
        <w:t>As a starting point, market participants should pay the wheeling charge directly to the relevant transmission owner (that is, in a decentralized manner). In the future, collection and distribution of these charges could be managed by a centralized institution.</w:t>
      </w:r>
    </w:p>
    <w:p w14:paraId="254D9003" w14:textId="356AD6B5" w:rsidR="00D12E7D" w:rsidRPr="00AC3C67" w:rsidRDefault="00D12E7D" w:rsidP="008E21FA">
      <w:pPr>
        <w:pStyle w:val="ListParagraph"/>
        <w:numPr>
          <w:ilvl w:val="0"/>
          <w:numId w:val="22"/>
        </w:numPr>
        <w:rPr>
          <w:rFonts w:cs="Arial"/>
          <w:lang w:eastAsia="en-JM"/>
        </w:rPr>
      </w:pPr>
      <w:r w:rsidRPr="00AC3C67">
        <w:rPr>
          <w:rFonts w:cs="Arial"/>
          <w:b/>
          <w:bCs/>
          <w:lang w:eastAsia="en-JM"/>
        </w:rPr>
        <w:t>Possibility for a methodology applicable to both international and domestic transmission services:</w:t>
      </w:r>
      <w:r>
        <w:rPr>
          <w:rFonts w:cs="Arial"/>
          <w:lang w:eastAsia="en-JM"/>
        </w:rPr>
        <w:t xml:space="preserve"> </w:t>
      </w:r>
      <w:r w:rsidRPr="00D12E7D">
        <w:rPr>
          <w:rFonts w:cs="Arial"/>
          <w:lang w:eastAsia="en-JM"/>
        </w:rPr>
        <w:t>It is possible for a wheeling charge methodology to also be used to determine domestic transmission charges. This is not a requirement, but some countries may find it beneficial, and so it should at least be discussed at an early stage.</w:t>
      </w:r>
    </w:p>
    <w:p w14:paraId="39B79A0C" w14:textId="25698D00" w:rsidR="007630CA" w:rsidRDefault="007630CA" w:rsidP="007630CA">
      <w:pPr>
        <w:rPr>
          <w:rFonts w:cs="Arial"/>
          <w:szCs w:val="22"/>
          <w:lang w:eastAsia="en-JM"/>
        </w:rPr>
      </w:pPr>
      <w:r w:rsidRPr="007630CA">
        <w:rPr>
          <w:rFonts w:cs="Arial"/>
          <w:szCs w:val="22"/>
          <w:lang w:eastAsia="en-JM"/>
        </w:rPr>
        <w:t>The stability of wheeling charges is a critical factor in facilitating predictable costs for potential investors in new generation and transmission projects. A stable wheeling charge methodology ensures confidence among stakeholders and supports the long-term viability of regional power trading frameworks. However, the wheeling charge methodologies adopted by member countries should retain the flexibility to evolve over time. For instance, advanced methodologies that calculate charges based on the actual impact of a trade on the transmission system using load flow analysis to determine specific costs, can be introduced at a later stage. While this approach provides greater accuracy in reflecting the cost of transmission services, it is complex and may not be suitable as an initial model for regions like BBINS. In the near term, minimal harmonization of wheeling methodologies across BBINS may suffice to enable trading. Although regional harmonization simplifies multilateral trading, it is not an immediate prerequisite. The primary focus should be on ensuring that the methodology is transparent in both its development and application.</w:t>
      </w:r>
      <w:r w:rsidR="00C80E12">
        <w:rPr>
          <w:rFonts w:cs="Arial"/>
          <w:szCs w:val="22"/>
          <w:lang w:eastAsia="en-JM"/>
        </w:rPr>
        <w:t xml:space="preserve"> </w:t>
      </w:r>
      <w:r w:rsidRPr="007630CA">
        <w:rPr>
          <w:rFonts w:cs="Arial"/>
          <w:szCs w:val="22"/>
          <w:lang w:eastAsia="en-JM"/>
        </w:rPr>
        <w:t>A practical alternative is to allow for country-specific wheeling methodologies, with clear communication to all stakeholders regarding the applicable methodology in each jurisdiction. Under this approach, wheeling charges can be paid directly to the respective national transmission system operators (TSOs). If a regional institution is established in the future, it could take on the responsibility of calculating, collecting, and distributing wheeling charges</w:t>
      </w:r>
      <w:r w:rsidR="006D276E">
        <w:rPr>
          <w:rFonts w:cs="Arial"/>
          <w:szCs w:val="22"/>
          <w:lang w:eastAsia="en-JM"/>
        </w:rPr>
        <w:t xml:space="preserve"> thus </w:t>
      </w:r>
      <w:r w:rsidR="00C80E12">
        <w:rPr>
          <w:rFonts w:cs="Arial"/>
          <w:szCs w:val="22"/>
          <w:lang w:eastAsia="en-JM"/>
        </w:rPr>
        <w:t>making case for formation of</w:t>
      </w:r>
      <w:r w:rsidRPr="007630CA">
        <w:rPr>
          <w:rFonts w:cs="Arial"/>
          <w:szCs w:val="22"/>
          <w:lang w:eastAsia="en-JM"/>
        </w:rPr>
        <w:t xml:space="preserve"> </w:t>
      </w:r>
      <w:r w:rsidR="00C80E12">
        <w:rPr>
          <w:rFonts w:cs="Arial"/>
          <w:szCs w:val="22"/>
          <w:lang w:eastAsia="en-JM"/>
        </w:rPr>
        <w:t xml:space="preserve">necessary </w:t>
      </w:r>
      <w:r w:rsidRPr="007630CA">
        <w:rPr>
          <w:rFonts w:cs="Arial"/>
          <w:szCs w:val="22"/>
          <w:lang w:eastAsia="en-JM"/>
        </w:rPr>
        <w:t xml:space="preserve">institutional framework for </w:t>
      </w:r>
      <w:r w:rsidR="00C80E12">
        <w:rPr>
          <w:rFonts w:cs="Arial"/>
          <w:szCs w:val="22"/>
          <w:lang w:eastAsia="en-JM"/>
        </w:rPr>
        <w:t>facilitating</w:t>
      </w:r>
      <w:r w:rsidRPr="007630CA">
        <w:rPr>
          <w:rFonts w:cs="Arial"/>
          <w:szCs w:val="22"/>
          <w:lang w:eastAsia="en-JM"/>
        </w:rPr>
        <w:t xml:space="preserve"> cross-border power trading.</w:t>
      </w:r>
    </w:p>
    <w:p w14:paraId="529446FD" w14:textId="1D7445FB" w:rsidR="00C80E12" w:rsidRDefault="00C80E12" w:rsidP="007630CA">
      <w:pPr>
        <w:rPr>
          <w:rFonts w:cs="Arial"/>
          <w:szCs w:val="22"/>
          <w:lang w:eastAsia="en-JM"/>
        </w:rPr>
      </w:pPr>
      <w:r w:rsidRPr="007630CA">
        <w:rPr>
          <w:rFonts w:cs="Arial"/>
          <w:szCs w:val="22"/>
          <w:lang w:eastAsia="en-JM"/>
        </w:rPr>
        <w:t>Wheeling charge methodologies also play a pivotal role in incentivizing transmission owners to provide capacity for multilateral trading by establishing predictable compensation mechanisms. Over time, these methodologies can be refined to become more sophisticated or harmonized, in line with evolving market models. Changes in market dynamics may necessitate corresponding adjustments to how transmission owners are compensated, ensuring alignment with regional power exchange objectives and the equitable sharing of costs and benefits.</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8041FA" w14:paraId="23BCF1A0" w14:textId="77777777" w:rsidTr="00A72850">
        <w:tc>
          <w:tcPr>
            <w:tcW w:w="9350" w:type="dxa"/>
            <w:shd w:val="clear" w:color="auto" w:fill="F2F2F2" w:themeFill="background1" w:themeFillShade="F2"/>
          </w:tcPr>
          <w:p w14:paraId="1FEA9BCF" w14:textId="10467EB0" w:rsidR="008041FA" w:rsidRPr="00A72850" w:rsidRDefault="008041FA" w:rsidP="00A72850">
            <w:pPr>
              <w:jc w:val="center"/>
              <w:rPr>
                <w:rFonts w:cs="Arial"/>
                <w:b/>
                <w:bCs/>
                <w:szCs w:val="22"/>
                <w:lang w:eastAsia="en-JM"/>
              </w:rPr>
            </w:pPr>
            <w:r w:rsidRPr="00A72850">
              <w:rPr>
                <w:rFonts w:cs="Arial"/>
                <w:b/>
                <w:bCs/>
                <w:szCs w:val="22"/>
                <w:lang w:eastAsia="en-JM"/>
              </w:rPr>
              <w:t>Case Study</w:t>
            </w:r>
            <w:r w:rsidR="00CA05CF">
              <w:rPr>
                <w:rStyle w:val="FootnoteReference"/>
                <w:b/>
                <w:bCs/>
                <w:szCs w:val="22"/>
                <w:lang w:eastAsia="en-JM"/>
              </w:rPr>
              <w:footnoteReference w:id="23"/>
            </w:r>
          </w:p>
          <w:p w14:paraId="72918D0E" w14:textId="5F52BCD8" w:rsidR="00552973" w:rsidRPr="00552973" w:rsidRDefault="00552973" w:rsidP="00552973">
            <w:pPr>
              <w:rPr>
                <w:rFonts w:cs="Arial"/>
                <w:szCs w:val="22"/>
                <w:lang w:eastAsia="en-JM"/>
              </w:rPr>
            </w:pPr>
            <w:r w:rsidRPr="00552973">
              <w:rPr>
                <w:rFonts w:cs="Arial"/>
                <w:szCs w:val="22"/>
                <w:lang w:eastAsia="en-JM"/>
              </w:rPr>
              <w:t xml:space="preserve">Energy Purchase and Wheeling Agreement (EPWA) was signed by </w:t>
            </w:r>
            <w:proofErr w:type="spellStart"/>
            <w:r w:rsidRPr="00552973">
              <w:rPr>
                <w:rFonts w:cs="Arial"/>
                <w:szCs w:val="22"/>
                <w:lang w:eastAsia="en-JM"/>
              </w:rPr>
              <w:t>Electricite</w:t>
            </w:r>
            <w:proofErr w:type="spellEnd"/>
            <w:r w:rsidRPr="00552973">
              <w:rPr>
                <w:rFonts w:cs="Arial"/>
                <w:szCs w:val="22"/>
                <w:lang w:eastAsia="en-JM"/>
              </w:rPr>
              <w:t xml:space="preserve"> du Laos (EDL), Electricity Generating Authority of Thailand (EGAT) and TNB (Tenaga Nasional </w:t>
            </w:r>
            <w:proofErr w:type="spellStart"/>
            <w:r w:rsidRPr="00552973">
              <w:rPr>
                <w:rFonts w:cs="Arial"/>
                <w:szCs w:val="22"/>
                <w:lang w:eastAsia="en-JM"/>
              </w:rPr>
              <w:t>Bhd</w:t>
            </w:r>
            <w:proofErr w:type="spellEnd"/>
            <w:r w:rsidRPr="00552973">
              <w:rPr>
                <w:rFonts w:cs="Arial"/>
                <w:szCs w:val="22"/>
                <w:lang w:eastAsia="en-JM"/>
              </w:rPr>
              <w:t>) of Malaysia at the 35</w:t>
            </w:r>
            <w:r w:rsidRPr="00552973">
              <w:rPr>
                <w:rFonts w:cs="Arial"/>
                <w:szCs w:val="22"/>
                <w:vertAlign w:val="superscript"/>
                <w:lang w:eastAsia="en-JM"/>
              </w:rPr>
              <w:t>th</w:t>
            </w:r>
            <w:r>
              <w:rPr>
                <w:rFonts w:cs="Arial"/>
                <w:szCs w:val="22"/>
                <w:lang w:eastAsia="en-JM"/>
              </w:rPr>
              <w:t xml:space="preserve"> </w:t>
            </w:r>
            <w:r w:rsidRPr="00552973">
              <w:rPr>
                <w:rFonts w:cs="Arial"/>
                <w:szCs w:val="22"/>
                <w:lang w:eastAsia="en-JM"/>
              </w:rPr>
              <w:t xml:space="preserve">AMEM held in Manila in September 2017, for implementation of Phase 165. The EPWA </w:t>
            </w:r>
            <w:r w:rsidR="00EE4813">
              <w:rPr>
                <w:rFonts w:cs="Arial"/>
                <w:szCs w:val="22"/>
                <w:lang w:eastAsia="en-JM"/>
              </w:rPr>
              <w:t xml:space="preserve">would </w:t>
            </w:r>
            <w:r w:rsidRPr="00552973">
              <w:rPr>
                <w:rFonts w:cs="Arial"/>
                <w:szCs w:val="22"/>
                <w:lang w:eastAsia="en-JM"/>
              </w:rPr>
              <w:t>govern the</w:t>
            </w:r>
            <w:r>
              <w:rPr>
                <w:rFonts w:cs="Arial"/>
                <w:szCs w:val="22"/>
                <w:lang w:eastAsia="en-JM"/>
              </w:rPr>
              <w:t xml:space="preserve"> </w:t>
            </w:r>
            <w:r w:rsidRPr="00552973">
              <w:rPr>
                <w:rFonts w:cs="Arial"/>
                <w:szCs w:val="22"/>
                <w:lang w:eastAsia="en-JM"/>
              </w:rPr>
              <w:t xml:space="preserve">obligations of the parties in the selling, wheeling and purchase of energy in the project. The duration of these contracts </w:t>
            </w:r>
            <w:r w:rsidR="00EE4813">
              <w:rPr>
                <w:rFonts w:cs="Arial"/>
                <w:szCs w:val="22"/>
                <w:lang w:eastAsia="en-JM"/>
              </w:rPr>
              <w:t>was</w:t>
            </w:r>
            <w:r w:rsidRPr="00552973">
              <w:rPr>
                <w:rFonts w:cs="Arial"/>
                <w:szCs w:val="22"/>
                <w:lang w:eastAsia="en-JM"/>
              </w:rPr>
              <w:t xml:space="preserve"> two years and </w:t>
            </w:r>
            <w:r w:rsidR="00EE4813">
              <w:rPr>
                <w:rFonts w:cs="Arial"/>
                <w:szCs w:val="22"/>
                <w:lang w:eastAsia="en-JM"/>
              </w:rPr>
              <w:t>can be renewed</w:t>
            </w:r>
            <w:r w:rsidRPr="00552973">
              <w:rPr>
                <w:rFonts w:cs="Arial"/>
                <w:szCs w:val="22"/>
                <w:lang w:eastAsia="en-JM"/>
              </w:rPr>
              <w:t>. The agreement is flexible, in the sense that in case of excess power, it can be sent back to Thailand. It includes three components – commercial, technical and wheeling charge. The EPWA covers the following key aspects of the LTMS-PIP:</w:t>
            </w:r>
          </w:p>
          <w:p w14:paraId="54DD513D" w14:textId="51A4ED28" w:rsidR="00552973" w:rsidRPr="00EE4813" w:rsidRDefault="00552973" w:rsidP="008E21FA">
            <w:pPr>
              <w:pStyle w:val="ListParagraph"/>
              <w:numPr>
                <w:ilvl w:val="0"/>
                <w:numId w:val="24"/>
              </w:numPr>
              <w:ind w:left="337"/>
              <w:rPr>
                <w:rFonts w:cs="Arial"/>
                <w:lang w:eastAsia="en-JM"/>
              </w:rPr>
            </w:pPr>
            <w:r w:rsidRPr="00EE4813">
              <w:rPr>
                <w:rFonts w:cs="Arial"/>
                <w:lang w:eastAsia="en-JM"/>
              </w:rPr>
              <w:t>Energy payments from TNB (Malaysia) to EDL (Laos)</w:t>
            </w:r>
          </w:p>
          <w:p w14:paraId="2CB9E061" w14:textId="5A0B9803" w:rsidR="00552973" w:rsidRPr="00EE4813" w:rsidRDefault="00552973" w:rsidP="008E21FA">
            <w:pPr>
              <w:pStyle w:val="ListParagraph"/>
              <w:numPr>
                <w:ilvl w:val="0"/>
                <w:numId w:val="24"/>
              </w:numPr>
              <w:ind w:left="337"/>
              <w:rPr>
                <w:rFonts w:cs="Arial"/>
                <w:lang w:eastAsia="en-JM"/>
              </w:rPr>
            </w:pPr>
            <w:r w:rsidRPr="00EE4813">
              <w:rPr>
                <w:rFonts w:cs="Arial"/>
                <w:lang w:eastAsia="en-JM"/>
              </w:rPr>
              <w:t>Wheeling charge payments from EDL (Laos) to EGAT (Thailand). These are payments made by the energy seller to the wheeling service provider only.</w:t>
            </w:r>
          </w:p>
          <w:p w14:paraId="07FD83FB" w14:textId="71E1AE18" w:rsidR="008041FA" w:rsidRPr="00EE4813" w:rsidRDefault="00552973" w:rsidP="008E21FA">
            <w:pPr>
              <w:pStyle w:val="ListParagraph"/>
              <w:numPr>
                <w:ilvl w:val="0"/>
                <w:numId w:val="24"/>
              </w:numPr>
              <w:ind w:left="337"/>
              <w:rPr>
                <w:rFonts w:cs="Arial"/>
                <w:lang w:eastAsia="en-JM"/>
              </w:rPr>
            </w:pPr>
            <w:r w:rsidRPr="00EE4813">
              <w:rPr>
                <w:rFonts w:cs="Arial"/>
                <w:lang w:eastAsia="en-JM"/>
              </w:rPr>
              <w:t>Transit Charges</w:t>
            </w:r>
          </w:p>
        </w:tc>
      </w:tr>
    </w:tbl>
    <w:p w14:paraId="0A7912FE" w14:textId="77777777" w:rsidR="008041FA" w:rsidRPr="007630CA" w:rsidRDefault="008041FA" w:rsidP="007630CA">
      <w:pPr>
        <w:rPr>
          <w:rFonts w:cs="Arial"/>
          <w:szCs w:val="22"/>
          <w:lang w:eastAsia="en-JM"/>
        </w:rPr>
      </w:pPr>
    </w:p>
    <w:p w14:paraId="4A66E905" w14:textId="5D2851C7" w:rsidR="00FE61BC" w:rsidRPr="0019192F" w:rsidRDefault="00FE61BC" w:rsidP="00FE61BC">
      <w:pPr>
        <w:pStyle w:val="Heading3"/>
      </w:pPr>
      <w:r>
        <w:t>Third-party access</w:t>
      </w:r>
    </w:p>
    <w:p w14:paraId="66E6FD03" w14:textId="77777777" w:rsidR="00E906B2" w:rsidRPr="00E906B2" w:rsidRDefault="00E906B2" w:rsidP="00E906B2">
      <w:pPr>
        <w:rPr>
          <w:rFonts w:cs="Arial"/>
          <w:szCs w:val="22"/>
          <w:lang w:eastAsia="en-JM"/>
        </w:rPr>
      </w:pPr>
      <w:r w:rsidRPr="00E906B2">
        <w:rPr>
          <w:rFonts w:cs="Arial"/>
          <w:szCs w:val="22"/>
          <w:lang w:eastAsia="en-JM"/>
        </w:rPr>
        <w:t>Facilitating third-party access (TPA) to domestic transmission grids is a critical technical requirement for the establishment and operation of a regional power exchange in BBINS. In regions where transmission infrastructure is primarily owned and operated at the national level, enabling multilateral power trade presents challenges. These include determining which entities should be allowed to trade across borders and how external stakeholders can access and utilize domestic grids. Transparent and non-discriminatory principles are essential to ensure that all market participants, including vertically integrated utilities and independent power producers (IPPs), have equitable access to the transmission network.</w:t>
      </w:r>
    </w:p>
    <w:p w14:paraId="0069F204" w14:textId="77777777" w:rsidR="00E906B2" w:rsidRPr="00E906B2" w:rsidRDefault="00E906B2" w:rsidP="00E906B2">
      <w:pPr>
        <w:rPr>
          <w:rFonts w:cs="Arial"/>
          <w:szCs w:val="22"/>
          <w:lang w:eastAsia="en-JM"/>
        </w:rPr>
      </w:pPr>
      <w:r w:rsidRPr="00E906B2">
        <w:rPr>
          <w:rFonts w:cs="Arial"/>
          <w:szCs w:val="22"/>
          <w:lang w:eastAsia="en-JM"/>
        </w:rPr>
        <w:t>The potential role of privately owned cross-border transmission lines must also be considered. Some of these interconnectors, originally built for dedicated export arrangements, could be integrated into national or regional grids to support multilateral trading. Transferring the ownership of such lines to a transmission company or regional entity could help standardize access and operational principles. This would prevent market power abuse and ensure compliance with agreed guidelines for future interconnector capacity sharing and interconnection terms.</w:t>
      </w:r>
    </w:p>
    <w:p w14:paraId="3AD634C2" w14:textId="3DD68806" w:rsidR="00FE61BC" w:rsidRDefault="00E906B2" w:rsidP="00E906B2">
      <w:pPr>
        <w:rPr>
          <w:rFonts w:cs="Arial"/>
          <w:szCs w:val="22"/>
          <w:lang w:eastAsia="en-JM"/>
        </w:rPr>
      </w:pPr>
      <w:r w:rsidRPr="00E906B2">
        <w:rPr>
          <w:rFonts w:cs="Arial"/>
          <w:szCs w:val="22"/>
          <w:lang w:eastAsia="en-JM"/>
        </w:rPr>
        <w:t>Regional TPA differs from domestic TPA. While the latter involves granting third-party domestic resources access to the local grid, the former focuses on allowing external market participants from other jurisdictions to utilize domestic transmission infrastructure. Although domestic TPA is not mandatory for regional multilateral trade, establishing a regional TPA framework is necessary to ensure the seamless flow of power across borders. Agreements among participating countries must address how interconnection and capacity rights are shared, managed, and operated transparently, laying the foundation for a robust and inclusive regional power exchange.</w:t>
      </w:r>
      <w:r w:rsidR="00D0105B">
        <w:rPr>
          <w:rFonts w:cs="Arial"/>
          <w:szCs w:val="22"/>
          <w:lang w:eastAsia="en-JM"/>
        </w:rPr>
        <w:t xml:space="preserve"> </w:t>
      </w:r>
      <w:r w:rsidR="00D0105B" w:rsidRPr="00D0105B">
        <w:rPr>
          <w:rFonts w:cs="Arial"/>
          <w:szCs w:val="22"/>
          <w:lang w:eastAsia="en-JM"/>
        </w:rPr>
        <w:t>A high-level overview of the basic agreements required is provided</w:t>
      </w:r>
      <w:r w:rsidR="004E081D">
        <w:rPr>
          <w:rFonts w:cs="Arial"/>
          <w:szCs w:val="22"/>
          <w:lang w:eastAsia="en-JM"/>
        </w:rPr>
        <w:t xml:space="preserve"> as follows:</w:t>
      </w:r>
    </w:p>
    <w:p w14:paraId="0A43F152" w14:textId="4505265A" w:rsidR="00B30BFA" w:rsidRDefault="004E081D" w:rsidP="008E21FA">
      <w:pPr>
        <w:pStyle w:val="ListParagraph"/>
        <w:numPr>
          <w:ilvl w:val="0"/>
          <w:numId w:val="23"/>
        </w:numPr>
        <w:rPr>
          <w:rFonts w:cs="Arial"/>
        </w:rPr>
      </w:pPr>
      <w:r w:rsidRPr="00841320">
        <w:rPr>
          <w:rFonts w:cs="Arial"/>
          <w:b/>
          <w:bCs/>
        </w:rPr>
        <w:t xml:space="preserve">Transmission </w:t>
      </w:r>
      <w:r w:rsidR="00841320" w:rsidRPr="00841320">
        <w:rPr>
          <w:rFonts w:cs="Arial"/>
          <w:b/>
          <w:bCs/>
        </w:rPr>
        <w:t>license</w:t>
      </w:r>
      <w:r w:rsidRPr="00841320">
        <w:rPr>
          <w:rFonts w:cs="Arial"/>
          <w:b/>
          <w:bCs/>
        </w:rPr>
        <w:t>:</w:t>
      </w:r>
      <w:r>
        <w:rPr>
          <w:rFonts w:cs="Arial"/>
        </w:rPr>
        <w:t xml:space="preserve"> </w:t>
      </w:r>
      <w:r w:rsidR="00841320" w:rsidRPr="00841320">
        <w:rPr>
          <w:rFonts w:cs="Arial"/>
        </w:rPr>
        <w:t xml:space="preserve">This agreement sets out the TPA provision for the transmission infrastructure owner and, if a different entity, the TSO of the grid. It states that these stakeholders </w:t>
      </w:r>
      <w:proofErr w:type="gramStart"/>
      <w:r w:rsidR="00841320" w:rsidRPr="00841320">
        <w:rPr>
          <w:rFonts w:cs="Arial"/>
        </w:rPr>
        <w:t>needs</w:t>
      </w:r>
      <w:proofErr w:type="gramEnd"/>
      <w:r w:rsidR="00841320" w:rsidRPr="00841320">
        <w:rPr>
          <w:rFonts w:cs="Arial"/>
        </w:rPr>
        <w:t xml:space="preserve"> to provide TPA based on certain principles to </w:t>
      </w:r>
      <w:proofErr w:type="gramStart"/>
      <w:r w:rsidR="00841320" w:rsidRPr="00841320">
        <w:rPr>
          <w:rFonts w:cs="Arial"/>
        </w:rPr>
        <w:t>allowed</w:t>
      </w:r>
      <w:proofErr w:type="gramEnd"/>
      <w:r w:rsidR="00841320" w:rsidRPr="00841320">
        <w:rPr>
          <w:rFonts w:cs="Arial"/>
        </w:rPr>
        <w:t xml:space="preserve"> parties when they request access to and use of the grid.</w:t>
      </w:r>
    </w:p>
    <w:p w14:paraId="339558B2" w14:textId="7FAFF48A" w:rsidR="00841320" w:rsidRDefault="00841320" w:rsidP="008E21FA">
      <w:pPr>
        <w:pStyle w:val="ListParagraph"/>
        <w:numPr>
          <w:ilvl w:val="0"/>
          <w:numId w:val="23"/>
        </w:numPr>
        <w:rPr>
          <w:rFonts w:cs="Arial"/>
        </w:rPr>
      </w:pPr>
      <w:r w:rsidRPr="00945E75">
        <w:rPr>
          <w:rFonts w:cs="Arial"/>
          <w:b/>
          <w:bCs/>
        </w:rPr>
        <w:t>Connection and usage agreement:</w:t>
      </w:r>
      <w:r>
        <w:rPr>
          <w:rFonts w:cs="Arial"/>
        </w:rPr>
        <w:t xml:space="preserve"> </w:t>
      </w:r>
      <w:r w:rsidR="00945E75" w:rsidRPr="00945E75">
        <w:rPr>
          <w:rFonts w:cs="Arial"/>
        </w:rPr>
        <w:t xml:space="preserve">This agreement covers the requirements for generators and, if appropriate, large consumers to be allowed to connect to and use the transmission grid. This requires, among other things, compliance with both national and regional grid codes, and that generators </w:t>
      </w:r>
      <w:proofErr w:type="gramStart"/>
      <w:r w:rsidR="00945E75" w:rsidRPr="00945E75">
        <w:rPr>
          <w:rFonts w:cs="Arial"/>
        </w:rPr>
        <w:t>obey with</w:t>
      </w:r>
      <w:proofErr w:type="gramEnd"/>
      <w:r w:rsidR="00945E75" w:rsidRPr="00945E75">
        <w:rPr>
          <w:rFonts w:cs="Arial"/>
        </w:rPr>
        <w:t xml:space="preserve"> the operational minimum requirements.</w:t>
      </w:r>
    </w:p>
    <w:p w14:paraId="6E58AB08" w14:textId="6F7208A8" w:rsidR="00483909" w:rsidRDefault="00C96A0A" w:rsidP="008E21FA">
      <w:pPr>
        <w:pStyle w:val="ListParagraph"/>
        <w:numPr>
          <w:ilvl w:val="0"/>
          <w:numId w:val="23"/>
        </w:numPr>
        <w:rPr>
          <w:rFonts w:cs="Arial"/>
        </w:rPr>
      </w:pPr>
      <w:r w:rsidRPr="00483909">
        <w:rPr>
          <w:rFonts w:cs="Arial"/>
          <w:b/>
          <w:bCs/>
        </w:rPr>
        <w:t>Potential additional licenses required for generators to operate:</w:t>
      </w:r>
      <w:r>
        <w:rPr>
          <w:rFonts w:cs="Arial"/>
        </w:rPr>
        <w:t xml:space="preserve"> </w:t>
      </w:r>
      <w:r w:rsidR="00483909" w:rsidRPr="00483909">
        <w:rPr>
          <w:rFonts w:cs="Arial"/>
        </w:rPr>
        <w:t>Minimum contractual requirements to operate as an independently owned and operated generator (IPP). This license may differ among countries, and some countries may choose not to allow IPPs to participate directly in cross-border power trade. In essence, however, a generation license and an export/import license would be necessary.</w:t>
      </w:r>
    </w:p>
    <w:p w14:paraId="4A8596F5" w14:textId="55C5F807" w:rsidR="00A01D64" w:rsidRDefault="00A01D64" w:rsidP="00A01D64">
      <w:pPr>
        <w:rPr>
          <w:rFonts w:cs="Arial"/>
        </w:rPr>
      </w:pPr>
      <w:r w:rsidRPr="00A01D64">
        <w:rPr>
          <w:rFonts w:cs="Arial"/>
        </w:rPr>
        <w:t>The agreements should comprehensively define the rights and associated obligations of each participant involved in cross-border trading and operations. These obligations may include performance requirements, such as adherence to grid codes for generation units (including IPPs), as well as specific operational standards tailored to certain technologies or areas. For transmission operators, the primary responsibility lies in maintaining the secure and reliable operation of the grid, ensuring voltage levels and frequencies remain within safe operational limits. Additionally, they are required to provide access to their grid for any external participant authorized to engage in cross-border electricity trading.</w:t>
      </w:r>
      <w:r w:rsidR="001D3DC4">
        <w:rPr>
          <w:rFonts w:cs="Arial"/>
        </w:rPr>
        <w:t xml:space="preserve"> </w:t>
      </w:r>
      <w:r w:rsidR="001D3DC4" w:rsidRPr="001D3DC4">
        <w:rPr>
          <w:rFonts w:cs="Arial"/>
        </w:rPr>
        <w:t>The involved parties and their respective rights and obligations can be summarized as follows:</w:t>
      </w:r>
    </w:p>
    <w:p w14:paraId="05277D1A" w14:textId="694C7FA7" w:rsidR="00C03024" w:rsidRPr="00C03024" w:rsidRDefault="00C03024" w:rsidP="00C03024">
      <w:pPr>
        <w:pStyle w:val="Caption"/>
        <w:keepNext/>
        <w:rPr>
          <w:color w:val="auto"/>
        </w:rPr>
      </w:pPr>
      <w:bookmarkStart w:id="118" w:name="_Toc185235916"/>
      <w:r w:rsidRPr="00C03024">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14</w:t>
      </w:r>
      <w:r w:rsidR="0017404E">
        <w:rPr>
          <w:color w:val="auto"/>
        </w:rPr>
        <w:fldChar w:fldCharType="end"/>
      </w:r>
      <w:r w:rsidRPr="00C03024">
        <w:rPr>
          <w:color w:val="auto"/>
        </w:rPr>
        <w:t>: Rights and Obligations of involved parties in Third Party Access (TPA)</w:t>
      </w:r>
      <w:bookmarkEnd w:id="118"/>
    </w:p>
    <w:p w14:paraId="387D639E" w14:textId="2ED4F1C4" w:rsidR="008C0090" w:rsidRDefault="000D3E57" w:rsidP="00E906B2">
      <w:pPr>
        <w:rPr>
          <w:rFonts w:cs="Arial"/>
        </w:rPr>
      </w:pPr>
      <w:r w:rsidRPr="000D3E57">
        <w:rPr>
          <w:noProof/>
        </w:rPr>
        <w:drawing>
          <wp:inline distT="0" distB="0" distL="0" distR="0" wp14:anchorId="4BB2CAA4" wp14:editId="5E407101">
            <wp:extent cx="5943600" cy="1905635"/>
            <wp:effectExtent l="0" t="0" r="0" b="0"/>
            <wp:docPr id="1301612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p w14:paraId="2DD1D19E" w14:textId="77777777" w:rsidR="008C0090" w:rsidRDefault="008C0090" w:rsidP="00E906B2">
      <w:pPr>
        <w:rPr>
          <w:rFonts w:cs="Arial"/>
          <w:szCs w:val="22"/>
        </w:rPr>
      </w:pPr>
    </w:p>
    <w:p w14:paraId="7BD71B9A" w14:textId="3A89100D" w:rsidR="00FE61BC" w:rsidRPr="0019192F" w:rsidRDefault="00FE61BC" w:rsidP="00FE61BC">
      <w:pPr>
        <w:pStyle w:val="Heading3"/>
      </w:pPr>
      <w:r>
        <w:t>Data and information sharing</w:t>
      </w:r>
    </w:p>
    <w:p w14:paraId="49476CF2" w14:textId="4B0AAE49" w:rsidR="00C94BD1" w:rsidRPr="00C94BD1" w:rsidRDefault="00C94BD1" w:rsidP="00C94BD1">
      <w:pPr>
        <w:rPr>
          <w:rFonts w:cs="Arial"/>
          <w:szCs w:val="22"/>
          <w:lang w:eastAsia="en-JM"/>
        </w:rPr>
      </w:pPr>
      <w:r w:rsidRPr="00C94BD1">
        <w:rPr>
          <w:rFonts w:cs="Arial"/>
          <w:szCs w:val="22"/>
          <w:lang w:eastAsia="en-JM"/>
        </w:rPr>
        <w:t>Effective multilateral power trading requires robust mechanisms for data and information sharing among stakeholders. A central coordinating institution can play a pivotal role by receiving, processing, and distributing necessary information through a centralized IT and communications platform. For instance, such an entity could gather transmission system data from transmission owners and relay critical information, such as traded volumes, back to relevant stakeholders.</w:t>
      </w:r>
      <w:r>
        <w:rPr>
          <w:rFonts w:cs="Arial"/>
          <w:szCs w:val="22"/>
          <w:lang w:eastAsia="en-JM"/>
        </w:rPr>
        <w:t xml:space="preserve"> </w:t>
      </w:r>
      <w:r w:rsidRPr="00C94BD1">
        <w:rPr>
          <w:rFonts w:cs="Arial"/>
          <w:szCs w:val="22"/>
          <w:lang w:eastAsia="en-JM"/>
        </w:rPr>
        <w:t>However, sharing operational and planning data across borders may raise concerns over confidentiality, as some data might be deemed too sensitive for open exchange. In certain cases, existing legislative or regulatory frameworks may restrict data sharing, necessitating changes to national laws or the inclusion of specific exceptions to allow information exchange with a regional coordinating body.</w:t>
      </w:r>
    </w:p>
    <w:p w14:paraId="2149AE51" w14:textId="77777777" w:rsidR="00C94BD1" w:rsidRPr="00C94BD1" w:rsidRDefault="00C94BD1" w:rsidP="00C94BD1">
      <w:pPr>
        <w:rPr>
          <w:rFonts w:cs="Arial"/>
          <w:szCs w:val="22"/>
          <w:lang w:eastAsia="en-JM"/>
        </w:rPr>
      </w:pPr>
      <w:r w:rsidRPr="00C94BD1">
        <w:rPr>
          <w:rFonts w:cs="Arial"/>
          <w:szCs w:val="22"/>
          <w:lang w:eastAsia="en-JM"/>
        </w:rPr>
        <w:t>Initially, data sharing requirements for the regional power exchange are likely to be minimal, focused on enabling bilateral or multilateral exchanges among a limited group of participating countries. These countries can determine specific data needs and establish secure mechanisms for sharing. As the market matures and becomes more organized, data sharing practices and requirements should be harmonized to support more advanced trading arrangements.</w:t>
      </w:r>
    </w:p>
    <w:p w14:paraId="29214169" w14:textId="01481D8E" w:rsidR="00FE61BC" w:rsidRDefault="00C94BD1" w:rsidP="00C94BD1">
      <w:pPr>
        <w:rPr>
          <w:rFonts w:cs="Arial"/>
          <w:szCs w:val="22"/>
        </w:rPr>
      </w:pPr>
      <w:r w:rsidRPr="00C94BD1">
        <w:rPr>
          <w:rFonts w:cs="Arial"/>
          <w:szCs w:val="22"/>
          <w:lang w:eastAsia="en-JM"/>
        </w:rPr>
        <w:t>At a minimum, data-sharing agreements should cover essential aspects of cross-border power trading, such as aggregate or calculated Available Transfer Capability (ATC), cross-border power flows, and system-planning information. Future regional market operations may require a central institution to manage databases, optimize power system operations, acquire and process metering data, calculate trade settlements, and distribute information via online platforms. Importantly, agreements defining data-sharing requirements should be flexible and easy to amend, allowing them to evolve alongside the regional power market.</w:t>
      </w:r>
    </w:p>
    <w:p w14:paraId="0E5E52E3" w14:textId="77777777" w:rsidR="00FE61BC" w:rsidRDefault="00FE61BC" w:rsidP="00B01EE7">
      <w:pPr>
        <w:rPr>
          <w:rFonts w:cs="Arial"/>
          <w:szCs w:val="22"/>
        </w:rPr>
      </w:pPr>
    </w:p>
    <w:p w14:paraId="1F547887" w14:textId="75BF215A" w:rsidR="00FE61BC" w:rsidRPr="0019192F" w:rsidRDefault="00FE61BC" w:rsidP="00FE61BC">
      <w:pPr>
        <w:pStyle w:val="Heading3"/>
      </w:pPr>
      <w:r w:rsidRPr="00FE61BC">
        <w:t>Interconnector capacity calculation methodology</w:t>
      </w:r>
    </w:p>
    <w:p w14:paraId="7CF4ABB2" w14:textId="77777777" w:rsidR="0002379A" w:rsidRPr="0002379A" w:rsidRDefault="0002379A" w:rsidP="0002379A">
      <w:pPr>
        <w:rPr>
          <w:rFonts w:cs="Arial"/>
          <w:szCs w:val="22"/>
          <w:lang w:eastAsia="en-JM"/>
        </w:rPr>
      </w:pPr>
      <w:r w:rsidRPr="0002379A">
        <w:rPr>
          <w:rFonts w:cs="Arial"/>
          <w:szCs w:val="22"/>
          <w:lang w:eastAsia="en-JM"/>
        </w:rPr>
        <w:t>The efficient and equitable allocation of interconnector capacity is a critical technical requirement for enabling cross-border power trade and supporting the operation of a regional power exchange. To ensure consistency and transparency, interconnector capacity should ideally be calculated using a harmonized methodology agreed upon by all parties on both sides of an interconnected border. Such harmonization fosters mutual trust, reduces disputes, and allows for effective coordination across jurisdictions. In cases where agreement on a common methodology is not immediately feasible, a conservative approach can be adopted by using the smaller of the independently calculated capacities from each side. This ensures system reliability and provides a basis for gradually aligning methodologies in the future.</w:t>
      </w:r>
    </w:p>
    <w:p w14:paraId="315E9F77" w14:textId="77777777" w:rsidR="0002379A" w:rsidRPr="0002379A" w:rsidRDefault="0002379A" w:rsidP="0002379A">
      <w:pPr>
        <w:rPr>
          <w:rFonts w:cs="Arial"/>
          <w:szCs w:val="22"/>
          <w:lang w:eastAsia="en-JM"/>
        </w:rPr>
      </w:pPr>
      <w:r w:rsidRPr="0002379A">
        <w:rPr>
          <w:rFonts w:cs="Arial"/>
          <w:szCs w:val="22"/>
          <w:lang w:eastAsia="en-JM"/>
        </w:rPr>
        <w:t>Interconnector capacity should also be allocated across multiple time frames, including long-term, medium-term, and real-time horizons. Long-term allocations provide stability and predictability for market participants, enabling better planning and investment decisions. Medium-term and real-time allocations, on the other hand, facilitate flexibility and the optimal utilization of available capacity as grid conditions and market dynamics evolve. These allocations are particularly important for jurisdictions aiming to trade capacity products, such as transmission rights, alongside energy products.</w:t>
      </w:r>
    </w:p>
    <w:p w14:paraId="364F67F8" w14:textId="41E89934" w:rsidR="00FE61BC" w:rsidRDefault="0002379A" w:rsidP="0002379A">
      <w:pPr>
        <w:rPr>
          <w:rFonts w:cs="Arial"/>
          <w:szCs w:val="22"/>
          <w:lang w:eastAsia="en-JM"/>
        </w:rPr>
      </w:pPr>
      <w:r w:rsidRPr="0002379A">
        <w:rPr>
          <w:rFonts w:cs="Arial"/>
          <w:szCs w:val="22"/>
          <w:lang w:eastAsia="en-JM"/>
        </w:rPr>
        <w:t>By adopting a well-structured capacity calculation and allocation framework, member countries can optimize interconnector usage, enhance system reliability, and support the development of an efficient and integrated regional power market.</w:t>
      </w:r>
    </w:p>
    <w:p w14:paraId="7044E637" w14:textId="77777777" w:rsidR="00C50504" w:rsidRDefault="00C50504" w:rsidP="0002379A">
      <w:pPr>
        <w:rPr>
          <w:rFonts w:cs="Arial"/>
          <w:szCs w:val="22"/>
          <w:lang w:eastAsia="en-JM"/>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1437FA" w14:paraId="07FB3582" w14:textId="77777777" w:rsidTr="001437FA">
        <w:tc>
          <w:tcPr>
            <w:tcW w:w="9350" w:type="dxa"/>
            <w:shd w:val="clear" w:color="auto" w:fill="F2F2F2" w:themeFill="background1" w:themeFillShade="F2"/>
          </w:tcPr>
          <w:p w14:paraId="518950C2" w14:textId="1428E8E1" w:rsidR="001437FA" w:rsidRPr="00FA1321" w:rsidRDefault="001437FA" w:rsidP="00FA1321">
            <w:pPr>
              <w:tabs>
                <w:tab w:val="left" w:pos="2674"/>
              </w:tabs>
              <w:jc w:val="center"/>
              <w:rPr>
                <w:rFonts w:cs="Arial"/>
                <w:b/>
                <w:bCs/>
                <w:szCs w:val="22"/>
                <w:lang w:eastAsia="en-JM"/>
              </w:rPr>
            </w:pPr>
            <w:r w:rsidRPr="00FA1321">
              <w:rPr>
                <w:rFonts w:cs="Arial"/>
                <w:b/>
                <w:bCs/>
                <w:szCs w:val="22"/>
                <w:lang w:eastAsia="en-JM"/>
              </w:rPr>
              <w:t>Case Study</w:t>
            </w:r>
            <w:r w:rsidR="00E42975" w:rsidRPr="00FA1321">
              <w:rPr>
                <w:rFonts w:cs="Arial"/>
                <w:b/>
                <w:bCs/>
                <w:szCs w:val="22"/>
                <w:lang w:eastAsia="en-JM"/>
              </w:rPr>
              <w:t xml:space="preserve">: </w:t>
            </w:r>
            <w:proofErr w:type="spellStart"/>
            <w:r w:rsidR="00E670C1" w:rsidRPr="00FA1321">
              <w:rPr>
                <w:rFonts w:cs="Arial"/>
                <w:b/>
                <w:bCs/>
                <w:szCs w:val="22"/>
                <w:lang w:eastAsia="en-JM"/>
              </w:rPr>
              <w:t>Pentalateral</w:t>
            </w:r>
            <w:proofErr w:type="spellEnd"/>
            <w:r w:rsidR="00E670C1" w:rsidRPr="00FA1321">
              <w:rPr>
                <w:rFonts w:cs="Arial"/>
                <w:b/>
                <w:bCs/>
                <w:szCs w:val="22"/>
                <w:lang w:eastAsia="en-JM"/>
              </w:rPr>
              <w:t xml:space="preserve"> Energy Forum</w:t>
            </w:r>
            <w:r w:rsidR="00FA1321" w:rsidRPr="00FA1321">
              <w:rPr>
                <w:rFonts w:cs="Arial"/>
                <w:b/>
                <w:bCs/>
                <w:szCs w:val="22"/>
                <w:lang w:eastAsia="en-JM"/>
              </w:rPr>
              <w:t xml:space="preserve"> -</w:t>
            </w:r>
            <w:r w:rsidR="00E670C1" w:rsidRPr="00FA1321">
              <w:rPr>
                <w:rFonts w:cs="Arial"/>
                <w:b/>
                <w:bCs/>
                <w:szCs w:val="22"/>
                <w:lang w:eastAsia="en-JM"/>
              </w:rPr>
              <w:t xml:space="preserve"> </w:t>
            </w:r>
            <w:r w:rsidR="00FA1321" w:rsidRPr="00FA1321">
              <w:rPr>
                <w:rFonts w:cs="Arial"/>
                <w:b/>
                <w:bCs/>
                <w:szCs w:val="22"/>
                <w:lang w:eastAsia="en-JM"/>
              </w:rPr>
              <w:t>Resource</w:t>
            </w:r>
            <w:r w:rsidR="00E670C1" w:rsidRPr="00FA1321">
              <w:rPr>
                <w:rFonts w:cs="Arial"/>
                <w:b/>
                <w:bCs/>
                <w:szCs w:val="22"/>
                <w:lang w:eastAsia="en-JM"/>
              </w:rPr>
              <w:t xml:space="preserve"> Adequacy Assessment</w:t>
            </w:r>
            <w:r w:rsidR="00FA1321">
              <w:rPr>
                <w:rStyle w:val="FootnoteReference"/>
                <w:b/>
                <w:bCs/>
                <w:szCs w:val="22"/>
                <w:lang w:eastAsia="en-JM"/>
              </w:rPr>
              <w:footnoteReference w:id="24"/>
            </w:r>
          </w:p>
          <w:p w14:paraId="6C530EF0" w14:textId="77777777" w:rsidR="001144D0" w:rsidRPr="001144D0" w:rsidRDefault="001144D0" w:rsidP="001144D0">
            <w:pPr>
              <w:tabs>
                <w:tab w:val="left" w:pos="2674"/>
              </w:tabs>
              <w:rPr>
                <w:rFonts w:cs="Arial"/>
                <w:szCs w:val="22"/>
                <w:lang w:eastAsia="en-JM"/>
              </w:rPr>
            </w:pPr>
            <w:r w:rsidRPr="001144D0">
              <w:rPr>
                <w:rFonts w:cs="Arial"/>
                <w:szCs w:val="22"/>
                <w:lang w:eastAsia="en-JM"/>
              </w:rPr>
              <w:t xml:space="preserve">The </w:t>
            </w:r>
            <w:proofErr w:type="spellStart"/>
            <w:r w:rsidRPr="001144D0">
              <w:rPr>
                <w:rFonts w:cs="Arial"/>
                <w:szCs w:val="22"/>
                <w:lang w:eastAsia="en-JM"/>
              </w:rPr>
              <w:t>Pentalateral</w:t>
            </w:r>
            <w:proofErr w:type="spellEnd"/>
            <w:r w:rsidRPr="001144D0">
              <w:rPr>
                <w:rFonts w:cs="Arial"/>
                <w:szCs w:val="22"/>
                <w:lang w:eastAsia="en-JM"/>
              </w:rPr>
              <w:t xml:space="preserve"> Energy Forum (PLEF) facilitates regional cooperation in electricity market integration and security of supply across Austria, Belgium, France, Germany, Luxembourg, the Netherlands, and Switzerland. A key initiative, the </w:t>
            </w:r>
            <w:proofErr w:type="spellStart"/>
            <w:r w:rsidRPr="001144D0">
              <w:rPr>
                <w:rFonts w:cs="Arial"/>
                <w:szCs w:val="22"/>
                <w:lang w:eastAsia="en-JM"/>
              </w:rPr>
              <w:t>Pentalateral</w:t>
            </w:r>
            <w:proofErr w:type="spellEnd"/>
            <w:r w:rsidRPr="001144D0">
              <w:rPr>
                <w:rFonts w:cs="Arial"/>
                <w:szCs w:val="22"/>
                <w:lang w:eastAsia="en-JM"/>
              </w:rPr>
              <w:t xml:space="preserve"> Generation Adequacy Assessment (PLEFGAA), highlights the importance of harmonized interconnector capacity calculation methodologies for regional power markets.</w:t>
            </w:r>
          </w:p>
          <w:p w14:paraId="4970F02B" w14:textId="77777777" w:rsidR="001144D0" w:rsidRPr="001144D0" w:rsidRDefault="001144D0" w:rsidP="001144D0">
            <w:pPr>
              <w:tabs>
                <w:tab w:val="left" w:pos="2674"/>
              </w:tabs>
              <w:rPr>
                <w:rFonts w:cs="Arial"/>
                <w:szCs w:val="22"/>
                <w:lang w:eastAsia="en-JM"/>
              </w:rPr>
            </w:pPr>
            <w:r w:rsidRPr="001144D0">
              <w:rPr>
                <w:rFonts w:cs="Arial"/>
                <w:szCs w:val="22"/>
                <w:lang w:eastAsia="en-JM"/>
              </w:rPr>
              <w:t>The third edition of the PLEFGAA employed a probabilistic approach to jointly assess generation adequacy and security of supply across the PLEF region. By standardizing capacity calculation practices among the Transmission System Operators (TSOs) of member countries, the assessment ensured efficient and transparent utilization of interconnectors. It also allocated capacity across multiple time frames—real-time, short-term, and long-term—balancing reliability with flexibility to optimize infrastructure usage.</w:t>
            </w:r>
          </w:p>
          <w:p w14:paraId="48B94E3C" w14:textId="29618CF0" w:rsidR="001144D0" w:rsidRDefault="001144D0" w:rsidP="009D0B3E">
            <w:pPr>
              <w:tabs>
                <w:tab w:val="left" w:pos="2674"/>
              </w:tabs>
              <w:rPr>
                <w:rFonts w:cs="Arial"/>
                <w:szCs w:val="22"/>
                <w:lang w:eastAsia="en-JM"/>
              </w:rPr>
            </w:pPr>
            <w:r w:rsidRPr="001144D0">
              <w:rPr>
                <w:rFonts w:cs="Arial"/>
                <w:szCs w:val="22"/>
                <w:lang w:eastAsia="en-JM"/>
              </w:rPr>
              <w:t>The PLEF experience demonstrates how harmonized methodologies reduce uncertainty, enhance cross-border collaboration, and ensure predictable access for market participants. This approach serves as a practical model for regions like BBINS, highlighting the value of regional cooperation in addressing technical challenges and strengthening interconnected power systems.</w:t>
            </w:r>
          </w:p>
        </w:tc>
      </w:tr>
    </w:tbl>
    <w:p w14:paraId="0CF7E7BC" w14:textId="289CC386" w:rsidR="00B01EE7" w:rsidRPr="005B3142" w:rsidRDefault="00FE61BC" w:rsidP="00FE61BC">
      <w:pPr>
        <w:pStyle w:val="Heading2"/>
      </w:pPr>
      <w:bookmarkStart w:id="119" w:name="_Toc185235898"/>
      <w:bookmarkEnd w:id="106"/>
      <w:bookmarkEnd w:id="107"/>
      <w:bookmarkEnd w:id="108"/>
      <w:bookmarkEnd w:id="109"/>
      <w:bookmarkEnd w:id="110"/>
      <w:bookmarkEnd w:id="111"/>
      <w:bookmarkEnd w:id="112"/>
      <w:bookmarkEnd w:id="113"/>
      <w:bookmarkEnd w:id="114"/>
      <w:r>
        <w:t>Institutional Arrangements</w:t>
      </w:r>
      <w:bookmarkEnd w:id="119"/>
    </w:p>
    <w:p w14:paraId="3DAA06C8" w14:textId="7F89D05F" w:rsidR="00620D4F" w:rsidRDefault="00620D4F" w:rsidP="00DF247B">
      <w:pPr>
        <w:rPr>
          <w:rFonts w:cs="Arial"/>
          <w:szCs w:val="22"/>
        </w:rPr>
      </w:pPr>
      <w:bookmarkStart w:id="120" w:name="_Toc51588654"/>
      <w:r w:rsidRPr="00620D4F">
        <w:rPr>
          <w:rFonts w:cs="Arial"/>
          <w:szCs w:val="22"/>
        </w:rPr>
        <w:t>The political and technical requirements discussed so far such as harmonized regulations, standardized interconnector capacity calculations, third-party access mechanisms, and transparent data-sharing protocols</w:t>
      </w:r>
      <w:r w:rsidR="00F27454">
        <w:rPr>
          <w:rFonts w:cs="Arial"/>
          <w:szCs w:val="22"/>
        </w:rPr>
        <w:t xml:space="preserve">, </w:t>
      </w:r>
      <w:r w:rsidRPr="00620D4F">
        <w:rPr>
          <w:rFonts w:cs="Arial"/>
          <w:szCs w:val="22"/>
        </w:rPr>
        <w:t>serve as critical levers for identifying and addressing institutional needs. These requirements underscore the necessity of institutions that can oversee compliance, manage complexities, and foster trust among participating nations. Institutions must have the capacity to translate these requirements into actionable frameworks, ensuring the seamless operation of a regional power exchange.</w:t>
      </w:r>
    </w:p>
    <w:p w14:paraId="347A98CD" w14:textId="52C3D408" w:rsidR="00DF247B" w:rsidRPr="00DF247B" w:rsidRDefault="00DF247B" w:rsidP="00DF247B">
      <w:pPr>
        <w:rPr>
          <w:rFonts w:cs="Arial"/>
          <w:szCs w:val="22"/>
        </w:rPr>
      </w:pPr>
      <w:r w:rsidRPr="00DF247B">
        <w:rPr>
          <w:rFonts w:cs="Arial"/>
          <w:szCs w:val="22"/>
        </w:rPr>
        <w:t xml:space="preserve">Establishing a regional power exchange requires robust institutional </w:t>
      </w:r>
      <w:r w:rsidR="007E1812">
        <w:rPr>
          <w:rFonts w:cs="Arial"/>
          <w:szCs w:val="22"/>
        </w:rPr>
        <w:t xml:space="preserve">arrangements/ </w:t>
      </w:r>
      <w:r w:rsidRPr="00DF247B">
        <w:rPr>
          <w:rFonts w:cs="Arial"/>
          <w:szCs w:val="22"/>
        </w:rPr>
        <w:t>mechanisms to support the transition from bilateral to multilateral trading. This includes both strengthening existing institutions and potentially creating new entities with specific responsibilities to ensure effective market organization and coordination. For regions like BBINS, this transition will necessitate additional capacity building at existing institutions, such as Transmission System Operators (TSOs), and the establishment of new institutions to manage functions such as settlement, payment mechanisms, and dispute resolution.</w:t>
      </w:r>
    </w:p>
    <w:p w14:paraId="0D604FC7" w14:textId="77777777" w:rsidR="00DF247B" w:rsidRPr="00DF247B" w:rsidRDefault="00DF247B" w:rsidP="00DF247B">
      <w:pPr>
        <w:rPr>
          <w:rFonts w:cs="Arial"/>
          <w:szCs w:val="22"/>
        </w:rPr>
      </w:pPr>
      <w:r w:rsidRPr="00DF247B">
        <w:rPr>
          <w:rFonts w:cs="Arial"/>
          <w:szCs w:val="22"/>
        </w:rPr>
        <w:t>International experiences highlight that regional institutions play a crucial role in supporting multilateral trading and regional integration. For instance, institutions like PJM and ISO New England in the United States, or the European Network of Transmission System Operators for Electricity (ENTSO-E) in Europe, help oversee regional integration and enforce market rules. Similarly, India’s Central Electricity Regulatory Commission (CERC) and the Agency for the Cooperation of Energy Regulators (ACER) in Europe provide regulatory frameworks that guide power markets across national boundaries.</w:t>
      </w:r>
    </w:p>
    <w:p w14:paraId="53F87E7F" w14:textId="77777777" w:rsidR="00DF247B" w:rsidRPr="00DF247B" w:rsidRDefault="00DF247B" w:rsidP="00DF247B">
      <w:pPr>
        <w:rPr>
          <w:rFonts w:cs="Arial"/>
          <w:szCs w:val="22"/>
        </w:rPr>
      </w:pPr>
      <w:r w:rsidRPr="00DF247B">
        <w:rPr>
          <w:rFonts w:cs="Arial"/>
          <w:szCs w:val="22"/>
        </w:rPr>
        <w:t>In the case of secondary power trading arrangements, regional institutions further contribute to efficient energy coordination. For example, the Southern African Power Pool (SAPP) operates under the Southern African Development Community (SADC), while the SIEPAC system involves multiple institutions including a regional regulator and an operating entity. These cases show that dividing responsibilities between institutions can lead to more efficient governance and equitable distribution of tasks across participating countries.</w:t>
      </w:r>
    </w:p>
    <w:p w14:paraId="1A1F4786" w14:textId="77777777" w:rsidR="00DF247B" w:rsidRPr="00DF247B" w:rsidRDefault="00DF247B" w:rsidP="00DF247B">
      <w:pPr>
        <w:rPr>
          <w:rFonts w:cs="Arial"/>
          <w:szCs w:val="22"/>
        </w:rPr>
      </w:pPr>
      <w:r w:rsidRPr="00DF247B">
        <w:rPr>
          <w:rFonts w:cs="Arial"/>
          <w:szCs w:val="22"/>
        </w:rPr>
        <w:t>For BBINS, the evolution towards a regional power exchange will require leveraging existing institutions while simultaneously establishing new ones tailored to multilateral trading. These institutions will not only oversee trading but will also manage critical infrastructure, ensuring seamless coordination, regulatory compliance, and market efficiency. The successful transition will combine both top-down institutional support and bottom-up country-driven needs, building on the foundation of existing bilateral arrangements.</w:t>
      </w:r>
    </w:p>
    <w:p w14:paraId="6458E3FD" w14:textId="3356515B" w:rsidR="00FE61BC" w:rsidRPr="0019192F" w:rsidRDefault="00FE61BC" w:rsidP="00FE61BC">
      <w:pPr>
        <w:pStyle w:val="Heading3"/>
      </w:pPr>
      <w:r>
        <w:t>Models</w:t>
      </w:r>
    </w:p>
    <w:p w14:paraId="412F55A6" w14:textId="036B7476" w:rsidR="00FE61BC" w:rsidRDefault="005A6C8C" w:rsidP="00FE61BC">
      <w:pPr>
        <w:rPr>
          <w:rFonts w:cs="Arial"/>
          <w:szCs w:val="22"/>
          <w:lang w:eastAsia="en-JM"/>
        </w:rPr>
      </w:pPr>
      <w:r w:rsidRPr="005A6C8C">
        <w:rPr>
          <w:rFonts w:cs="Arial"/>
          <w:szCs w:val="22"/>
          <w:lang w:eastAsia="en-JM"/>
        </w:rPr>
        <w:t>Institutional models for regional power exchanges vary based on the desired level of coordination and integration. They range from platforms that foster collaboration among national regulators to fully unified institutions managing all aspects of cross-border trade. The choice of model depends on regional priorities, existing institutional frameworks, and the complexity of market operations. These models provide a framework for organizing regulatory, operational, and market functions to support efficient and transparent regional power trading.</w:t>
      </w:r>
    </w:p>
    <w:p w14:paraId="58368055" w14:textId="44C12602" w:rsidR="00FE61BC" w:rsidRPr="00FE61BC" w:rsidRDefault="00FE61BC" w:rsidP="005E5987">
      <w:pPr>
        <w:pStyle w:val="ListParagraph"/>
        <w:numPr>
          <w:ilvl w:val="0"/>
          <w:numId w:val="15"/>
        </w:numPr>
        <w:ind w:left="360"/>
        <w:rPr>
          <w:rFonts w:cs="Arial"/>
          <w:b/>
          <w:bCs/>
        </w:rPr>
      </w:pPr>
      <w:r w:rsidRPr="00FE61BC">
        <w:rPr>
          <w:rFonts w:cs="Arial"/>
          <w:b/>
          <w:bCs/>
          <w:lang w:eastAsia="en-JM"/>
        </w:rPr>
        <w:t>Regional Platforms for Energy Regulators</w:t>
      </w:r>
    </w:p>
    <w:p w14:paraId="5A5B6FDE" w14:textId="6B302A5F" w:rsidR="00AA4FB2" w:rsidRPr="00AA4FB2" w:rsidRDefault="00AA4FB2" w:rsidP="00AA4FB2">
      <w:pPr>
        <w:ind w:left="360"/>
        <w:rPr>
          <w:rFonts w:cs="Arial"/>
        </w:rPr>
      </w:pPr>
      <w:r w:rsidRPr="00AA4FB2">
        <w:rPr>
          <w:rFonts w:cs="Arial"/>
        </w:rPr>
        <w:t>Regional platforms for energy regulators serve as mechanisms for coordination and cooperation among national regulatory authorities involved in cross-border power trading. These platforms operate in the absence of, or alongside, supra-jurisdictional regulatory structures, providing a forum for harmonizing practices, exchanging information, and addressing regulatory challenges. They facilitate alignment on key issues such as grid codes, tariffs, and market operations while preserving the sovereignty of national regulators.</w:t>
      </w:r>
      <w:r>
        <w:rPr>
          <w:rFonts w:cs="Arial"/>
        </w:rPr>
        <w:t xml:space="preserve"> </w:t>
      </w:r>
      <w:r w:rsidRPr="00AA4FB2">
        <w:rPr>
          <w:rFonts w:cs="Arial"/>
        </w:rPr>
        <w:t>Initiatives like these also support capacity building and the sharing of best practices among participating countries. For example, platforms such as the Council of European Energy Regulators (CEER) and the ASEAN Energy Regulatory Network (AERN) enable collaboration and knowledge-sharing on regulatory matters in their respective regions. Similarly, South Asian forums like the South Asia Forum for Infrastructure Regulation (SAFIR) and the Council of Experts of Energy Regulators (CEERE) focus on cross-border trade operations and regulatory alignment.</w:t>
      </w:r>
    </w:p>
    <w:p w14:paraId="529840F5" w14:textId="1767D634" w:rsidR="00FE61BC" w:rsidRDefault="00AA4FB2" w:rsidP="00AA4FB2">
      <w:pPr>
        <w:ind w:left="360"/>
        <w:rPr>
          <w:rFonts w:cs="Arial"/>
        </w:rPr>
      </w:pPr>
      <w:r w:rsidRPr="00AA4FB2">
        <w:rPr>
          <w:rFonts w:cs="Arial"/>
        </w:rPr>
        <w:t>Despite these efforts, the success of such platforms in fully harmonizing rules and regulations for multilateral power trading has often been limited, underscoring the challenges of achieving deep integration under this model. Nevertheless, regional platforms remain a valuable starting point for fostering trust and cooperation among regulators and setting the stage for greater regional integration in the future.</w:t>
      </w:r>
    </w:p>
    <w:p w14:paraId="1ECC0208" w14:textId="26947C23" w:rsidR="00FE61BC" w:rsidRPr="00FE61BC" w:rsidRDefault="00FE61BC" w:rsidP="005E5987">
      <w:pPr>
        <w:pStyle w:val="ListParagraph"/>
        <w:numPr>
          <w:ilvl w:val="0"/>
          <w:numId w:val="15"/>
        </w:numPr>
        <w:ind w:left="360"/>
        <w:rPr>
          <w:rFonts w:cs="Arial"/>
          <w:b/>
          <w:bCs/>
        </w:rPr>
      </w:pPr>
      <w:r w:rsidRPr="00FE61BC">
        <w:rPr>
          <w:rFonts w:cs="Arial"/>
          <w:b/>
          <w:bCs/>
          <w:lang w:eastAsia="en-JM"/>
        </w:rPr>
        <w:t>Central Coordinating Entity</w:t>
      </w:r>
    </w:p>
    <w:p w14:paraId="061911AC" w14:textId="77777777" w:rsidR="00D524EF" w:rsidRPr="00D524EF" w:rsidRDefault="00D524EF" w:rsidP="00D524EF">
      <w:pPr>
        <w:ind w:left="360"/>
        <w:rPr>
          <w:rFonts w:cs="Arial"/>
        </w:rPr>
      </w:pPr>
      <w:r w:rsidRPr="00D524EF">
        <w:rPr>
          <w:rFonts w:cs="Arial"/>
        </w:rPr>
        <w:t>Regional interconnected power systems can operate effectively without assigning traditional regulatory authority to a single regional body. Instead, a central coordinating entity typically takes on a facilitative role, working among local regulators and stakeholders to harmonize practices, manage operations, and support market integration. This model avoids centralizing binding regulatory authority while fostering collaboration and coordination among participating countries.</w:t>
      </w:r>
    </w:p>
    <w:p w14:paraId="274EC933" w14:textId="77777777" w:rsidR="00D524EF" w:rsidRPr="00D524EF" w:rsidRDefault="00D524EF" w:rsidP="00D524EF">
      <w:pPr>
        <w:ind w:left="360"/>
        <w:rPr>
          <w:rFonts w:cs="Arial"/>
        </w:rPr>
      </w:pPr>
      <w:r w:rsidRPr="00D524EF">
        <w:rPr>
          <w:rFonts w:cs="Arial"/>
        </w:rPr>
        <w:t>The Southern African Power Pool (SAPP) exemplifies such a framework, where the regional association RERA (Regional Electricity Regulators Association) plays a limited role in advancing regulatory harmonization and capacity building. As SAPP operates as a self-regulated market, participating countries must collectively agree on market and transmission rules. RERA’s mandate does not include enforcing regulations but focuses on supporting the development of SAPP. This demonstrates that market development can progress without granting significant authority to a central entity, although RERA’s limited mandate has constrained harmonization in critical areas such as transmission planning and operating reserves.</w:t>
      </w:r>
    </w:p>
    <w:p w14:paraId="75403B58" w14:textId="77777777" w:rsidR="00D524EF" w:rsidRPr="00D524EF" w:rsidRDefault="00D524EF" w:rsidP="00D524EF">
      <w:pPr>
        <w:ind w:left="360"/>
        <w:rPr>
          <w:rFonts w:cs="Arial"/>
        </w:rPr>
      </w:pPr>
      <w:r w:rsidRPr="00D524EF">
        <w:rPr>
          <w:rFonts w:cs="Arial"/>
        </w:rPr>
        <w:t>In regions adopting this model, the central coordinating entity undertakes key responsibilities such as managing interconnector capacity allocation, coordinating grid operations, and facilitating trade settlements. While regulatory authority remains with national institutions, the entity ensures alignment across borders by serving as a neutral platform for negotiation, data sharing, and technical coordination. This approach balances national sovereignty with regional collaboration, providing a foundation for advancing multilateral power trade while addressing operational challenges.</w:t>
      </w:r>
    </w:p>
    <w:p w14:paraId="13769F43" w14:textId="52759D9E" w:rsidR="00FE61BC" w:rsidRPr="00FE61BC" w:rsidRDefault="00D524EF" w:rsidP="00D524EF">
      <w:pPr>
        <w:ind w:left="360"/>
        <w:rPr>
          <w:rFonts w:cs="Arial"/>
        </w:rPr>
      </w:pPr>
      <w:r w:rsidRPr="00D524EF">
        <w:rPr>
          <w:rFonts w:cs="Arial"/>
        </w:rPr>
        <w:t>Efforts to expand the mandate of such entities, as seen in ongoing discussions about RERA, highlight the potential to further streamline and harmonize regulatory and operational frameworks in regional markets.</w:t>
      </w:r>
    </w:p>
    <w:p w14:paraId="52AC83A0" w14:textId="3F111DEB" w:rsidR="00FE61BC" w:rsidRPr="00FE61BC" w:rsidRDefault="00226468" w:rsidP="005E5987">
      <w:pPr>
        <w:pStyle w:val="ListParagraph"/>
        <w:numPr>
          <w:ilvl w:val="0"/>
          <w:numId w:val="15"/>
        </w:numPr>
        <w:ind w:left="360"/>
        <w:rPr>
          <w:rFonts w:cs="Arial"/>
          <w:b/>
          <w:bCs/>
        </w:rPr>
      </w:pPr>
      <w:r w:rsidRPr="00226468">
        <w:rPr>
          <w:rFonts w:cs="Arial"/>
          <w:b/>
          <w:bCs/>
          <w:lang w:eastAsia="en-JM"/>
        </w:rPr>
        <w:t>Centralized Regional Entity</w:t>
      </w:r>
    </w:p>
    <w:p w14:paraId="6F1FD839" w14:textId="77777777" w:rsidR="00F81EB4" w:rsidRPr="00F81EB4" w:rsidRDefault="00F81EB4" w:rsidP="00F81EB4">
      <w:pPr>
        <w:ind w:left="360"/>
        <w:rPr>
          <w:rFonts w:cs="Arial"/>
        </w:rPr>
      </w:pPr>
      <w:r w:rsidRPr="00F81EB4">
        <w:rPr>
          <w:rFonts w:cs="Arial"/>
        </w:rPr>
        <w:t>A centralized regional entity represents an advanced institutional model for governing regional power markets. In this configuration, a regional regulatory authority coexists with local regulatory authorities (LRAs), with the overarching regional institution granted significant authority to regulate and enforce market rules. The regional entity typically manages key aspects of market operation, such as transmission planning, interconnector capacity allocation, dispute resolution, and trade settlement, ensuring uniformity and efficiency across jurisdictions.</w:t>
      </w:r>
    </w:p>
    <w:p w14:paraId="0DC9A40D" w14:textId="77777777" w:rsidR="00F81EB4" w:rsidRDefault="00F81EB4" w:rsidP="00F81EB4">
      <w:pPr>
        <w:ind w:left="360"/>
        <w:rPr>
          <w:rFonts w:cs="Arial"/>
        </w:rPr>
      </w:pPr>
      <w:r w:rsidRPr="00F81EB4">
        <w:rPr>
          <w:rFonts w:cs="Arial"/>
        </w:rPr>
        <w:t>The balance of authority between regional and local regulators varies across regions. For example, in the European Union, ACER (Agency for the Cooperation of Energy Regulators) coordinates the work of LRAs on cross-border interconnection issues, supports harmonization, and steps in when disagreements arise. However, ACER lacks binding regulatory authority, as LRAs retain control over their national systems and markets. By contrast, in the United States, the Federal Energy Regulatory Commission (FERC) functions as a federal regulator with binding authority over interstate transmission and wholesale electricity transactions, while LRAs oversee state-level distribution systems and retail markets.</w:t>
      </w:r>
    </w:p>
    <w:p w14:paraId="6411351B" w14:textId="6CCFD87E" w:rsidR="00B52313" w:rsidRPr="00B52313" w:rsidRDefault="00B52313" w:rsidP="00B52313">
      <w:pPr>
        <w:pStyle w:val="Caption"/>
        <w:keepNext/>
        <w:rPr>
          <w:color w:val="auto"/>
        </w:rPr>
      </w:pPr>
      <w:bookmarkStart w:id="121" w:name="_Toc185235917"/>
      <w:r w:rsidRPr="00B52313">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15</w:t>
      </w:r>
      <w:r w:rsidR="0017404E">
        <w:rPr>
          <w:color w:val="auto"/>
        </w:rPr>
        <w:fldChar w:fldCharType="end"/>
      </w:r>
      <w:r w:rsidRPr="00B52313">
        <w:rPr>
          <w:color w:val="auto"/>
        </w:rPr>
        <w:t>: Division of regulatory authority in the United States and the European Union</w:t>
      </w:r>
      <w:r w:rsidR="00EE3B61">
        <w:rPr>
          <w:rStyle w:val="FootnoteReference"/>
          <w:color w:val="auto"/>
        </w:rPr>
        <w:footnoteReference w:id="25"/>
      </w:r>
      <w:bookmarkEnd w:id="121"/>
    </w:p>
    <w:p w14:paraId="12CBDF87" w14:textId="2B9D3196" w:rsidR="008E6231" w:rsidRPr="00B52313" w:rsidRDefault="00E81918" w:rsidP="00B52313">
      <w:pPr>
        <w:keepNext/>
        <w:ind w:left="360"/>
      </w:pPr>
      <w:r w:rsidRPr="00E81918">
        <w:rPr>
          <w:noProof/>
        </w:rPr>
        <w:drawing>
          <wp:inline distT="0" distB="0" distL="0" distR="0" wp14:anchorId="16163FD9" wp14:editId="4F667C46">
            <wp:extent cx="5740842" cy="2533085"/>
            <wp:effectExtent l="0" t="0" r="0" b="0"/>
            <wp:docPr id="1417232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6316" cy="2539913"/>
                    </a:xfrm>
                    <a:prstGeom prst="rect">
                      <a:avLst/>
                    </a:prstGeom>
                    <a:noFill/>
                    <a:ln>
                      <a:noFill/>
                    </a:ln>
                  </pic:spPr>
                </pic:pic>
              </a:graphicData>
            </a:graphic>
          </wp:inline>
        </w:drawing>
      </w:r>
    </w:p>
    <w:p w14:paraId="275140A5" w14:textId="77777777" w:rsidR="00F81EB4" w:rsidRPr="00F81EB4" w:rsidRDefault="00F81EB4" w:rsidP="00F81EB4">
      <w:pPr>
        <w:ind w:left="360"/>
        <w:rPr>
          <w:rFonts w:cs="Arial"/>
        </w:rPr>
      </w:pPr>
      <w:r w:rsidRPr="00F81EB4">
        <w:rPr>
          <w:rFonts w:cs="Arial"/>
        </w:rPr>
        <w:t xml:space="preserve">In Central America, the Regional Commission on Electrical Interconnection (CRIE) regulates the regional Mercado </w:t>
      </w:r>
      <w:proofErr w:type="spellStart"/>
      <w:r w:rsidRPr="00F81EB4">
        <w:rPr>
          <w:rFonts w:cs="Arial"/>
        </w:rPr>
        <w:t>Eléctrico</w:t>
      </w:r>
      <w:proofErr w:type="spellEnd"/>
      <w:r w:rsidRPr="00F81EB4">
        <w:rPr>
          <w:rFonts w:cs="Arial"/>
        </w:rPr>
        <w:t xml:space="preserve"> Regional (MER). CRIE oversees transmission tariffs, approves regional network extensions, ensures competition, and intervenes to prevent market abuses. It also monitors system exchanges and ensures compliance with regional performance standards. Similarly, in West Africa, the Economic Community of West African States (ECOWAS) Regional Electricity Regulatory Authority (ERERA) regulates cross-border trade, transmission tariffs, and bilateral contracts, issuing binding rules for market operation. However, the development of unified markets, such as in West Africa, has been slow due to political challenges and limited consensus among member states.</w:t>
      </w:r>
    </w:p>
    <w:p w14:paraId="3F4278C0" w14:textId="229B0047" w:rsidR="00FE61BC" w:rsidRPr="00FE61BC" w:rsidRDefault="00F81EB4" w:rsidP="00F81EB4">
      <w:pPr>
        <w:ind w:left="360"/>
        <w:rPr>
          <w:rFonts w:cs="Arial"/>
        </w:rPr>
      </w:pPr>
      <w:r w:rsidRPr="00F81EB4">
        <w:rPr>
          <w:rFonts w:cs="Arial"/>
        </w:rPr>
        <w:t>The centralized regional entity model enables significant regional market integration by consolidating oversight and facilitating harmonization. However, its success depends on strong political will, clear mandates, and effective collaboration between regional and local regulators.</w:t>
      </w:r>
    </w:p>
    <w:p w14:paraId="5D0F5B4D" w14:textId="4E44A28F" w:rsidR="00226468" w:rsidRPr="00FE61BC" w:rsidRDefault="00226468" w:rsidP="005E5987">
      <w:pPr>
        <w:pStyle w:val="ListParagraph"/>
        <w:numPr>
          <w:ilvl w:val="0"/>
          <w:numId w:val="15"/>
        </w:numPr>
        <w:ind w:left="360"/>
        <w:rPr>
          <w:rFonts w:cs="Arial"/>
          <w:b/>
          <w:bCs/>
        </w:rPr>
      </w:pPr>
      <w:r w:rsidRPr="00226468">
        <w:rPr>
          <w:rFonts w:cs="Arial"/>
          <w:b/>
          <w:bCs/>
          <w:lang w:eastAsia="en-JM"/>
        </w:rPr>
        <w:t>Unified Institution</w:t>
      </w:r>
    </w:p>
    <w:p w14:paraId="749A8EFD" w14:textId="42CEB968" w:rsidR="00AA71F8" w:rsidRPr="00AA71F8" w:rsidRDefault="00AA71F8" w:rsidP="00AA71F8">
      <w:pPr>
        <w:ind w:left="360"/>
        <w:rPr>
          <w:rFonts w:cs="Arial"/>
        </w:rPr>
      </w:pPr>
      <w:r w:rsidRPr="00AA71F8">
        <w:rPr>
          <w:rFonts w:cs="Arial"/>
        </w:rPr>
        <w:t>The unified institution model represents the most integrated approach to regional power market regulation, where a single entity assumes comprehensive regulatory and operational oversight. This model minimizes complexity, reduces compliance costs, and ensures consistent governance across interconnected jurisdictions. The Australian Energy Regulator (AER) exemplifies this model. Established in 2005, AER governs the National Energy Market spanning five Australian jurisdictions, managing wholesale and retail electricity markets as well as electricity and gas networks. By consolidating the functions of previous regulators, AER has streamlined operations and regulatory compliance across regions.</w:t>
      </w:r>
      <w:r w:rsidR="00C67B7F">
        <w:rPr>
          <w:rFonts w:cs="Arial"/>
        </w:rPr>
        <w:t xml:space="preserve"> </w:t>
      </w:r>
      <w:r w:rsidRPr="00AA71F8">
        <w:rPr>
          <w:rFonts w:cs="Arial"/>
        </w:rPr>
        <w:t>However, such a model may not always be feasible. In Canada, for instance, regulatory authority remains largely decentralized, with provinces retaining jurisdiction over energy and natural resources. While the creation of the Canada Energy Regulator (CER) in 2019 modernized oversight for interprovincial and international power lines, it did not establish a unified national framework, reflecting the provinces’ emphasis on sovereignty and independence.</w:t>
      </w:r>
    </w:p>
    <w:p w14:paraId="312E706A" w14:textId="0C7EE30C" w:rsidR="00226468" w:rsidRDefault="00AA71F8" w:rsidP="00AA71F8">
      <w:pPr>
        <w:ind w:left="360"/>
        <w:rPr>
          <w:rFonts w:cs="Arial"/>
        </w:rPr>
      </w:pPr>
      <w:r w:rsidRPr="00AA71F8">
        <w:rPr>
          <w:rFonts w:cs="Arial"/>
        </w:rPr>
        <w:t xml:space="preserve">In cross-border contexts, the creation of a unified institution faces additional challenges, including sovereignty concerns and the necessity for national regulators to retain oversight within their territories. As a result, </w:t>
      </w:r>
      <w:proofErr w:type="gramStart"/>
      <w:r w:rsidRPr="00AA71F8">
        <w:rPr>
          <w:rFonts w:cs="Arial"/>
        </w:rPr>
        <w:t>no</w:t>
      </w:r>
      <w:proofErr w:type="gramEnd"/>
      <w:r w:rsidRPr="00AA71F8">
        <w:rPr>
          <w:rFonts w:cs="Arial"/>
        </w:rPr>
        <w:t xml:space="preserve"> fully unified cross-border institution has yet been implemented, though the model serves as an aspirational benchmark for regions aiming to achieve high levels of integration</w:t>
      </w:r>
      <w:r w:rsidR="005B6186">
        <w:rPr>
          <w:rStyle w:val="FootnoteReference"/>
        </w:rPr>
        <w:footnoteReference w:id="26"/>
      </w:r>
      <w:r w:rsidRPr="00AA71F8">
        <w:rPr>
          <w:rFonts w:cs="Arial"/>
        </w:rPr>
        <w:t>.</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254F3C" w14:paraId="545E745F" w14:textId="77777777" w:rsidTr="00993A03">
        <w:tc>
          <w:tcPr>
            <w:tcW w:w="9350" w:type="dxa"/>
            <w:shd w:val="clear" w:color="auto" w:fill="F2F2F2" w:themeFill="background1" w:themeFillShade="F2"/>
          </w:tcPr>
          <w:p w14:paraId="008A4711" w14:textId="09C8E666" w:rsidR="00993A03" w:rsidRPr="00993A03" w:rsidRDefault="00993A03" w:rsidP="00993A03">
            <w:pPr>
              <w:jc w:val="center"/>
              <w:rPr>
                <w:rFonts w:cs="Arial"/>
                <w:b/>
                <w:bCs/>
              </w:rPr>
            </w:pPr>
            <w:r w:rsidRPr="00993A03">
              <w:rPr>
                <w:rFonts w:cs="Arial"/>
                <w:b/>
                <w:bCs/>
              </w:rPr>
              <w:t>Institutional Development in South Asia</w:t>
            </w:r>
          </w:p>
          <w:p w14:paraId="2BA42CFB" w14:textId="7B3B83DC" w:rsidR="00254F3C" w:rsidRDefault="00254F3C" w:rsidP="00993A03">
            <w:pPr>
              <w:rPr>
                <w:rFonts w:cs="Arial"/>
              </w:rPr>
            </w:pPr>
            <w:r>
              <w:rPr>
                <w:rFonts w:cs="Arial"/>
              </w:rPr>
              <w:t xml:space="preserve">In South Asian context, </w:t>
            </w:r>
            <w:r w:rsidR="00993A03" w:rsidRPr="00993A03">
              <w:rPr>
                <w:rFonts w:cs="Arial"/>
              </w:rPr>
              <w:t>South Asia Regional Energy Partnership (SAREP) is working to create “South Asia Network for Integrated Power System Planning and Operation (SANIPO</w:t>
            </w:r>
            <w:proofErr w:type="gramStart"/>
            <w:r w:rsidR="00993A03" w:rsidRPr="00993A03">
              <w:rPr>
                <w:rFonts w:cs="Arial"/>
              </w:rPr>
              <w:t>)“</w:t>
            </w:r>
            <w:proofErr w:type="gramEnd"/>
            <w:r w:rsidR="00993A03" w:rsidRPr="00993A03">
              <w:rPr>
                <w:rFonts w:cs="Arial"/>
              </w:rPr>
              <w:t>, a regional level platform to facilitate capacity building, knowledge exchange and sharing of best practices related to Integrated Power System Planning and Operation.</w:t>
            </w:r>
            <w:r w:rsidR="00993A03">
              <w:rPr>
                <w:rStyle w:val="FootnoteReference"/>
              </w:rPr>
              <w:footnoteReference w:id="27"/>
            </w:r>
          </w:p>
        </w:tc>
      </w:tr>
    </w:tbl>
    <w:p w14:paraId="628FB273" w14:textId="45B134A0" w:rsidR="00254F3C" w:rsidRPr="00FE61BC" w:rsidRDefault="00254F3C" w:rsidP="00254F3C">
      <w:pPr>
        <w:rPr>
          <w:rFonts w:cs="Arial"/>
        </w:rPr>
      </w:pPr>
    </w:p>
    <w:p w14:paraId="1C47EC60" w14:textId="183A1687" w:rsidR="00FE61BC" w:rsidRPr="0019192F" w:rsidRDefault="00226468" w:rsidP="00FE61BC">
      <w:pPr>
        <w:pStyle w:val="Heading3"/>
      </w:pPr>
      <w:r w:rsidRPr="00226468">
        <w:t>Settlement and payment mechanism</w:t>
      </w:r>
    </w:p>
    <w:p w14:paraId="520ADBCC" w14:textId="4251A1C4" w:rsidR="00FD40DC" w:rsidRPr="00FD40DC" w:rsidRDefault="00FD40DC" w:rsidP="00FD40DC">
      <w:pPr>
        <w:rPr>
          <w:rFonts w:cs="Arial"/>
          <w:szCs w:val="22"/>
          <w:lang w:eastAsia="en-JM"/>
        </w:rPr>
      </w:pPr>
      <w:r w:rsidRPr="00FD40DC">
        <w:rPr>
          <w:rFonts w:cs="Arial"/>
          <w:szCs w:val="22"/>
          <w:lang w:eastAsia="en-JM"/>
        </w:rPr>
        <w:t xml:space="preserve">An efficient and secure settlement and payment mechanism is a cornerstone of successful multilateral power trade in a regional power exchange. This mechanism ensures that the financial aspects of </w:t>
      </w:r>
      <w:proofErr w:type="gramStart"/>
      <w:r w:rsidRPr="00FD40DC">
        <w:rPr>
          <w:rFonts w:cs="Arial"/>
          <w:szCs w:val="22"/>
          <w:lang w:eastAsia="en-JM"/>
        </w:rPr>
        <w:t>trading</w:t>
      </w:r>
      <w:r>
        <w:rPr>
          <w:rFonts w:cs="Arial"/>
          <w:szCs w:val="22"/>
          <w:lang w:eastAsia="en-JM"/>
        </w:rPr>
        <w:t>;</w:t>
      </w:r>
      <w:proofErr w:type="gramEnd"/>
      <w:r>
        <w:rPr>
          <w:rFonts w:cs="Arial"/>
          <w:szCs w:val="22"/>
          <w:lang w:eastAsia="en-JM"/>
        </w:rPr>
        <w:t xml:space="preserve"> </w:t>
      </w:r>
      <w:r w:rsidRPr="00FD40DC">
        <w:rPr>
          <w:rFonts w:cs="Arial"/>
          <w:szCs w:val="22"/>
          <w:lang w:eastAsia="en-JM"/>
        </w:rPr>
        <w:t>such as payments for traded volumes, wheeling charges, loss settlements, and other monetary flows</w:t>
      </w:r>
      <w:r>
        <w:rPr>
          <w:rFonts w:cs="Arial"/>
          <w:szCs w:val="22"/>
          <w:lang w:eastAsia="en-JM"/>
        </w:rPr>
        <w:t xml:space="preserve"> </w:t>
      </w:r>
      <w:r w:rsidRPr="00FD40DC">
        <w:rPr>
          <w:rFonts w:cs="Arial"/>
          <w:szCs w:val="22"/>
          <w:lang w:eastAsia="en-JM"/>
        </w:rPr>
        <w:t xml:space="preserve">are handled transparently and reliably. A central clearinghouse or central counterparty (CCP) is commonly employed </w:t>
      </w:r>
      <w:proofErr w:type="gramStart"/>
      <w:r w:rsidRPr="00FD40DC">
        <w:rPr>
          <w:rFonts w:cs="Arial"/>
          <w:szCs w:val="22"/>
          <w:lang w:eastAsia="en-JM"/>
        </w:rPr>
        <w:t>to</w:t>
      </w:r>
      <w:proofErr w:type="gramEnd"/>
      <w:r w:rsidRPr="00FD40DC">
        <w:rPr>
          <w:rFonts w:cs="Arial"/>
          <w:szCs w:val="22"/>
          <w:lang w:eastAsia="en-JM"/>
        </w:rPr>
        <w:t xml:space="preserve"> intermediate transactions, reducing overall counterparty risk in the market.</w:t>
      </w:r>
    </w:p>
    <w:p w14:paraId="42190AE7" w14:textId="77777777" w:rsidR="00FD40DC" w:rsidRDefault="00FD40DC" w:rsidP="00FD40DC">
      <w:pPr>
        <w:rPr>
          <w:rFonts w:cs="Arial"/>
          <w:szCs w:val="22"/>
          <w:lang w:eastAsia="en-JM"/>
        </w:rPr>
      </w:pPr>
      <w:r w:rsidRPr="00FD40DC">
        <w:rPr>
          <w:rFonts w:cs="Arial"/>
          <w:szCs w:val="22"/>
          <w:lang w:eastAsia="en-JM"/>
        </w:rPr>
        <w:t>The CCP typically manages key financial operations, including the collection and posting of collateral from market participants to mitigate market risks. Collateral requirements are calculated based on participants' trading activities and potential exposure and are critical to maintaining market integrity. Additionally, the clearinghouse oversees the timely settlement of transactions, which is essential for maintaining confidence in the trading system.</w:t>
      </w:r>
    </w:p>
    <w:p w14:paraId="2C3A5B2D" w14:textId="6A173AEF" w:rsidR="006A1E10" w:rsidRDefault="006A1E10" w:rsidP="00FD40DC">
      <w:pPr>
        <w:rPr>
          <w:rFonts w:cs="Arial"/>
          <w:szCs w:val="22"/>
          <w:lang w:eastAsia="en-JM"/>
        </w:rPr>
      </w:pPr>
      <w:r>
        <w:rPr>
          <w:rFonts w:cs="Arial"/>
          <w:szCs w:val="22"/>
          <w:lang w:eastAsia="en-JM"/>
        </w:rPr>
        <w:t>Potential role of Central Counterparty:</w:t>
      </w:r>
    </w:p>
    <w:p w14:paraId="46E64851" w14:textId="77777777" w:rsidR="006D254D" w:rsidRPr="006D254D" w:rsidRDefault="006D254D" w:rsidP="008E21FA">
      <w:pPr>
        <w:pStyle w:val="ListParagraph"/>
        <w:numPr>
          <w:ilvl w:val="0"/>
          <w:numId w:val="25"/>
        </w:numPr>
        <w:spacing w:after="0"/>
        <w:rPr>
          <w:rFonts w:cs="Arial"/>
          <w:lang w:eastAsia="en-JM"/>
        </w:rPr>
      </w:pPr>
      <w:r w:rsidRPr="006D254D">
        <w:rPr>
          <w:rFonts w:cs="Arial"/>
          <w:lang w:eastAsia="en-JM"/>
        </w:rPr>
        <w:t>responsibility for all clearing-related operations for electricity wholesale markets</w:t>
      </w:r>
    </w:p>
    <w:p w14:paraId="0B7138D3" w14:textId="77777777" w:rsidR="006D254D" w:rsidRPr="006D254D" w:rsidRDefault="006D254D" w:rsidP="008E21FA">
      <w:pPr>
        <w:pStyle w:val="ListParagraph"/>
        <w:numPr>
          <w:ilvl w:val="0"/>
          <w:numId w:val="25"/>
        </w:numPr>
        <w:spacing w:after="0"/>
        <w:rPr>
          <w:rFonts w:cs="Arial"/>
          <w:lang w:eastAsia="en-JM"/>
        </w:rPr>
      </w:pPr>
      <w:r w:rsidRPr="006D254D">
        <w:rPr>
          <w:rFonts w:cs="Arial"/>
          <w:lang w:eastAsia="en-JM"/>
        </w:rPr>
        <w:t>interface to the market participants</w:t>
      </w:r>
    </w:p>
    <w:p w14:paraId="119DB1A0" w14:textId="77777777" w:rsidR="006D254D" w:rsidRPr="006D254D" w:rsidRDefault="006D254D" w:rsidP="008E21FA">
      <w:pPr>
        <w:pStyle w:val="ListParagraph"/>
        <w:numPr>
          <w:ilvl w:val="0"/>
          <w:numId w:val="25"/>
        </w:numPr>
        <w:spacing w:after="0"/>
        <w:rPr>
          <w:rFonts w:cs="Arial"/>
          <w:lang w:eastAsia="en-JM"/>
        </w:rPr>
      </w:pPr>
      <w:r w:rsidRPr="006D254D">
        <w:rPr>
          <w:rFonts w:cs="Arial"/>
          <w:lang w:eastAsia="en-JM"/>
        </w:rPr>
        <w:t>interface to the market operator settlement team (if separate entity)</w:t>
      </w:r>
    </w:p>
    <w:p w14:paraId="69B3F8BA" w14:textId="77777777" w:rsidR="006D254D" w:rsidRPr="006D254D" w:rsidRDefault="006D254D" w:rsidP="008E21FA">
      <w:pPr>
        <w:pStyle w:val="ListParagraph"/>
        <w:numPr>
          <w:ilvl w:val="0"/>
          <w:numId w:val="25"/>
        </w:numPr>
        <w:spacing w:after="0"/>
        <w:rPr>
          <w:rFonts w:cs="Arial"/>
          <w:lang w:eastAsia="en-JM"/>
        </w:rPr>
      </w:pPr>
      <w:r w:rsidRPr="006D254D">
        <w:rPr>
          <w:rFonts w:cs="Arial"/>
          <w:lang w:eastAsia="en-JM"/>
        </w:rPr>
        <w:t>internal data provider for financial reporting services</w:t>
      </w:r>
    </w:p>
    <w:p w14:paraId="3859DADA" w14:textId="77777777" w:rsidR="006D254D" w:rsidRPr="006D254D" w:rsidRDefault="006D254D" w:rsidP="008E21FA">
      <w:pPr>
        <w:pStyle w:val="ListParagraph"/>
        <w:numPr>
          <w:ilvl w:val="0"/>
          <w:numId w:val="25"/>
        </w:numPr>
        <w:spacing w:after="0"/>
        <w:rPr>
          <w:rFonts w:cs="Arial"/>
          <w:lang w:eastAsia="en-JM"/>
        </w:rPr>
      </w:pPr>
      <w:r w:rsidRPr="006D254D">
        <w:rPr>
          <w:rFonts w:cs="Arial"/>
          <w:lang w:eastAsia="en-JM"/>
        </w:rPr>
        <w:t>partial owner of the operational procedures for wholesale electricity markets clearing (with</w:t>
      </w:r>
    </w:p>
    <w:p w14:paraId="0CAEBA87" w14:textId="6A2DAA85" w:rsidR="006A1E10" w:rsidRDefault="006D254D" w:rsidP="008E21FA">
      <w:pPr>
        <w:pStyle w:val="ListParagraph"/>
        <w:numPr>
          <w:ilvl w:val="0"/>
          <w:numId w:val="25"/>
        </w:numPr>
        <w:spacing w:after="0"/>
        <w:rPr>
          <w:rFonts w:cs="Arial"/>
          <w:lang w:eastAsia="en-JM"/>
        </w:rPr>
      </w:pPr>
      <w:r w:rsidRPr="006D254D">
        <w:rPr>
          <w:rFonts w:cs="Arial"/>
          <w:lang w:eastAsia="en-JM"/>
        </w:rPr>
        <w:t>ownership shared with the relevant transmission owners, which provide relevant data and retain ownership of that data).</w:t>
      </w:r>
    </w:p>
    <w:p w14:paraId="6FCE43DF" w14:textId="77777777" w:rsidR="00784316" w:rsidRDefault="00784316" w:rsidP="00784316">
      <w:pPr>
        <w:spacing w:after="0"/>
        <w:rPr>
          <w:rFonts w:cs="Arial"/>
          <w:lang w:eastAsia="en-JM"/>
        </w:rPr>
      </w:pPr>
    </w:p>
    <w:p w14:paraId="559FF791" w14:textId="5B97F63C" w:rsidR="00784316" w:rsidRDefault="00784316" w:rsidP="00784316">
      <w:pPr>
        <w:spacing w:after="0"/>
        <w:rPr>
          <w:rFonts w:cs="Arial"/>
          <w:lang w:eastAsia="en-JM"/>
        </w:rPr>
      </w:pPr>
      <w:r w:rsidRPr="00784316">
        <w:rPr>
          <w:rFonts w:cs="Arial"/>
          <w:lang w:eastAsia="en-JM"/>
        </w:rPr>
        <w:t>The purpose of a CCP is to facilitate a transparent and efficient flow of funds while managing the financial settlement and clearing of all trades within the organized market(s). Additionally, a CCP mitigates counterparty risk by stepping in to fulfill obligations and cover any monetary shortfall in the event of a market participant's failure to meet its commitments</w:t>
      </w:r>
    </w:p>
    <w:p w14:paraId="430252EA" w14:textId="572095C1" w:rsidR="00511B89" w:rsidRPr="00511B89" w:rsidRDefault="00511B89" w:rsidP="00511B89">
      <w:pPr>
        <w:pStyle w:val="Caption"/>
        <w:keepNext/>
        <w:rPr>
          <w:color w:val="auto"/>
        </w:rPr>
      </w:pPr>
      <w:bookmarkStart w:id="122" w:name="_Toc185235918"/>
      <w:r w:rsidRPr="00511B89">
        <w:rPr>
          <w:color w:val="auto"/>
        </w:rPr>
        <w:t xml:space="preserve">Figure </w:t>
      </w:r>
      <w:r w:rsidR="0017404E">
        <w:rPr>
          <w:color w:val="auto"/>
        </w:rPr>
        <w:fldChar w:fldCharType="begin"/>
      </w:r>
      <w:r w:rsidR="0017404E">
        <w:rPr>
          <w:color w:val="auto"/>
        </w:rPr>
        <w:instrText xml:space="preserve"> SEQ Figure \* ARABIC </w:instrText>
      </w:r>
      <w:r w:rsidR="0017404E">
        <w:rPr>
          <w:color w:val="auto"/>
        </w:rPr>
        <w:fldChar w:fldCharType="separate"/>
      </w:r>
      <w:r w:rsidR="0017404E">
        <w:rPr>
          <w:noProof/>
          <w:color w:val="auto"/>
        </w:rPr>
        <w:t>16</w:t>
      </w:r>
      <w:r w:rsidR="0017404E">
        <w:rPr>
          <w:color w:val="auto"/>
        </w:rPr>
        <w:fldChar w:fldCharType="end"/>
      </w:r>
      <w:r w:rsidRPr="00511B89">
        <w:rPr>
          <w:color w:val="auto"/>
        </w:rPr>
        <w:t>: Overview of CCP Function</w:t>
      </w:r>
      <w:bookmarkEnd w:id="122"/>
    </w:p>
    <w:p w14:paraId="520F5303" w14:textId="7E7001C5" w:rsidR="00D207EF" w:rsidRDefault="000A0F31" w:rsidP="00784316">
      <w:pPr>
        <w:spacing w:after="0"/>
        <w:rPr>
          <w:rFonts w:cs="Arial"/>
          <w:lang w:eastAsia="en-JM"/>
        </w:rPr>
      </w:pPr>
      <w:r w:rsidRPr="000A0F31">
        <w:rPr>
          <w:noProof/>
        </w:rPr>
        <w:drawing>
          <wp:inline distT="0" distB="0" distL="0" distR="0" wp14:anchorId="7D62F797" wp14:editId="20936A3E">
            <wp:extent cx="5943600" cy="2596929"/>
            <wp:effectExtent l="19050" t="19050" r="19050" b="13335"/>
            <wp:docPr id="2097485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52067" cy="2600629"/>
                    </a:xfrm>
                    <a:prstGeom prst="rect">
                      <a:avLst/>
                    </a:prstGeom>
                    <a:noFill/>
                    <a:ln>
                      <a:solidFill>
                        <a:schemeClr val="bg1">
                          <a:lumMod val="65000"/>
                        </a:schemeClr>
                      </a:solidFill>
                    </a:ln>
                  </pic:spPr>
                </pic:pic>
              </a:graphicData>
            </a:graphic>
          </wp:inline>
        </w:drawing>
      </w:r>
    </w:p>
    <w:p w14:paraId="137404F2" w14:textId="274FCBD8" w:rsidR="00D207EF" w:rsidRDefault="000A0F31" w:rsidP="00784316">
      <w:pPr>
        <w:spacing w:after="0"/>
        <w:rPr>
          <w:rFonts w:cs="Arial"/>
          <w:lang w:eastAsia="en-JM"/>
        </w:rPr>
      </w:pPr>
      <w:r>
        <w:rPr>
          <w:rFonts w:cs="Arial"/>
          <w:lang w:eastAsia="en-JM"/>
        </w:rPr>
        <w:t>Source: Nord</w:t>
      </w:r>
      <w:r w:rsidR="00C1670B">
        <w:rPr>
          <w:rFonts w:cs="Arial"/>
          <w:lang w:eastAsia="en-JM"/>
        </w:rPr>
        <w:t xml:space="preserve"> P</w:t>
      </w:r>
      <w:r>
        <w:rPr>
          <w:rFonts w:cs="Arial"/>
          <w:lang w:eastAsia="en-JM"/>
        </w:rPr>
        <w:t>ool</w:t>
      </w:r>
      <w:r w:rsidR="00C1670B">
        <w:rPr>
          <w:rStyle w:val="FootnoteReference"/>
          <w:lang w:eastAsia="en-JM"/>
        </w:rPr>
        <w:footnoteReference w:id="28"/>
      </w:r>
    </w:p>
    <w:p w14:paraId="0AC72B8B" w14:textId="77777777" w:rsidR="00784316" w:rsidRPr="00784316" w:rsidRDefault="00784316" w:rsidP="00784316">
      <w:pPr>
        <w:spacing w:after="0"/>
        <w:rPr>
          <w:rFonts w:cs="Arial"/>
          <w:lang w:eastAsia="en-JM"/>
        </w:rPr>
      </w:pPr>
    </w:p>
    <w:p w14:paraId="5E67E14B" w14:textId="77777777" w:rsidR="00FD40DC" w:rsidRPr="00FD40DC" w:rsidRDefault="00FD40DC" w:rsidP="00FD40DC">
      <w:pPr>
        <w:rPr>
          <w:rFonts w:cs="Arial"/>
          <w:szCs w:val="22"/>
          <w:lang w:eastAsia="en-JM"/>
        </w:rPr>
      </w:pPr>
      <w:r w:rsidRPr="00FD40DC">
        <w:rPr>
          <w:rFonts w:cs="Arial"/>
          <w:szCs w:val="22"/>
          <w:lang w:eastAsia="en-JM"/>
        </w:rPr>
        <w:t>To support this mechanism, member countries participating in the regional exchange must agree on minimum requirements for settlement and clearing functions at the outset. These agreements should cover operational timelines, collateral policies, and the roles and standards for any banks involved in processing financial transactions. Given the larger volume of transactions in organized markets, rapid settlement timelines are particularly important to ensure market liquidity and reduce financial risk.</w:t>
      </w:r>
    </w:p>
    <w:p w14:paraId="0E43DA26" w14:textId="3A3F8F9E" w:rsidR="00FE61BC" w:rsidRDefault="00FD40DC" w:rsidP="00FD40DC">
      <w:pPr>
        <w:rPr>
          <w:rFonts w:cs="Arial"/>
          <w:szCs w:val="22"/>
          <w:lang w:eastAsia="en-JM"/>
        </w:rPr>
      </w:pPr>
      <w:r w:rsidRPr="00FD40DC">
        <w:rPr>
          <w:rFonts w:cs="Arial"/>
          <w:szCs w:val="22"/>
          <w:lang w:eastAsia="en-JM"/>
        </w:rPr>
        <w:t>By establishing a robust settlement and payment framework, regional power exchanges can ensure smooth financial operations, build trust among participants, and foster the long-term sustainability of cross-border power trade.</w:t>
      </w:r>
    </w:p>
    <w:p w14:paraId="39ACB27B" w14:textId="5C124A2B" w:rsidR="00226468" w:rsidRPr="0019192F" w:rsidRDefault="006A0F8B" w:rsidP="00226468">
      <w:pPr>
        <w:pStyle w:val="Heading3"/>
      </w:pPr>
      <w:r w:rsidRPr="006A0F8B">
        <w:t>Dispute resolution mechanism</w:t>
      </w:r>
    </w:p>
    <w:p w14:paraId="5C188E6D" w14:textId="77777777" w:rsidR="00474CF6" w:rsidRPr="00474CF6" w:rsidRDefault="00474CF6" w:rsidP="00474CF6">
      <w:pPr>
        <w:rPr>
          <w:rFonts w:cs="Arial"/>
          <w:szCs w:val="22"/>
          <w:lang w:eastAsia="en-JM"/>
        </w:rPr>
      </w:pPr>
      <w:r w:rsidRPr="00474CF6">
        <w:rPr>
          <w:rFonts w:cs="Arial"/>
          <w:szCs w:val="22"/>
          <w:lang w:eastAsia="en-JM"/>
        </w:rPr>
        <w:t>Establishing a robust dispute resolution mechanism is critical for the effective functioning and development of multilateral power trading in a regional power exchange. Disputes may arise during actual trading, such as failures in delivery, unintended cross-border exchanges, or payment-related disagreements. Alternatively, disputes may emerge during the process of setting up multilateral trade frameworks, which are crucial to ensuring that development progresses without losing momentum. Depending on the nature and origin of disputes, it may be necessary to implement multiple mechanisms tailored to address specific types of conflicts.</w:t>
      </w:r>
    </w:p>
    <w:p w14:paraId="21AE602F" w14:textId="2D619941" w:rsidR="00226468" w:rsidRDefault="00474CF6" w:rsidP="00474CF6">
      <w:pPr>
        <w:rPr>
          <w:rFonts w:cs="Arial"/>
          <w:szCs w:val="22"/>
        </w:rPr>
      </w:pPr>
      <w:r w:rsidRPr="00474CF6">
        <w:rPr>
          <w:rFonts w:cs="Arial"/>
          <w:szCs w:val="22"/>
          <w:lang w:eastAsia="en-JM"/>
        </w:rPr>
        <w:t>The establishment of these mechanisms, and any associated institutions, should be prioritized to ensure smooth market operations and avoid gridlocks in the development process. It is essential that all stakeholders recognize the authority of the dispute resolution framework, which may require formal agreements at the intergovernmental level. A unified and widely accepted mechanism will help ensure consistency in resolving disputes across the region and maintain cohesion in the methodologies and rules governing multilateral power trading. Such mechanisms serve as a foundation for fostering trust and cooperation among participating entities, ultimately supporting the long-term success of regional power exchanges.</w:t>
      </w:r>
    </w:p>
    <w:p w14:paraId="73518D35" w14:textId="77777777" w:rsidR="008370ED" w:rsidRDefault="009F7B5B" w:rsidP="00B01EE7">
      <w:pPr>
        <w:rPr>
          <w:rFonts w:cs="Arial"/>
          <w:szCs w:val="22"/>
        </w:rPr>
      </w:pPr>
      <w:r w:rsidRPr="005B3142">
        <w:rPr>
          <w:rFonts w:cs="Arial"/>
          <w:szCs w:val="22"/>
        </w:rPr>
        <w:t xml:space="preserve"> </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8370ED" w14:paraId="4FEE1297" w14:textId="77777777" w:rsidTr="005F56A6">
        <w:tc>
          <w:tcPr>
            <w:tcW w:w="9350" w:type="dxa"/>
            <w:shd w:val="clear" w:color="auto" w:fill="E2F3FA" w:themeFill="accent5" w:themeFillTint="33"/>
          </w:tcPr>
          <w:p w14:paraId="7DC53BBA" w14:textId="77E323B1" w:rsidR="008370ED" w:rsidRPr="00FD53BE" w:rsidRDefault="008370ED" w:rsidP="00FD53BE">
            <w:pPr>
              <w:jc w:val="center"/>
              <w:rPr>
                <w:rFonts w:cs="Arial"/>
                <w:b/>
                <w:bCs/>
                <w:szCs w:val="22"/>
              </w:rPr>
            </w:pPr>
            <w:r w:rsidRPr="00FD53BE">
              <w:rPr>
                <w:rFonts w:cs="Arial"/>
                <w:b/>
                <w:bCs/>
                <w:szCs w:val="22"/>
              </w:rPr>
              <w:t xml:space="preserve">International </w:t>
            </w:r>
            <w:r w:rsidR="00FD53BE">
              <w:rPr>
                <w:rFonts w:cs="Arial"/>
                <w:b/>
                <w:bCs/>
                <w:szCs w:val="22"/>
              </w:rPr>
              <w:t>b</w:t>
            </w:r>
            <w:r w:rsidRPr="00FD53BE">
              <w:rPr>
                <w:rFonts w:cs="Arial"/>
                <w:b/>
                <w:bCs/>
                <w:szCs w:val="22"/>
              </w:rPr>
              <w:t xml:space="preserve">est </w:t>
            </w:r>
            <w:r w:rsidR="00FD53BE">
              <w:rPr>
                <w:rFonts w:cs="Arial"/>
                <w:b/>
                <w:bCs/>
                <w:szCs w:val="22"/>
              </w:rPr>
              <w:t>p</w:t>
            </w:r>
            <w:r w:rsidRPr="00FD53BE">
              <w:rPr>
                <w:rFonts w:cs="Arial"/>
                <w:b/>
                <w:bCs/>
                <w:szCs w:val="22"/>
              </w:rPr>
              <w:t>ractices</w:t>
            </w:r>
            <w:r w:rsidR="005F56A6">
              <w:rPr>
                <w:rStyle w:val="FootnoteReference"/>
                <w:b/>
                <w:bCs/>
                <w:szCs w:val="22"/>
              </w:rPr>
              <w:footnoteReference w:id="29"/>
            </w:r>
          </w:p>
          <w:p w14:paraId="59A47868" w14:textId="77777777" w:rsidR="00FD53BE" w:rsidRPr="00FD53BE" w:rsidRDefault="00FD53BE" w:rsidP="008E21FA">
            <w:pPr>
              <w:pStyle w:val="ListParagraph"/>
              <w:numPr>
                <w:ilvl w:val="0"/>
                <w:numId w:val="26"/>
              </w:numPr>
              <w:ind w:left="517"/>
              <w:rPr>
                <w:rFonts w:cs="Arial"/>
              </w:rPr>
            </w:pPr>
            <w:r w:rsidRPr="00FD53BE">
              <w:rPr>
                <w:rFonts w:cs="Arial"/>
              </w:rPr>
              <w:t>SAPP, WAPP, GMS, Central America: dispute resolution procedures are part of inter-</w:t>
            </w:r>
            <w:proofErr w:type="gramStart"/>
            <w:r w:rsidRPr="00FD53BE">
              <w:rPr>
                <w:rFonts w:cs="Arial"/>
              </w:rPr>
              <w:t>country  agreements</w:t>
            </w:r>
            <w:proofErr w:type="gramEnd"/>
            <w:r w:rsidRPr="00FD53BE">
              <w:rPr>
                <w:rFonts w:cs="Arial"/>
              </w:rPr>
              <w:t xml:space="preserve"> &amp; treaties. </w:t>
            </w:r>
            <w:proofErr w:type="gramStart"/>
            <w:r w:rsidRPr="00FD53BE">
              <w:rPr>
                <w:rFonts w:cs="Arial"/>
              </w:rPr>
              <w:t>Also</w:t>
            </w:r>
            <w:proofErr w:type="gramEnd"/>
            <w:r w:rsidRPr="00FD53BE">
              <w:rPr>
                <w:rFonts w:cs="Arial"/>
              </w:rPr>
              <w:t xml:space="preserve"> part of bilaterally negotiated PPAs. </w:t>
            </w:r>
          </w:p>
          <w:p w14:paraId="07D1E0B7" w14:textId="6D7CCBE6" w:rsidR="00FD53BE" w:rsidRPr="009925CC" w:rsidRDefault="00FD53BE" w:rsidP="008E21FA">
            <w:pPr>
              <w:pStyle w:val="ListParagraph"/>
              <w:numPr>
                <w:ilvl w:val="0"/>
                <w:numId w:val="26"/>
              </w:numPr>
              <w:ind w:left="517"/>
              <w:rPr>
                <w:rFonts w:cs="Arial"/>
              </w:rPr>
            </w:pPr>
            <w:r w:rsidRPr="009925CC">
              <w:rPr>
                <w:rFonts w:cs="Arial"/>
              </w:rPr>
              <w:t xml:space="preserve">Most preferred method of dispute settlement resolution is amicable settlement between the parties. </w:t>
            </w:r>
          </w:p>
          <w:p w14:paraId="0155B42F" w14:textId="19A68D5F" w:rsidR="008370ED" w:rsidRPr="00FD53BE" w:rsidRDefault="00FD53BE" w:rsidP="008E21FA">
            <w:pPr>
              <w:pStyle w:val="ListParagraph"/>
              <w:numPr>
                <w:ilvl w:val="0"/>
                <w:numId w:val="26"/>
              </w:numPr>
              <w:ind w:left="517"/>
              <w:rPr>
                <w:rFonts w:cs="Arial"/>
              </w:rPr>
            </w:pPr>
            <w:r w:rsidRPr="00FD53BE">
              <w:rPr>
                <w:rFonts w:cs="Arial"/>
              </w:rPr>
              <w:t>The last resort of settlement is through international arbitration (UNCITRAL, ICSID, etc.) as mentioned in the agreements/treaties</w:t>
            </w:r>
          </w:p>
        </w:tc>
      </w:tr>
    </w:tbl>
    <w:p w14:paraId="7BC406B3" w14:textId="77777777" w:rsidR="00226468" w:rsidRDefault="00226468" w:rsidP="00B01EE7">
      <w:pPr>
        <w:rPr>
          <w:rFonts w:cs="Arial"/>
          <w:szCs w:val="22"/>
        </w:rPr>
      </w:pPr>
    </w:p>
    <w:p w14:paraId="4EBD671B" w14:textId="3028D8F3" w:rsidR="00FE7D71" w:rsidRDefault="00FE7D71" w:rsidP="00FE7D71">
      <w:pPr>
        <w:rPr>
          <w:rFonts w:cs="Arial"/>
          <w:szCs w:val="22"/>
        </w:rPr>
      </w:pPr>
      <w:r w:rsidRPr="00FE7D71">
        <w:rPr>
          <w:rFonts w:cs="Arial"/>
          <w:szCs w:val="22"/>
        </w:rPr>
        <w:t xml:space="preserve">Having outlined the minimum political, technical, and institutional requirements necessary for establishing and operating a regional power exchange, the focus now shifts towards the market platforms and the various products that support multilateral trading. </w:t>
      </w:r>
    </w:p>
    <w:p w14:paraId="75ACF43B" w14:textId="77777777" w:rsidR="00FE7D71" w:rsidRDefault="00FE7D71" w:rsidP="00FE7D71">
      <w:pPr>
        <w:rPr>
          <w:rFonts w:cs="Arial"/>
          <w:szCs w:val="22"/>
        </w:rPr>
      </w:pPr>
    </w:p>
    <w:p w14:paraId="0902A54E" w14:textId="5C458D7B" w:rsidR="00FE7D71" w:rsidRPr="00FE7D71" w:rsidRDefault="00FE7D71" w:rsidP="00FE7D71">
      <w:pPr>
        <w:rPr>
          <w:rFonts w:cs="Arial"/>
          <w:szCs w:val="22"/>
        </w:rPr>
        <w:sectPr w:rsidR="00FE7D71" w:rsidRPr="00FE7D71" w:rsidSect="009E4578">
          <w:pgSz w:w="12240" w:h="15840" w:code="1"/>
          <w:pgMar w:top="1440" w:right="1440" w:bottom="1440" w:left="1440" w:header="720" w:footer="720" w:gutter="0"/>
          <w:cols w:space="720"/>
          <w:noEndnote/>
          <w:docGrid w:linePitch="299"/>
        </w:sectPr>
      </w:pPr>
    </w:p>
    <w:p w14:paraId="231EB595" w14:textId="01698050" w:rsidR="00B01EE7" w:rsidRPr="00162660" w:rsidRDefault="00B01EE7" w:rsidP="005E5987">
      <w:pPr>
        <w:pStyle w:val="Heading1"/>
        <w:numPr>
          <w:ilvl w:val="0"/>
          <w:numId w:val="14"/>
        </w:numPr>
        <w:ind w:left="0" w:firstLine="0"/>
      </w:pPr>
      <w:r w:rsidRPr="00162660">
        <w:fldChar w:fldCharType="begin"/>
      </w:r>
      <w:r w:rsidRPr="00162660">
        <w:instrText xml:space="preserve"> SET ChapterStart "1" </w:instrText>
      </w:r>
      <w:r w:rsidRPr="00162660">
        <w:fldChar w:fldCharType="separate"/>
      </w:r>
      <w:r w:rsidRPr="00162660">
        <w:t>1</w:t>
      </w:r>
      <w:r w:rsidRPr="00162660">
        <w:fldChar w:fldCharType="end"/>
      </w:r>
      <w:r w:rsidR="006A0F8B" w:rsidRPr="006A0F8B">
        <w:t xml:space="preserve"> </w:t>
      </w:r>
      <w:bookmarkStart w:id="123" w:name="_Toc185235899"/>
      <w:r w:rsidR="006A0F8B" w:rsidRPr="006A0F8B">
        <w:t>Market platforms and products, including derivatives</w:t>
      </w:r>
      <w:bookmarkEnd w:id="123"/>
    </w:p>
    <w:p w14:paraId="06C8FE6F" w14:textId="0074C599" w:rsidR="009F0E65" w:rsidRPr="009F0E65" w:rsidRDefault="0021288D" w:rsidP="009F0E65">
      <w:pPr>
        <w:rPr>
          <w:rStyle w:val="normaltextrun"/>
          <w:rFonts w:cs="Arial"/>
          <w:szCs w:val="22"/>
        </w:rPr>
      </w:pPr>
      <w:bookmarkStart w:id="124" w:name="_Toc51588655"/>
      <w:bookmarkStart w:id="125" w:name="_Toc89429154"/>
      <w:bookmarkStart w:id="126" w:name="_Toc89778144"/>
      <w:bookmarkStart w:id="127" w:name="_Toc121403091"/>
      <w:bookmarkStart w:id="128" w:name="_Toc126831081"/>
      <w:bookmarkStart w:id="129" w:name="_Toc126831114"/>
      <w:bookmarkEnd w:id="120"/>
      <w:r w:rsidRPr="0021288D">
        <w:rPr>
          <w:rStyle w:val="normaltextrun"/>
          <w:rFonts w:cs="Arial"/>
          <w:szCs w:val="22"/>
        </w:rPr>
        <w:t>The development of market platforms and their associated products is essential for the efficient operation of modern power markets. These platforms enable price discovery, liquidity, and risk management, which are critical for balancing supply and demand in dynamic electricity markets. They ensure transparency and provide mechanisms for market participants to engage in efficient transactions. Market platforms typically offer physical contracts for the purchase and sale of electricity, along with financial instruments such as futures, options, and swaps. These derivatives are crucial for managing price volatility, a common challenge in electricity markets due to fluctuating weather, fuel prices, and regulatory changes. By using these products, market participants can hedge against risks and optimize their strategies, ensuring price stability and market efficiency. In the context of a regional power exchange, these products facilitate cross-border electricity trade and integration of complementary energy resources. For instance, the BBINS region can leverage hydropower from Bhutan and Nepal alongside thermal and renewable energy from India and Bangladesh, improving grid stability and addressing demand variations. This integration also offers economic benefits, including reduced reliance on imports and more competitive electricity prices. Derivatives, in particular, help mitigate the risks of cross-border trading, such as currency fluctuations and price volatility, ensuring a stable and liquid market. The presence of these financial instruments enhances market depth and attracts investment, while supporting price formation and risk management. A well-functioning regional power exchange, underpinned by diverse market products, can optimize resource use, reduce costs, and promote cleaner energy. Such exchanges contribute to energy security, sustainability, and a more resilient regional power system.</w:t>
      </w:r>
      <w:r w:rsidR="009F0E65" w:rsidRPr="009F0E65">
        <w:rPr>
          <w:rStyle w:val="normaltextrun"/>
          <w:rFonts w:cs="Arial"/>
          <w:szCs w:val="22"/>
        </w:rPr>
        <w:t xml:space="preserve"> This chapter explores the role of different market platforms and products, including derivatives, in fostering efficient, transparent, and sustainable electricity markets, </w:t>
      </w:r>
      <w:r w:rsidR="00F01ED1">
        <w:rPr>
          <w:rStyle w:val="normaltextrun"/>
          <w:rFonts w:cs="Arial"/>
          <w:szCs w:val="22"/>
        </w:rPr>
        <w:t>where</w:t>
      </w:r>
      <w:r w:rsidR="009F0E65" w:rsidRPr="009F0E65">
        <w:rPr>
          <w:rStyle w:val="normaltextrun"/>
          <w:rFonts w:cs="Arial"/>
          <w:szCs w:val="22"/>
        </w:rPr>
        <w:t xml:space="preserve"> regional power exchange </w:t>
      </w:r>
      <w:r w:rsidR="00F01ED1">
        <w:rPr>
          <w:rStyle w:val="normaltextrun"/>
          <w:rFonts w:cs="Arial"/>
          <w:szCs w:val="22"/>
        </w:rPr>
        <w:t xml:space="preserve">can </w:t>
      </w:r>
      <w:r w:rsidR="009F0E65" w:rsidRPr="009F0E65">
        <w:rPr>
          <w:rStyle w:val="normaltextrun"/>
          <w:rFonts w:cs="Arial"/>
          <w:szCs w:val="22"/>
        </w:rPr>
        <w:t>serv</w:t>
      </w:r>
      <w:r w:rsidR="00F01ED1">
        <w:rPr>
          <w:rStyle w:val="normaltextrun"/>
          <w:rFonts w:cs="Arial"/>
          <w:szCs w:val="22"/>
        </w:rPr>
        <w:t>e</w:t>
      </w:r>
      <w:r w:rsidR="009F0E65" w:rsidRPr="009F0E65">
        <w:rPr>
          <w:rStyle w:val="normaltextrun"/>
          <w:rFonts w:cs="Arial"/>
          <w:szCs w:val="22"/>
        </w:rPr>
        <w:t xml:space="preserve"> as a key application of these mechanisms.</w:t>
      </w:r>
    </w:p>
    <w:p w14:paraId="78985AF2" w14:textId="4259D382" w:rsidR="00B01EE7" w:rsidRPr="00B212EA" w:rsidRDefault="00B01EE7" w:rsidP="00B01EE7">
      <w:pPr>
        <w:pStyle w:val="paragraph"/>
        <w:spacing w:beforeAutospacing="0" w:afterAutospacing="0"/>
        <w:textAlignment w:val="baseline"/>
        <w:rPr>
          <w:rFonts w:cs="Arial"/>
          <w:szCs w:val="22"/>
        </w:rPr>
      </w:pPr>
      <w:r w:rsidRPr="00B212EA">
        <w:rPr>
          <w:rStyle w:val="normaltextrun"/>
          <w:rFonts w:cs="Arial"/>
          <w:szCs w:val="22"/>
        </w:rPr>
        <w:t> </w:t>
      </w:r>
    </w:p>
    <w:p w14:paraId="07E5E76F" w14:textId="0047F50C" w:rsidR="00B01EE7" w:rsidRPr="00210BC8" w:rsidRDefault="006A0F8B" w:rsidP="00FE61BC">
      <w:pPr>
        <w:pStyle w:val="Heading2"/>
      </w:pPr>
      <w:bookmarkStart w:id="130" w:name="_Toc185235900"/>
      <w:bookmarkEnd w:id="124"/>
      <w:bookmarkEnd w:id="125"/>
      <w:bookmarkEnd w:id="126"/>
      <w:bookmarkEnd w:id="127"/>
      <w:bookmarkEnd w:id="128"/>
      <w:bookmarkEnd w:id="129"/>
      <w:r w:rsidRPr="006A0F8B">
        <w:t>Regional Power Exchange</w:t>
      </w:r>
      <w:bookmarkEnd w:id="130"/>
    </w:p>
    <w:p w14:paraId="5D963800" w14:textId="02EFF5E6" w:rsidR="006A0F8B" w:rsidRDefault="00A17942" w:rsidP="00B01EE7">
      <w:pPr>
        <w:pStyle w:val="paragraph"/>
        <w:spacing w:beforeAutospacing="0" w:afterAutospacing="0"/>
        <w:textAlignment w:val="baseline"/>
        <w:rPr>
          <w:rStyle w:val="normaltextrun"/>
          <w:rFonts w:eastAsia="Arial"/>
          <w:szCs w:val="22"/>
        </w:rPr>
      </w:pPr>
      <w:r w:rsidRPr="00A17942">
        <w:rPr>
          <w:rStyle w:val="normaltextrun"/>
          <w:rFonts w:eastAsia="Arial"/>
          <w:szCs w:val="22"/>
        </w:rPr>
        <w:t>A regional power exchange is a platform that facilitates the trading of electricity between neighboring countries or regions, enabling the efficient allocation of energy resources across borders. By integrating the electricity markets of multiple countries, such an exchange allows for the optimal use of available power, helping balance supply and demand more effectively. It supports price discovery, increases market liquidity, and provides participants with access to a wider range of energy sources, leading to cost-effective electricity procurement. Additionally, regional power exchanges often offer financial products, such as futures and options, to help manage price volatility and mitigate market risks. The exchange of electricity across borders stabilizes regional grids, enhances energy security, and promotes the use of cleaner, more sustainable energy sources.</w:t>
      </w:r>
      <w:r w:rsidR="00D87D93" w:rsidRPr="00D87D93">
        <w:rPr>
          <w:rStyle w:val="normaltextrun"/>
          <w:rFonts w:eastAsia="Arial"/>
          <w:szCs w:val="22"/>
        </w:rPr>
        <w:t xml:space="preserve"> For regions like BBINS, where countries have complementary energy resources, a regional power exchange could enhance cooperation, optimize resource sharing, and improve grid stability.</w:t>
      </w:r>
    </w:p>
    <w:p w14:paraId="4336076F" w14:textId="1AC35086" w:rsidR="00BA4E21" w:rsidRPr="0019192F" w:rsidRDefault="00BA4E21" w:rsidP="00354DC2">
      <w:pPr>
        <w:pStyle w:val="Heading3"/>
        <w:spacing w:after="0"/>
      </w:pPr>
      <w:r>
        <w:t>International Case Studies</w:t>
      </w:r>
    </w:p>
    <w:p w14:paraId="641A968C" w14:textId="77777777" w:rsidR="00354DC2" w:rsidRDefault="00354DC2" w:rsidP="00354DC2">
      <w:pPr>
        <w:pStyle w:val="paragraph"/>
        <w:spacing w:beforeAutospacing="0" w:after="0" w:afterAutospacing="0"/>
        <w:textAlignment w:val="baseline"/>
        <w:rPr>
          <w:rStyle w:val="normaltextrun"/>
          <w:rFonts w:eastAsia="Arial"/>
          <w:b/>
          <w:bCs/>
          <w:szCs w:val="22"/>
        </w:rPr>
      </w:pPr>
    </w:p>
    <w:p w14:paraId="22F7D11F" w14:textId="5560228E" w:rsidR="00C42B51" w:rsidRDefault="00BA4E21" w:rsidP="00354DC2">
      <w:pPr>
        <w:pStyle w:val="paragraph"/>
        <w:spacing w:beforeAutospacing="0" w:after="240" w:afterAutospacing="0"/>
        <w:textAlignment w:val="baseline"/>
        <w:rPr>
          <w:rStyle w:val="normaltextrun"/>
          <w:rFonts w:eastAsia="Arial"/>
          <w:b/>
          <w:bCs/>
          <w:szCs w:val="22"/>
        </w:rPr>
      </w:pPr>
      <w:r w:rsidRPr="00BA4E21">
        <w:rPr>
          <w:rStyle w:val="normaltextrun"/>
          <w:rFonts w:eastAsia="Arial"/>
          <w:b/>
          <w:bCs/>
          <w:szCs w:val="22"/>
        </w:rPr>
        <w:t>Nord Pool</w:t>
      </w:r>
    </w:p>
    <w:p w14:paraId="2A2E1B18" w14:textId="77777777" w:rsidR="00354DC2" w:rsidRDefault="00C42B51" w:rsidP="00354DC2">
      <w:pPr>
        <w:pStyle w:val="paragraph"/>
        <w:spacing w:beforeAutospacing="0" w:after="240" w:afterAutospacing="0"/>
        <w:textAlignment w:val="baseline"/>
        <w:rPr>
          <w:rStyle w:val="normaltextrun"/>
          <w:rFonts w:eastAsia="Arial"/>
          <w:b/>
          <w:bCs/>
          <w:szCs w:val="22"/>
        </w:rPr>
      </w:pPr>
      <w:r w:rsidRPr="00C42B51">
        <w:rPr>
          <w:rStyle w:val="normaltextrun"/>
          <w:rFonts w:eastAsia="Arial"/>
          <w:szCs w:val="22"/>
        </w:rPr>
        <w:t>The development of the Nordic electricity market was driven by the complementary energy resources of the Nordic countries. Norway and Sweden primarily generate electricity from hydropower, while Finland and Denmark rely largely on thermal power systems. This synergy has led to greater economic efficiency, enhanced security of supply, and improved environmental performance in the Nordic power system. The integration of Swedish and Norwegian hydropower has resulted in lower average electricity prices and reduced carbon emissions across the region. Additionally, the inclusion of thermal capacity from Denmark and Finland has further strengthened security of supply, especially during dry years.</w:t>
      </w:r>
    </w:p>
    <w:p w14:paraId="134C1E86" w14:textId="58DD03AF" w:rsidR="00BA4E21" w:rsidRDefault="00C42B51" w:rsidP="00354DC2">
      <w:pPr>
        <w:pStyle w:val="paragraph"/>
        <w:spacing w:beforeAutospacing="0" w:after="240" w:afterAutospacing="0"/>
        <w:textAlignment w:val="baseline"/>
        <w:rPr>
          <w:rStyle w:val="normaltextrun"/>
          <w:rFonts w:eastAsia="Arial"/>
          <w:szCs w:val="22"/>
        </w:rPr>
      </w:pPr>
      <w:r w:rsidRPr="00C42B51">
        <w:rPr>
          <w:rStyle w:val="normaltextrun"/>
          <w:rFonts w:eastAsia="Arial"/>
          <w:szCs w:val="22"/>
        </w:rPr>
        <w:t xml:space="preserve">The Nordic countries have a long-standing tradition of cooperation and trade between their national electricity systems, formalized in 1963 with the establishment of </w:t>
      </w:r>
      <w:proofErr w:type="spellStart"/>
      <w:r w:rsidRPr="00C42B51">
        <w:rPr>
          <w:rStyle w:val="normaltextrun"/>
          <w:rFonts w:eastAsia="Arial"/>
          <w:szCs w:val="22"/>
        </w:rPr>
        <w:t>Nordel</w:t>
      </w:r>
      <w:proofErr w:type="spellEnd"/>
      <w:r w:rsidR="00807BDD">
        <w:rPr>
          <w:rStyle w:val="normaltextrun"/>
          <w:rFonts w:eastAsia="Arial"/>
          <w:szCs w:val="22"/>
        </w:rPr>
        <w:t xml:space="preserve"> (</w:t>
      </w:r>
      <w:r w:rsidR="00807BDD" w:rsidRPr="00807BDD">
        <w:rPr>
          <w:rFonts w:eastAsia="Arial"/>
          <w:szCs w:val="22"/>
        </w:rPr>
        <w:t>Nordic Electric Power System Coordination group</w:t>
      </w:r>
      <w:r w:rsidR="00807BDD">
        <w:rPr>
          <w:rFonts w:eastAsia="Arial"/>
          <w:szCs w:val="22"/>
        </w:rPr>
        <w:t>)</w:t>
      </w:r>
      <w:r w:rsidRPr="00C42B51">
        <w:rPr>
          <w:rStyle w:val="normaltextrun"/>
          <w:rFonts w:eastAsia="Arial"/>
          <w:szCs w:val="22"/>
        </w:rPr>
        <w:t>. This collaboration led to increased technical cooperation and trade, culminating in the creation of a common Nordic electricity market. In 1995, the Nordic Ministers of Energy issued the Louisiana Declaration, recognizing that a pan-Nordic electricity market would bring economic and environmental benefits to all countries and should be established promptly. The market integration unfolded in phases, beginning with the creation of the Nord Pool exchange in 1996, which initially covered Norway and Sweden. Finland joined in 1998, and Denmark followed in 2000, completing the day-ahead spot market for the entire Nordic region. Today, all consumers can choose their electricity retailer, and all retailers and generators have access to the market. The integration process also involved the removal of barriers to cross-border trade, the introduction of common grid codes, joint management of reserves, coordinated planning of interconnectors, congestion management, harmonized balance settlement, and unified goals for retail markets, all of which have contributed to a more efficient and secure electricity system across the Nordic region.</w:t>
      </w:r>
      <w:r w:rsidR="00E35176">
        <w:rPr>
          <w:rStyle w:val="normaltextrun"/>
          <w:rFonts w:eastAsia="Arial"/>
          <w:szCs w:val="22"/>
        </w:rPr>
        <w:t xml:space="preserve"> Major developments of Nord Pool over the years have been </w:t>
      </w:r>
      <w:r w:rsidR="006C0052">
        <w:rPr>
          <w:rStyle w:val="normaltextrun"/>
          <w:rFonts w:eastAsia="Arial"/>
          <w:szCs w:val="22"/>
        </w:rPr>
        <w:t>presented as follows:</w:t>
      </w:r>
    </w:p>
    <w:p w14:paraId="0EFE55A3" w14:textId="6D7AEDE4" w:rsidR="0053735A" w:rsidRPr="0053735A" w:rsidRDefault="0053735A" w:rsidP="0053735A">
      <w:pPr>
        <w:pStyle w:val="Caption"/>
        <w:keepNext/>
        <w:rPr>
          <w:color w:val="auto"/>
        </w:rPr>
      </w:pPr>
      <w:r w:rsidRPr="0053735A">
        <w:rPr>
          <w:color w:val="auto"/>
        </w:rPr>
        <w:t xml:space="preserve">Table </w:t>
      </w:r>
      <w:r w:rsidRPr="0053735A">
        <w:rPr>
          <w:color w:val="auto"/>
        </w:rPr>
        <w:fldChar w:fldCharType="begin"/>
      </w:r>
      <w:r w:rsidRPr="0053735A">
        <w:rPr>
          <w:color w:val="auto"/>
        </w:rPr>
        <w:instrText xml:space="preserve"> SEQ Table \* ARABIC </w:instrText>
      </w:r>
      <w:r w:rsidRPr="0053735A">
        <w:rPr>
          <w:color w:val="auto"/>
        </w:rPr>
        <w:fldChar w:fldCharType="separate"/>
      </w:r>
      <w:r>
        <w:rPr>
          <w:noProof/>
          <w:color w:val="auto"/>
        </w:rPr>
        <w:t>2</w:t>
      </w:r>
      <w:r w:rsidRPr="0053735A">
        <w:rPr>
          <w:color w:val="auto"/>
        </w:rPr>
        <w:fldChar w:fldCharType="end"/>
      </w:r>
      <w:r w:rsidRPr="0053735A">
        <w:rPr>
          <w:color w:val="auto"/>
        </w:rPr>
        <w:t>: Evolution of Nord Pool</w:t>
      </w:r>
    </w:p>
    <w:tbl>
      <w:tblPr>
        <w:tblW w:w="9355" w:type="dxa"/>
        <w:tblLook w:val="04A0" w:firstRow="1" w:lastRow="0" w:firstColumn="1" w:lastColumn="0" w:noHBand="0" w:noVBand="1"/>
      </w:tblPr>
      <w:tblGrid>
        <w:gridCol w:w="1345"/>
        <w:gridCol w:w="8010"/>
      </w:tblGrid>
      <w:tr w:rsidR="006C0052" w:rsidRPr="006C0052" w14:paraId="05A65F0C" w14:textId="77777777" w:rsidTr="006C0052">
        <w:trPr>
          <w:trHeight w:val="290"/>
          <w:tblHeader/>
        </w:trPr>
        <w:tc>
          <w:tcPr>
            <w:tcW w:w="1345"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77442E8" w14:textId="77777777" w:rsidR="006C0052" w:rsidRPr="006C0052" w:rsidRDefault="006C0052" w:rsidP="006C0052">
            <w:pPr>
              <w:spacing w:after="0"/>
              <w:jc w:val="center"/>
              <w:rPr>
                <w:rFonts w:cs="Arial"/>
                <w:b/>
                <w:bCs/>
                <w:color w:val="FFFFFF"/>
                <w:szCs w:val="22"/>
              </w:rPr>
            </w:pPr>
            <w:r w:rsidRPr="006C0052">
              <w:rPr>
                <w:rFonts w:cs="Arial"/>
                <w:b/>
                <w:bCs/>
                <w:color w:val="FFFFFF"/>
                <w:szCs w:val="22"/>
              </w:rPr>
              <w:t>Timeline</w:t>
            </w:r>
          </w:p>
        </w:tc>
        <w:tc>
          <w:tcPr>
            <w:tcW w:w="8010" w:type="dxa"/>
            <w:tcBorders>
              <w:top w:val="single" w:sz="4" w:space="0" w:color="auto"/>
              <w:left w:val="nil"/>
              <w:bottom w:val="single" w:sz="4" w:space="0" w:color="auto"/>
              <w:right w:val="single" w:sz="4" w:space="0" w:color="auto"/>
            </w:tcBorders>
            <w:shd w:val="clear" w:color="000000" w:fill="002060"/>
            <w:vAlign w:val="bottom"/>
            <w:hideMark/>
          </w:tcPr>
          <w:p w14:paraId="62377C3F" w14:textId="73E54093" w:rsidR="006C0052" w:rsidRPr="006C0052" w:rsidRDefault="006E3B46" w:rsidP="006C0052">
            <w:pPr>
              <w:spacing w:after="0"/>
              <w:jc w:val="center"/>
              <w:rPr>
                <w:rFonts w:cs="Arial"/>
                <w:b/>
                <w:bCs/>
                <w:color w:val="FFFFFF"/>
                <w:szCs w:val="22"/>
              </w:rPr>
            </w:pPr>
            <w:r w:rsidRPr="00006932">
              <w:rPr>
                <w:rFonts w:cs="Arial"/>
                <w:b/>
                <w:bCs/>
                <w:color w:val="FFFFFF"/>
                <w:szCs w:val="22"/>
              </w:rPr>
              <w:t>Development</w:t>
            </w:r>
          </w:p>
        </w:tc>
      </w:tr>
      <w:tr w:rsidR="006C0052" w:rsidRPr="006C0052" w14:paraId="079303BE"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5A9900E3" w14:textId="77777777" w:rsidR="006C0052" w:rsidRPr="006C0052" w:rsidRDefault="006C0052" w:rsidP="006C0052">
            <w:pPr>
              <w:spacing w:after="0"/>
              <w:jc w:val="center"/>
              <w:rPr>
                <w:rFonts w:cs="Arial"/>
                <w:color w:val="000000"/>
                <w:szCs w:val="22"/>
              </w:rPr>
            </w:pPr>
            <w:r w:rsidRPr="006C0052">
              <w:rPr>
                <w:rFonts w:cs="Arial"/>
                <w:color w:val="000000"/>
                <w:szCs w:val="22"/>
              </w:rPr>
              <w:t>1991–1995</w:t>
            </w:r>
          </w:p>
        </w:tc>
        <w:tc>
          <w:tcPr>
            <w:tcW w:w="8010" w:type="dxa"/>
            <w:tcBorders>
              <w:top w:val="nil"/>
              <w:left w:val="nil"/>
              <w:bottom w:val="single" w:sz="4" w:space="0" w:color="auto"/>
              <w:right w:val="single" w:sz="4" w:space="0" w:color="auto"/>
            </w:tcBorders>
            <w:shd w:val="clear" w:color="auto" w:fill="auto"/>
            <w:vAlign w:val="bottom"/>
            <w:hideMark/>
          </w:tcPr>
          <w:p w14:paraId="3AC3E0C7" w14:textId="77777777" w:rsidR="006C0052" w:rsidRPr="006C0052" w:rsidRDefault="006C0052" w:rsidP="006C0052">
            <w:pPr>
              <w:spacing w:after="0"/>
              <w:jc w:val="left"/>
              <w:rPr>
                <w:rFonts w:cs="Arial"/>
                <w:color w:val="000000"/>
                <w:szCs w:val="22"/>
              </w:rPr>
            </w:pPr>
            <w:r w:rsidRPr="006C0052">
              <w:rPr>
                <w:rFonts w:cs="Arial"/>
                <w:color w:val="000000"/>
                <w:szCs w:val="22"/>
              </w:rPr>
              <w:t>Norwegian power market deregulated</w:t>
            </w:r>
          </w:p>
        </w:tc>
      </w:tr>
      <w:tr w:rsidR="006C0052" w:rsidRPr="006C0052" w14:paraId="0429F18F"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2E035482" w14:textId="77777777" w:rsidR="006C0052" w:rsidRPr="006C0052" w:rsidRDefault="006C0052" w:rsidP="006C0052">
            <w:pPr>
              <w:spacing w:after="0"/>
              <w:jc w:val="center"/>
              <w:rPr>
                <w:rFonts w:cs="Arial"/>
                <w:color w:val="000000"/>
                <w:szCs w:val="22"/>
              </w:rPr>
            </w:pPr>
            <w:r w:rsidRPr="006C0052">
              <w:rPr>
                <w:rFonts w:cs="Arial"/>
                <w:color w:val="000000"/>
                <w:szCs w:val="22"/>
              </w:rPr>
              <w:t>1993</w:t>
            </w:r>
          </w:p>
        </w:tc>
        <w:tc>
          <w:tcPr>
            <w:tcW w:w="8010" w:type="dxa"/>
            <w:tcBorders>
              <w:top w:val="nil"/>
              <w:left w:val="nil"/>
              <w:bottom w:val="single" w:sz="4" w:space="0" w:color="auto"/>
              <w:right w:val="single" w:sz="4" w:space="0" w:color="auto"/>
            </w:tcBorders>
            <w:shd w:val="clear" w:color="auto" w:fill="auto"/>
            <w:vAlign w:val="bottom"/>
            <w:hideMark/>
          </w:tcPr>
          <w:p w14:paraId="50CDD9D0" w14:textId="77777777" w:rsidR="006C0052" w:rsidRPr="006C0052" w:rsidRDefault="006C0052" w:rsidP="006C0052">
            <w:pPr>
              <w:spacing w:after="0"/>
              <w:jc w:val="left"/>
              <w:rPr>
                <w:rFonts w:cs="Arial"/>
                <w:color w:val="000000"/>
                <w:szCs w:val="22"/>
              </w:rPr>
            </w:pPr>
            <w:r w:rsidRPr="006C0052">
              <w:rPr>
                <w:rFonts w:cs="Arial"/>
                <w:color w:val="000000"/>
                <w:szCs w:val="22"/>
              </w:rPr>
              <w:t>Nord Pool Spot established as ‘Statnett Marked’</w:t>
            </w:r>
          </w:p>
        </w:tc>
      </w:tr>
      <w:tr w:rsidR="006C0052" w:rsidRPr="006C0052" w14:paraId="6FA0C644" w14:textId="77777777" w:rsidTr="006C0052">
        <w:trPr>
          <w:trHeight w:val="58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5824AB21" w14:textId="77777777" w:rsidR="006C0052" w:rsidRPr="006C0052" w:rsidRDefault="006C0052" w:rsidP="006C0052">
            <w:pPr>
              <w:spacing w:after="0"/>
              <w:jc w:val="center"/>
              <w:rPr>
                <w:rFonts w:cs="Arial"/>
                <w:color w:val="000000"/>
                <w:szCs w:val="22"/>
              </w:rPr>
            </w:pPr>
            <w:r w:rsidRPr="006C0052">
              <w:rPr>
                <w:rFonts w:cs="Arial"/>
                <w:color w:val="000000"/>
                <w:szCs w:val="22"/>
              </w:rPr>
              <w:t>1995</w:t>
            </w:r>
          </w:p>
        </w:tc>
        <w:tc>
          <w:tcPr>
            <w:tcW w:w="8010" w:type="dxa"/>
            <w:tcBorders>
              <w:top w:val="nil"/>
              <w:left w:val="nil"/>
              <w:bottom w:val="single" w:sz="4" w:space="0" w:color="auto"/>
              <w:right w:val="single" w:sz="4" w:space="0" w:color="auto"/>
            </w:tcBorders>
            <w:shd w:val="clear" w:color="auto" w:fill="auto"/>
            <w:vAlign w:val="bottom"/>
            <w:hideMark/>
          </w:tcPr>
          <w:p w14:paraId="11C5E2F7" w14:textId="77777777" w:rsidR="006C0052" w:rsidRPr="006C0052" w:rsidRDefault="006C0052" w:rsidP="006C0052">
            <w:pPr>
              <w:spacing w:after="0"/>
              <w:jc w:val="left"/>
              <w:rPr>
                <w:rFonts w:cs="Arial"/>
                <w:color w:val="000000"/>
                <w:szCs w:val="22"/>
              </w:rPr>
            </w:pPr>
            <w:r w:rsidRPr="006C0052">
              <w:rPr>
                <w:rFonts w:cs="Arial"/>
                <w:color w:val="000000"/>
                <w:szCs w:val="22"/>
              </w:rPr>
              <w:t xml:space="preserve">Nordic energy ministers formed a committee to investigate the establishment of a common Nordic electricity market. Committee provides </w:t>
            </w:r>
            <w:proofErr w:type="spellStart"/>
            <w:r w:rsidRPr="006C0052">
              <w:rPr>
                <w:rFonts w:cs="Arial"/>
                <w:color w:val="000000"/>
                <w:szCs w:val="22"/>
              </w:rPr>
              <w:t>favourable</w:t>
            </w:r>
            <w:proofErr w:type="spellEnd"/>
            <w:r w:rsidRPr="006C0052">
              <w:rPr>
                <w:rFonts w:cs="Arial"/>
                <w:color w:val="000000"/>
                <w:szCs w:val="22"/>
              </w:rPr>
              <w:t xml:space="preserve"> report.</w:t>
            </w:r>
          </w:p>
        </w:tc>
      </w:tr>
      <w:tr w:rsidR="006C0052" w:rsidRPr="006C0052" w14:paraId="30EBFC08"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05E302D0" w14:textId="77777777" w:rsidR="006C0052" w:rsidRPr="006C0052" w:rsidRDefault="006C0052" w:rsidP="006C0052">
            <w:pPr>
              <w:spacing w:after="0"/>
              <w:jc w:val="center"/>
              <w:rPr>
                <w:rFonts w:cs="Arial"/>
                <w:color w:val="000000"/>
                <w:szCs w:val="22"/>
              </w:rPr>
            </w:pPr>
            <w:r w:rsidRPr="006C0052">
              <w:rPr>
                <w:rFonts w:cs="Arial"/>
                <w:color w:val="000000"/>
                <w:szCs w:val="22"/>
              </w:rPr>
              <w:t>1996</w:t>
            </w:r>
          </w:p>
        </w:tc>
        <w:tc>
          <w:tcPr>
            <w:tcW w:w="8010" w:type="dxa"/>
            <w:tcBorders>
              <w:top w:val="nil"/>
              <w:left w:val="nil"/>
              <w:bottom w:val="single" w:sz="4" w:space="0" w:color="auto"/>
              <w:right w:val="single" w:sz="4" w:space="0" w:color="auto"/>
            </w:tcBorders>
            <w:shd w:val="clear" w:color="auto" w:fill="auto"/>
            <w:vAlign w:val="bottom"/>
            <w:hideMark/>
          </w:tcPr>
          <w:p w14:paraId="70EF8C73" w14:textId="77777777" w:rsidR="006C0052" w:rsidRPr="006C0052" w:rsidRDefault="006C0052" w:rsidP="006C0052">
            <w:pPr>
              <w:spacing w:after="0"/>
              <w:jc w:val="left"/>
              <w:rPr>
                <w:rFonts w:cs="Arial"/>
                <w:color w:val="000000"/>
                <w:szCs w:val="22"/>
              </w:rPr>
            </w:pPr>
            <w:r w:rsidRPr="006C0052">
              <w:rPr>
                <w:rFonts w:cs="Arial"/>
                <w:color w:val="000000"/>
                <w:szCs w:val="22"/>
              </w:rPr>
              <w:t>Rebranded to Nord Pool when Sweden joins</w:t>
            </w:r>
          </w:p>
        </w:tc>
      </w:tr>
      <w:tr w:rsidR="006C0052" w:rsidRPr="006C0052" w14:paraId="53C2C3A7"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68309A3E" w14:textId="77777777" w:rsidR="006C0052" w:rsidRPr="006C0052" w:rsidRDefault="006C0052" w:rsidP="006C0052">
            <w:pPr>
              <w:spacing w:after="0"/>
              <w:jc w:val="center"/>
              <w:rPr>
                <w:rFonts w:cs="Arial"/>
                <w:color w:val="000000"/>
                <w:szCs w:val="22"/>
              </w:rPr>
            </w:pPr>
            <w:r w:rsidRPr="006C0052">
              <w:rPr>
                <w:rFonts w:cs="Arial"/>
                <w:color w:val="000000"/>
                <w:szCs w:val="22"/>
              </w:rPr>
              <w:t>1998</w:t>
            </w:r>
          </w:p>
        </w:tc>
        <w:tc>
          <w:tcPr>
            <w:tcW w:w="8010" w:type="dxa"/>
            <w:tcBorders>
              <w:top w:val="nil"/>
              <w:left w:val="nil"/>
              <w:bottom w:val="single" w:sz="4" w:space="0" w:color="auto"/>
              <w:right w:val="single" w:sz="4" w:space="0" w:color="auto"/>
            </w:tcBorders>
            <w:shd w:val="clear" w:color="auto" w:fill="auto"/>
            <w:vAlign w:val="bottom"/>
            <w:hideMark/>
          </w:tcPr>
          <w:p w14:paraId="2B9A2679" w14:textId="77777777" w:rsidR="006C0052" w:rsidRPr="006C0052" w:rsidRDefault="006C0052" w:rsidP="006C0052">
            <w:pPr>
              <w:spacing w:after="0"/>
              <w:jc w:val="left"/>
              <w:rPr>
                <w:rFonts w:cs="Arial"/>
                <w:color w:val="000000"/>
                <w:szCs w:val="22"/>
              </w:rPr>
            </w:pPr>
            <w:r w:rsidRPr="006C0052">
              <w:rPr>
                <w:rFonts w:cs="Arial"/>
                <w:color w:val="000000"/>
                <w:szCs w:val="22"/>
              </w:rPr>
              <w:t>Finland joins Nord Pool</w:t>
            </w:r>
          </w:p>
        </w:tc>
      </w:tr>
      <w:tr w:rsidR="006C0052" w:rsidRPr="006C0052" w14:paraId="7B54DC08"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71D8B362" w14:textId="77777777" w:rsidR="006C0052" w:rsidRPr="006C0052" w:rsidRDefault="006C0052" w:rsidP="006C0052">
            <w:pPr>
              <w:spacing w:after="0"/>
              <w:jc w:val="center"/>
              <w:rPr>
                <w:rFonts w:cs="Arial"/>
                <w:color w:val="000000"/>
                <w:szCs w:val="22"/>
              </w:rPr>
            </w:pPr>
            <w:r w:rsidRPr="006C0052">
              <w:rPr>
                <w:rFonts w:cs="Arial"/>
                <w:color w:val="000000"/>
                <w:szCs w:val="22"/>
              </w:rPr>
              <w:t>1999</w:t>
            </w:r>
          </w:p>
        </w:tc>
        <w:tc>
          <w:tcPr>
            <w:tcW w:w="8010" w:type="dxa"/>
            <w:tcBorders>
              <w:top w:val="nil"/>
              <w:left w:val="nil"/>
              <w:bottom w:val="single" w:sz="4" w:space="0" w:color="auto"/>
              <w:right w:val="single" w:sz="4" w:space="0" w:color="auto"/>
            </w:tcBorders>
            <w:shd w:val="clear" w:color="auto" w:fill="auto"/>
            <w:vAlign w:val="bottom"/>
            <w:hideMark/>
          </w:tcPr>
          <w:p w14:paraId="2166AF03" w14:textId="77777777" w:rsidR="006C0052" w:rsidRPr="006C0052" w:rsidRDefault="006C0052" w:rsidP="006C0052">
            <w:pPr>
              <w:spacing w:after="0"/>
              <w:jc w:val="left"/>
              <w:rPr>
                <w:rFonts w:cs="Arial"/>
                <w:color w:val="000000"/>
                <w:szCs w:val="22"/>
              </w:rPr>
            </w:pPr>
            <w:proofErr w:type="spellStart"/>
            <w:r w:rsidRPr="006C0052">
              <w:rPr>
                <w:rFonts w:cs="Arial"/>
                <w:color w:val="000000"/>
                <w:szCs w:val="22"/>
              </w:rPr>
              <w:t>Elbas</w:t>
            </w:r>
            <w:proofErr w:type="spellEnd"/>
            <w:r w:rsidRPr="006C0052">
              <w:rPr>
                <w:rFonts w:cs="Arial"/>
                <w:color w:val="000000"/>
                <w:szCs w:val="22"/>
              </w:rPr>
              <w:t xml:space="preserve"> becomes the first intraday market</w:t>
            </w:r>
          </w:p>
        </w:tc>
      </w:tr>
      <w:tr w:rsidR="006C0052" w:rsidRPr="006C0052" w14:paraId="1B770073"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018A05DD" w14:textId="77777777" w:rsidR="006C0052" w:rsidRPr="006C0052" w:rsidRDefault="006C0052" w:rsidP="006C0052">
            <w:pPr>
              <w:spacing w:after="0"/>
              <w:jc w:val="center"/>
              <w:rPr>
                <w:rFonts w:cs="Arial"/>
                <w:color w:val="000000"/>
                <w:szCs w:val="22"/>
              </w:rPr>
            </w:pPr>
            <w:r w:rsidRPr="006C0052">
              <w:rPr>
                <w:rFonts w:cs="Arial"/>
                <w:color w:val="000000"/>
                <w:szCs w:val="22"/>
              </w:rPr>
              <w:t>2000</w:t>
            </w:r>
          </w:p>
        </w:tc>
        <w:tc>
          <w:tcPr>
            <w:tcW w:w="8010" w:type="dxa"/>
            <w:tcBorders>
              <w:top w:val="nil"/>
              <w:left w:val="nil"/>
              <w:bottom w:val="single" w:sz="4" w:space="0" w:color="auto"/>
              <w:right w:val="single" w:sz="4" w:space="0" w:color="auto"/>
            </w:tcBorders>
            <w:shd w:val="clear" w:color="auto" w:fill="auto"/>
            <w:vAlign w:val="bottom"/>
            <w:hideMark/>
          </w:tcPr>
          <w:p w14:paraId="270F9294" w14:textId="77777777" w:rsidR="006C0052" w:rsidRPr="006C0052" w:rsidRDefault="006C0052" w:rsidP="006C0052">
            <w:pPr>
              <w:spacing w:after="0"/>
              <w:jc w:val="left"/>
              <w:rPr>
                <w:rFonts w:cs="Arial"/>
                <w:color w:val="000000"/>
                <w:szCs w:val="22"/>
              </w:rPr>
            </w:pPr>
            <w:r w:rsidRPr="006C0052">
              <w:rPr>
                <w:rFonts w:cs="Arial"/>
                <w:color w:val="000000"/>
                <w:szCs w:val="22"/>
              </w:rPr>
              <w:t>The Nordic market fully integrated as Denmark joins</w:t>
            </w:r>
          </w:p>
        </w:tc>
      </w:tr>
      <w:tr w:rsidR="006C0052" w:rsidRPr="006C0052" w14:paraId="57F76B5F"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3F590219" w14:textId="77777777" w:rsidR="006C0052" w:rsidRPr="006C0052" w:rsidRDefault="006C0052" w:rsidP="006C0052">
            <w:pPr>
              <w:spacing w:after="0"/>
              <w:jc w:val="center"/>
              <w:rPr>
                <w:rFonts w:cs="Arial"/>
                <w:color w:val="000000"/>
                <w:szCs w:val="22"/>
              </w:rPr>
            </w:pPr>
            <w:r w:rsidRPr="006C0052">
              <w:rPr>
                <w:rFonts w:cs="Arial"/>
                <w:color w:val="000000"/>
                <w:szCs w:val="22"/>
              </w:rPr>
              <w:t>2001</w:t>
            </w:r>
          </w:p>
        </w:tc>
        <w:tc>
          <w:tcPr>
            <w:tcW w:w="8010" w:type="dxa"/>
            <w:tcBorders>
              <w:top w:val="nil"/>
              <w:left w:val="nil"/>
              <w:bottom w:val="single" w:sz="4" w:space="0" w:color="auto"/>
              <w:right w:val="single" w:sz="4" w:space="0" w:color="auto"/>
            </w:tcBorders>
            <w:shd w:val="clear" w:color="auto" w:fill="auto"/>
            <w:vAlign w:val="bottom"/>
            <w:hideMark/>
          </w:tcPr>
          <w:p w14:paraId="54B251C2" w14:textId="77777777" w:rsidR="006C0052" w:rsidRPr="006C0052" w:rsidRDefault="006C0052" w:rsidP="006C0052">
            <w:pPr>
              <w:spacing w:after="0"/>
              <w:jc w:val="left"/>
              <w:rPr>
                <w:rFonts w:cs="Arial"/>
                <w:color w:val="000000"/>
                <w:szCs w:val="22"/>
              </w:rPr>
            </w:pPr>
            <w:r w:rsidRPr="006C0052">
              <w:rPr>
                <w:rFonts w:cs="Arial"/>
                <w:color w:val="000000"/>
                <w:szCs w:val="22"/>
              </w:rPr>
              <w:t>Independent Market Surveillance is established</w:t>
            </w:r>
          </w:p>
        </w:tc>
      </w:tr>
      <w:tr w:rsidR="006C0052" w:rsidRPr="006C0052" w14:paraId="5063C30C"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49DF0AEE" w14:textId="77777777" w:rsidR="006C0052" w:rsidRPr="006C0052" w:rsidRDefault="006C0052" w:rsidP="006C0052">
            <w:pPr>
              <w:spacing w:after="0"/>
              <w:jc w:val="center"/>
              <w:rPr>
                <w:rFonts w:cs="Arial"/>
                <w:color w:val="000000"/>
                <w:szCs w:val="22"/>
              </w:rPr>
            </w:pPr>
            <w:r w:rsidRPr="006C0052">
              <w:rPr>
                <w:rFonts w:cs="Arial"/>
                <w:color w:val="000000"/>
                <w:szCs w:val="22"/>
              </w:rPr>
              <w:t>2002</w:t>
            </w:r>
          </w:p>
        </w:tc>
        <w:tc>
          <w:tcPr>
            <w:tcW w:w="8010" w:type="dxa"/>
            <w:tcBorders>
              <w:top w:val="nil"/>
              <w:left w:val="nil"/>
              <w:bottom w:val="single" w:sz="4" w:space="0" w:color="auto"/>
              <w:right w:val="single" w:sz="4" w:space="0" w:color="auto"/>
            </w:tcBorders>
            <w:shd w:val="clear" w:color="auto" w:fill="auto"/>
            <w:vAlign w:val="bottom"/>
            <w:hideMark/>
          </w:tcPr>
          <w:p w14:paraId="0CB32A20" w14:textId="77777777" w:rsidR="006C0052" w:rsidRPr="006C0052" w:rsidRDefault="006C0052" w:rsidP="006C0052">
            <w:pPr>
              <w:spacing w:after="0"/>
              <w:jc w:val="left"/>
              <w:rPr>
                <w:rFonts w:cs="Arial"/>
                <w:color w:val="000000"/>
                <w:szCs w:val="22"/>
              </w:rPr>
            </w:pPr>
            <w:r w:rsidRPr="006C0052">
              <w:rPr>
                <w:rFonts w:cs="Arial"/>
                <w:color w:val="000000"/>
                <w:szCs w:val="22"/>
              </w:rPr>
              <w:t xml:space="preserve"> Nord Pool Spot established as a separate company</w:t>
            </w:r>
          </w:p>
        </w:tc>
      </w:tr>
      <w:tr w:rsidR="006C0052" w:rsidRPr="006C0052" w14:paraId="0D2A7662"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1E3E90C2" w14:textId="77777777" w:rsidR="006C0052" w:rsidRPr="006C0052" w:rsidRDefault="006C0052" w:rsidP="006C0052">
            <w:pPr>
              <w:spacing w:after="0"/>
              <w:jc w:val="center"/>
              <w:rPr>
                <w:rFonts w:cs="Arial"/>
                <w:color w:val="000000"/>
                <w:szCs w:val="22"/>
              </w:rPr>
            </w:pPr>
            <w:r w:rsidRPr="006C0052">
              <w:rPr>
                <w:rFonts w:cs="Arial"/>
                <w:color w:val="000000"/>
                <w:szCs w:val="22"/>
              </w:rPr>
              <w:t>2005</w:t>
            </w:r>
          </w:p>
        </w:tc>
        <w:tc>
          <w:tcPr>
            <w:tcW w:w="8010" w:type="dxa"/>
            <w:tcBorders>
              <w:top w:val="nil"/>
              <w:left w:val="nil"/>
              <w:bottom w:val="single" w:sz="4" w:space="0" w:color="auto"/>
              <w:right w:val="single" w:sz="4" w:space="0" w:color="auto"/>
            </w:tcBorders>
            <w:shd w:val="clear" w:color="auto" w:fill="auto"/>
            <w:vAlign w:val="bottom"/>
            <w:hideMark/>
          </w:tcPr>
          <w:p w14:paraId="61441D72" w14:textId="77777777" w:rsidR="006C0052" w:rsidRPr="006C0052" w:rsidRDefault="006C0052" w:rsidP="006C0052">
            <w:pPr>
              <w:spacing w:after="0"/>
              <w:jc w:val="left"/>
              <w:rPr>
                <w:rFonts w:cs="Arial"/>
                <w:color w:val="000000"/>
                <w:szCs w:val="22"/>
              </w:rPr>
            </w:pPr>
            <w:r w:rsidRPr="006C0052">
              <w:rPr>
                <w:rFonts w:cs="Arial"/>
                <w:color w:val="000000"/>
                <w:szCs w:val="22"/>
              </w:rPr>
              <w:t xml:space="preserve">The </w:t>
            </w:r>
            <w:proofErr w:type="spellStart"/>
            <w:r w:rsidRPr="006C0052">
              <w:rPr>
                <w:rFonts w:cs="Arial"/>
                <w:color w:val="000000"/>
                <w:szCs w:val="22"/>
              </w:rPr>
              <w:t>Kontek</w:t>
            </w:r>
            <w:proofErr w:type="spellEnd"/>
            <w:r w:rsidRPr="006C0052">
              <w:rPr>
                <w:rFonts w:cs="Arial"/>
                <w:color w:val="000000"/>
                <w:szCs w:val="22"/>
              </w:rPr>
              <w:t xml:space="preserve"> bidding area in Germany opens</w:t>
            </w:r>
          </w:p>
        </w:tc>
      </w:tr>
      <w:tr w:rsidR="006C0052" w:rsidRPr="006C0052" w14:paraId="1D1387CE"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310C4A85" w14:textId="77777777" w:rsidR="006C0052" w:rsidRPr="006C0052" w:rsidRDefault="006C0052" w:rsidP="006C0052">
            <w:pPr>
              <w:spacing w:after="0"/>
              <w:jc w:val="center"/>
              <w:rPr>
                <w:rFonts w:cs="Arial"/>
                <w:color w:val="000000"/>
                <w:szCs w:val="22"/>
              </w:rPr>
            </w:pPr>
            <w:r w:rsidRPr="006C0052">
              <w:rPr>
                <w:rFonts w:cs="Arial"/>
                <w:color w:val="000000"/>
                <w:szCs w:val="22"/>
              </w:rPr>
              <w:t>2008</w:t>
            </w:r>
          </w:p>
        </w:tc>
        <w:tc>
          <w:tcPr>
            <w:tcW w:w="8010" w:type="dxa"/>
            <w:tcBorders>
              <w:top w:val="nil"/>
              <w:left w:val="nil"/>
              <w:bottom w:val="single" w:sz="4" w:space="0" w:color="auto"/>
              <w:right w:val="single" w:sz="4" w:space="0" w:color="auto"/>
            </w:tcBorders>
            <w:shd w:val="clear" w:color="auto" w:fill="auto"/>
            <w:vAlign w:val="bottom"/>
            <w:hideMark/>
          </w:tcPr>
          <w:p w14:paraId="3F939DA5" w14:textId="77777777" w:rsidR="006C0052" w:rsidRPr="006C0052" w:rsidRDefault="006C0052" w:rsidP="006C0052">
            <w:pPr>
              <w:spacing w:after="0"/>
              <w:jc w:val="left"/>
              <w:rPr>
                <w:rFonts w:cs="Arial"/>
                <w:color w:val="000000"/>
                <w:szCs w:val="22"/>
              </w:rPr>
            </w:pPr>
            <w:r w:rsidRPr="006C0052">
              <w:rPr>
                <w:rFonts w:cs="Arial"/>
                <w:color w:val="000000"/>
                <w:szCs w:val="22"/>
              </w:rPr>
              <w:t>Financial market sold to NASDAQ OMX Commodities</w:t>
            </w:r>
          </w:p>
        </w:tc>
      </w:tr>
      <w:tr w:rsidR="006C0052" w:rsidRPr="006C0052" w14:paraId="376BD2BC" w14:textId="77777777" w:rsidTr="006C0052">
        <w:trPr>
          <w:trHeight w:val="58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114D9A8B" w14:textId="77777777" w:rsidR="006C0052" w:rsidRPr="006C0052" w:rsidRDefault="006C0052" w:rsidP="006C0052">
            <w:pPr>
              <w:spacing w:after="0"/>
              <w:jc w:val="center"/>
              <w:rPr>
                <w:rFonts w:cs="Arial"/>
                <w:color w:val="000000"/>
                <w:szCs w:val="22"/>
              </w:rPr>
            </w:pPr>
            <w:r w:rsidRPr="006C0052">
              <w:rPr>
                <w:rFonts w:cs="Arial"/>
                <w:color w:val="000000"/>
                <w:szCs w:val="22"/>
              </w:rPr>
              <w:t>2009</w:t>
            </w:r>
          </w:p>
        </w:tc>
        <w:tc>
          <w:tcPr>
            <w:tcW w:w="8010" w:type="dxa"/>
            <w:tcBorders>
              <w:top w:val="nil"/>
              <w:left w:val="nil"/>
              <w:bottom w:val="single" w:sz="4" w:space="0" w:color="auto"/>
              <w:right w:val="single" w:sz="4" w:space="0" w:color="auto"/>
            </w:tcBorders>
            <w:shd w:val="clear" w:color="auto" w:fill="auto"/>
            <w:vAlign w:val="bottom"/>
            <w:hideMark/>
          </w:tcPr>
          <w:p w14:paraId="692E7C84" w14:textId="77777777" w:rsidR="006C0052" w:rsidRPr="006C0052" w:rsidRDefault="006C0052" w:rsidP="006C0052">
            <w:pPr>
              <w:spacing w:after="0"/>
              <w:jc w:val="left"/>
              <w:rPr>
                <w:rFonts w:cs="Arial"/>
                <w:color w:val="000000"/>
                <w:szCs w:val="22"/>
              </w:rPr>
            </w:pPr>
            <w:r w:rsidRPr="006C0052">
              <w:rPr>
                <w:rFonts w:cs="Arial"/>
                <w:color w:val="000000"/>
                <w:szCs w:val="22"/>
              </w:rPr>
              <w:t>Market coupling of 11 European countries launched through European Market Coupling Company (EMCC)</w:t>
            </w:r>
          </w:p>
        </w:tc>
      </w:tr>
      <w:tr w:rsidR="006C0052" w:rsidRPr="006C0052" w14:paraId="2755AC88" w14:textId="77777777" w:rsidTr="006C0052">
        <w:trPr>
          <w:trHeight w:val="58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3E8036A9" w14:textId="77777777" w:rsidR="006C0052" w:rsidRPr="006C0052" w:rsidRDefault="006C0052" w:rsidP="006C0052">
            <w:pPr>
              <w:spacing w:after="0"/>
              <w:jc w:val="center"/>
              <w:rPr>
                <w:rFonts w:cs="Arial"/>
                <w:color w:val="000000"/>
                <w:szCs w:val="22"/>
              </w:rPr>
            </w:pPr>
            <w:r w:rsidRPr="006C0052">
              <w:rPr>
                <w:rFonts w:cs="Arial"/>
                <w:color w:val="000000"/>
                <w:szCs w:val="22"/>
              </w:rPr>
              <w:t>2010</w:t>
            </w:r>
          </w:p>
        </w:tc>
        <w:tc>
          <w:tcPr>
            <w:tcW w:w="8010" w:type="dxa"/>
            <w:tcBorders>
              <w:top w:val="nil"/>
              <w:left w:val="nil"/>
              <w:bottom w:val="single" w:sz="4" w:space="0" w:color="auto"/>
              <w:right w:val="single" w:sz="4" w:space="0" w:color="auto"/>
            </w:tcBorders>
            <w:shd w:val="clear" w:color="auto" w:fill="auto"/>
            <w:vAlign w:val="bottom"/>
            <w:hideMark/>
          </w:tcPr>
          <w:p w14:paraId="57BDCC5B" w14:textId="77777777" w:rsidR="006C0052" w:rsidRPr="006C0052" w:rsidRDefault="006C0052" w:rsidP="006C0052">
            <w:pPr>
              <w:spacing w:after="0"/>
              <w:jc w:val="left"/>
              <w:rPr>
                <w:rFonts w:cs="Arial"/>
                <w:color w:val="000000"/>
                <w:szCs w:val="22"/>
              </w:rPr>
            </w:pPr>
            <w:r w:rsidRPr="006C0052">
              <w:rPr>
                <w:rFonts w:cs="Arial"/>
                <w:color w:val="000000"/>
                <w:szCs w:val="22"/>
              </w:rPr>
              <w:t>N2EX launched by Nord Pool Spot and NASDAQ OMX</w:t>
            </w:r>
            <w:r w:rsidRPr="006C0052">
              <w:rPr>
                <w:rFonts w:cs="Arial"/>
                <w:color w:val="000000"/>
                <w:szCs w:val="22"/>
              </w:rPr>
              <w:br/>
              <w:t>Nord Pool Spot opens bidding area in Estonia</w:t>
            </w:r>
          </w:p>
        </w:tc>
      </w:tr>
      <w:tr w:rsidR="006C0052" w:rsidRPr="006C0052" w14:paraId="27F8FD38"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1CC89F58" w14:textId="77777777" w:rsidR="006C0052" w:rsidRPr="006C0052" w:rsidRDefault="006C0052" w:rsidP="006C0052">
            <w:pPr>
              <w:spacing w:after="0"/>
              <w:jc w:val="center"/>
              <w:rPr>
                <w:rFonts w:cs="Arial"/>
                <w:color w:val="000000"/>
                <w:szCs w:val="22"/>
              </w:rPr>
            </w:pPr>
            <w:r w:rsidRPr="006C0052">
              <w:rPr>
                <w:rFonts w:cs="Arial"/>
                <w:color w:val="000000"/>
                <w:szCs w:val="22"/>
              </w:rPr>
              <w:t>2012</w:t>
            </w:r>
          </w:p>
        </w:tc>
        <w:tc>
          <w:tcPr>
            <w:tcW w:w="8010" w:type="dxa"/>
            <w:tcBorders>
              <w:top w:val="nil"/>
              <w:left w:val="nil"/>
              <w:bottom w:val="single" w:sz="4" w:space="0" w:color="auto"/>
              <w:right w:val="single" w:sz="4" w:space="0" w:color="auto"/>
            </w:tcBorders>
            <w:shd w:val="clear" w:color="auto" w:fill="auto"/>
            <w:vAlign w:val="bottom"/>
            <w:hideMark/>
          </w:tcPr>
          <w:p w14:paraId="5795C6D0" w14:textId="77777777" w:rsidR="006C0052" w:rsidRPr="006C0052" w:rsidRDefault="006C0052" w:rsidP="006C0052">
            <w:pPr>
              <w:spacing w:after="0"/>
              <w:jc w:val="left"/>
              <w:rPr>
                <w:rFonts w:cs="Arial"/>
                <w:color w:val="000000"/>
                <w:szCs w:val="22"/>
              </w:rPr>
            </w:pPr>
            <w:r w:rsidRPr="006C0052">
              <w:rPr>
                <w:rFonts w:cs="Arial"/>
                <w:color w:val="000000"/>
                <w:szCs w:val="22"/>
              </w:rPr>
              <w:t>Nord Pool Spot opens bidding area in Lithuania</w:t>
            </w:r>
          </w:p>
        </w:tc>
      </w:tr>
      <w:tr w:rsidR="006C0052" w:rsidRPr="006C0052" w14:paraId="3E247F2D"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16171727" w14:textId="77777777" w:rsidR="006C0052" w:rsidRPr="006C0052" w:rsidRDefault="006C0052" w:rsidP="006C0052">
            <w:pPr>
              <w:spacing w:after="0"/>
              <w:jc w:val="center"/>
              <w:rPr>
                <w:rFonts w:cs="Arial"/>
                <w:color w:val="000000"/>
                <w:szCs w:val="22"/>
              </w:rPr>
            </w:pPr>
            <w:r w:rsidRPr="006C0052">
              <w:rPr>
                <w:rFonts w:cs="Arial"/>
                <w:color w:val="000000"/>
                <w:szCs w:val="22"/>
              </w:rPr>
              <w:t>2013</w:t>
            </w:r>
          </w:p>
        </w:tc>
        <w:tc>
          <w:tcPr>
            <w:tcW w:w="8010" w:type="dxa"/>
            <w:tcBorders>
              <w:top w:val="nil"/>
              <w:left w:val="nil"/>
              <w:bottom w:val="single" w:sz="4" w:space="0" w:color="auto"/>
              <w:right w:val="single" w:sz="4" w:space="0" w:color="auto"/>
            </w:tcBorders>
            <w:shd w:val="clear" w:color="auto" w:fill="auto"/>
            <w:vAlign w:val="bottom"/>
            <w:hideMark/>
          </w:tcPr>
          <w:p w14:paraId="0EDFE36D" w14:textId="77777777" w:rsidR="006C0052" w:rsidRPr="006C0052" w:rsidRDefault="006C0052" w:rsidP="006C0052">
            <w:pPr>
              <w:spacing w:after="0"/>
              <w:jc w:val="left"/>
              <w:rPr>
                <w:rFonts w:cs="Arial"/>
                <w:color w:val="000000"/>
                <w:szCs w:val="22"/>
              </w:rPr>
            </w:pPr>
            <w:r w:rsidRPr="006C0052">
              <w:rPr>
                <w:rFonts w:cs="Arial"/>
                <w:color w:val="000000"/>
                <w:szCs w:val="22"/>
              </w:rPr>
              <w:t>Nord Pool Spot opens bidding area in Latvia thus including all the Baltic countries</w:t>
            </w:r>
          </w:p>
        </w:tc>
      </w:tr>
      <w:tr w:rsidR="006C0052" w:rsidRPr="006C0052" w14:paraId="5D07D189"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192FAC21" w14:textId="77777777" w:rsidR="006C0052" w:rsidRPr="006C0052" w:rsidRDefault="006C0052" w:rsidP="006C0052">
            <w:pPr>
              <w:spacing w:after="0"/>
              <w:jc w:val="center"/>
              <w:rPr>
                <w:rFonts w:cs="Arial"/>
                <w:color w:val="000000"/>
                <w:szCs w:val="22"/>
              </w:rPr>
            </w:pPr>
            <w:r w:rsidRPr="006C0052">
              <w:rPr>
                <w:rFonts w:cs="Arial"/>
                <w:color w:val="000000"/>
                <w:szCs w:val="22"/>
              </w:rPr>
              <w:t>2014</w:t>
            </w:r>
          </w:p>
        </w:tc>
        <w:tc>
          <w:tcPr>
            <w:tcW w:w="8010" w:type="dxa"/>
            <w:tcBorders>
              <w:top w:val="nil"/>
              <w:left w:val="nil"/>
              <w:bottom w:val="single" w:sz="4" w:space="0" w:color="auto"/>
              <w:right w:val="single" w:sz="4" w:space="0" w:color="auto"/>
            </w:tcBorders>
            <w:shd w:val="clear" w:color="auto" w:fill="auto"/>
            <w:vAlign w:val="bottom"/>
            <w:hideMark/>
          </w:tcPr>
          <w:p w14:paraId="54EB2C1A" w14:textId="77777777" w:rsidR="006C0052" w:rsidRPr="006C0052" w:rsidRDefault="006C0052" w:rsidP="006C0052">
            <w:pPr>
              <w:spacing w:after="0"/>
              <w:jc w:val="left"/>
              <w:rPr>
                <w:rFonts w:cs="Arial"/>
                <w:color w:val="000000"/>
                <w:szCs w:val="22"/>
              </w:rPr>
            </w:pPr>
            <w:r w:rsidRPr="006C0052">
              <w:rPr>
                <w:rFonts w:cs="Arial"/>
                <w:color w:val="000000"/>
                <w:szCs w:val="22"/>
              </w:rPr>
              <w:t>Nord Pool Spot confirms successful takeover of N2EX Clearing and Operations</w:t>
            </w:r>
          </w:p>
        </w:tc>
      </w:tr>
      <w:tr w:rsidR="006C0052" w:rsidRPr="006C0052" w14:paraId="4E58F83F"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0FFE6AC9" w14:textId="77777777" w:rsidR="006C0052" w:rsidRPr="006C0052" w:rsidRDefault="006C0052" w:rsidP="006C0052">
            <w:pPr>
              <w:spacing w:after="0"/>
              <w:jc w:val="center"/>
              <w:rPr>
                <w:rFonts w:cs="Arial"/>
                <w:color w:val="000000"/>
                <w:szCs w:val="22"/>
              </w:rPr>
            </w:pPr>
            <w:r w:rsidRPr="006C0052">
              <w:rPr>
                <w:rFonts w:cs="Arial"/>
                <w:color w:val="000000"/>
                <w:szCs w:val="22"/>
              </w:rPr>
              <w:t>2015</w:t>
            </w:r>
          </w:p>
        </w:tc>
        <w:tc>
          <w:tcPr>
            <w:tcW w:w="8010" w:type="dxa"/>
            <w:tcBorders>
              <w:top w:val="nil"/>
              <w:left w:val="nil"/>
              <w:bottom w:val="single" w:sz="4" w:space="0" w:color="auto"/>
              <w:right w:val="single" w:sz="4" w:space="0" w:color="auto"/>
            </w:tcBorders>
            <w:shd w:val="clear" w:color="auto" w:fill="auto"/>
            <w:vAlign w:val="bottom"/>
            <w:hideMark/>
          </w:tcPr>
          <w:p w14:paraId="2E5357B8" w14:textId="77777777" w:rsidR="006C0052" w:rsidRPr="006C0052" w:rsidRDefault="006C0052" w:rsidP="006C0052">
            <w:pPr>
              <w:spacing w:after="0"/>
              <w:jc w:val="left"/>
              <w:rPr>
                <w:rFonts w:cs="Arial"/>
                <w:color w:val="000000"/>
                <w:szCs w:val="22"/>
              </w:rPr>
            </w:pPr>
            <w:r w:rsidRPr="006C0052">
              <w:rPr>
                <w:rFonts w:cs="Arial"/>
                <w:color w:val="000000"/>
                <w:szCs w:val="22"/>
              </w:rPr>
              <w:t>New bid products for Nordic-Baltic Day-ahead auction</w:t>
            </w:r>
          </w:p>
        </w:tc>
      </w:tr>
      <w:tr w:rsidR="006C0052" w:rsidRPr="006C0052" w14:paraId="4DBF903F"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463870E3" w14:textId="77777777" w:rsidR="006C0052" w:rsidRPr="006C0052" w:rsidRDefault="006C0052" w:rsidP="006C0052">
            <w:pPr>
              <w:spacing w:after="0"/>
              <w:jc w:val="center"/>
              <w:rPr>
                <w:rFonts w:cs="Arial"/>
                <w:color w:val="000000"/>
                <w:szCs w:val="22"/>
              </w:rPr>
            </w:pPr>
            <w:r w:rsidRPr="006C0052">
              <w:rPr>
                <w:rFonts w:cs="Arial"/>
                <w:color w:val="000000"/>
                <w:szCs w:val="22"/>
              </w:rPr>
              <w:t>2016</w:t>
            </w:r>
          </w:p>
        </w:tc>
        <w:tc>
          <w:tcPr>
            <w:tcW w:w="8010" w:type="dxa"/>
            <w:tcBorders>
              <w:top w:val="nil"/>
              <w:left w:val="nil"/>
              <w:bottom w:val="single" w:sz="4" w:space="0" w:color="auto"/>
              <w:right w:val="single" w:sz="4" w:space="0" w:color="auto"/>
            </w:tcBorders>
            <w:shd w:val="clear" w:color="auto" w:fill="auto"/>
            <w:vAlign w:val="bottom"/>
            <w:hideMark/>
          </w:tcPr>
          <w:p w14:paraId="7E4F92CC" w14:textId="77777777" w:rsidR="006C0052" w:rsidRPr="006C0052" w:rsidRDefault="006C0052" w:rsidP="006C0052">
            <w:pPr>
              <w:spacing w:after="0"/>
              <w:jc w:val="left"/>
              <w:rPr>
                <w:rFonts w:cs="Arial"/>
                <w:color w:val="000000"/>
                <w:szCs w:val="22"/>
              </w:rPr>
            </w:pPr>
            <w:r w:rsidRPr="006C0052">
              <w:rPr>
                <w:rFonts w:cs="Arial"/>
                <w:color w:val="000000"/>
                <w:szCs w:val="22"/>
              </w:rPr>
              <w:t>CROPEX and Nord Pool announce development of Croatian intraday market</w:t>
            </w:r>
          </w:p>
        </w:tc>
      </w:tr>
      <w:tr w:rsidR="006C0052" w:rsidRPr="006C0052" w14:paraId="6C882C4C"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490DAFB5" w14:textId="77777777" w:rsidR="006C0052" w:rsidRPr="006C0052" w:rsidRDefault="006C0052" w:rsidP="006C0052">
            <w:pPr>
              <w:spacing w:after="0"/>
              <w:jc w:val="center"/>
              <w:rPr>
                <w:rFonts w:cs="Arial"/>
                <w:color w:val="000000"/>
                <w:szCs w:val="22"/>
              </w:rPr>
            </w:pPr>
            <w:r w:rsidRPr="006C0052">
              <w:rPr>
                <w:rFonts w:cs="Arial"/>
                <w:color w:val="000000"/>
                <w:szCs w:val="22"/>
              </w:rPr>
              <w:t>2017</w:t>
            </w:r>
          </w:p>
        </w:tc>
        <w:tc>
          <w:tcPr>
            <w:tcW w:w="8010" w:type="dxa"/>
            <w:tcBorders>
              <w:top w:val="nil"/>
              <w:left w:val="nil"/>
              <w:bottom w:val="single" w:sz="4" w:space="0" w:color="auto"/>
              <w:right w:val="single" w:sz="4" w:space="0" w:color="auto"/>
            </w:tcBorders>
            <w:shd w:val="clear" w:color="auto" w:fill="auto"/>
            <w:vAlign w:val="bottom"/>
            <w:hideMark/>
          </w:tcPr>
          <w:p w14:paraId="2D1A7F08" w14:textId="77777777" w:rsidR="006C0052" w:rsidRPr="006C0052" w:rsidRDefault="006C0052" w:rsidP="006C0052">
            <w:pPr>
              <w:spacing w:after="0"/>
              <w:jc w:val="left"/>
              <w:rPr>
                <w:rFonts w:cs="Arial"/>
                <w:color w:val="000000"/>
                <w:szCs w:val="22"/>
              </w:rPr>
            </w:pPr>
            <w:r w:rsidRPr="006C0052">
              <w:rPr>
                <w:rFonts w:cs="Arial"/>
                <w:color w:val="000000"/>
                <w:szCs w:val="22"/>
              </w:rPr>
              <w:t>Nord Pool and Agder Energi join forces to create the marketplace of the future</w:t>
            </w:r>
          </w:p>
        </w:tc>
      </w:tr>
      <w:tr w:rsidR="006C0052" w:rsidRPr="006C0052" w14:paraId="10D9F902" w14:textId="77777777" w:rsidTr="006C0052">
        <w:trPr>
          <w:trHeight w:val="58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3F184A02" w14:textId="77777777" w:rsidR="006C0052" w:rsidRPr="006C0052" w:rsidRDefault="006C0052" w:rsidP="006C0052">
            <w:pPr>
              <w:spacing w:after="0"/>
              <w:jc w:val="center"/>
              <w:rPr>
                <w:rFonts w:cs="Arial"/>
                <w:color w:val="000000"/>
                <w:szCs w:val="22"/>
              </w:rPr>
            </w:pPr>
            <w:r w:rsidRPr="006C0052">
              <w:rPr>
                <w:rFonts w:cs="Arial"/>
                <w:color w:val="000000"/>
                <w:szCs w:val="22"/>
              </w:rPr>
              <w:t>2018</w:t>
            </w:r>
          </w:p>
        </w:tc>
        <w:tc>
          <w:tcPr>
            <w:tcW w:w="8010" w:type="dxa"/>
            <w:tcBorders>
              <w:top w:val="nil"/>
              <w:left w:val="nil"/>
              <w:bottom w:val="single" w:sz="4" w:space="0" w:color="auto"/>
              <w:right w:val="single" w:sz="4" w:space="0" w:color="auto"/>
            </w:tcBorders>
            <w:shd w:val="clear" w:color="auto" w:fill="auto"/>
            <w:vAlign w:val="bottom"/>
            <w:hideMark/>
          </w:tcPr>
          <w:p w14:paraId="21DC05DF" w14:textId="77777777" w:rsidR="006C0052" w:rsidRPr="006C0052" w:rsidRDefault="006C0052" w:rsidP="006C0052">
            <w:pPr>
              <w:spacing w:after="0"/>
              <w:jc w:val="left"/>
              <w:rPr>
                <w:rFonts w:cs="Arial"/>
                <w:color w:val="000000"/>
                <w:szCs w:val="22"/>
              </w:rPr>
            </w:pPr>
            <w:r w:rsidRPr="006C0052">
              <w:rPr>
                <w:rFonts w:cs="Arial"/>
                <w:color w:val="000000"/>
                <w:szCs w:val="22"/>
              </w:rPr>
              <w:t>Nord Pool restructuring separating its Market Coupling Operator functions from the commercial Power Exchange functions.</w:t>
            </w:r>
          </w:p>
        </w:tc>
      </w:tr>
      <w:tr w:rsidR="006C0052" w:rsidRPr="006C0052" w14:paraId="506B5ACB" w14:textId="77777777" w:rsidTr="006C0052">
        <w:trPr>
          <w:trHeight w:val="58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15326FA9" w14:textId="77777777" w:rsidR="006C0052" w:rsidRPr="006C0052" w:rsidRDefault="006C0052" w:rsidP="006C0052">
            <w:pPr>
              <w:spacing w:after="0"/>
              <w:jc w:val="center"/>
              <w:rPr>
                <w:rFonts w:cs="Arial"/>
                <w:color w:val="000000"/>
                <w:szCs w:val="22"/>
              </w:rPr>
            </w:pPr>
            <w:r w:rsidRPr="006C0052">
              <w:rPr>
                <w:rFonts w:cs="Arial"/>
                <w:color w:val="000000"/>
                <w:szCs w:val="22"/>
              </w:rPr>
              <w:t>2020</w:t>
            </w:r>
          </w:p>
        </w:tc>
        <w:tc>
          <w:tcPr>
            <w:tcW w:w="8010" w:type="dxa"/>
            <w:tcBorders>
              <w:top w:val="nil"/>
              <w:left w:val="nil"/>
              <w:bottom w:val="single" w:sz="4" w:space="0" w:color="auto"/>
              <w:right w:val="single" w:sz="4" w:space="0" w:color="auto"/>
            </w:tcBorders>
            <w:shd w:val="clear" w:color="auto" w:fill="auto"/>
            <w:vAlign w:val="bottom"/>
            <w:hideMark/>
          </w:tcPr>
          <w:p w14:paraId="4AF26722" w14:textId="77777777" w:rsidR="006C0052" w:rsidRPr="006C0052" w:rsidRDefault="006C0052" w:rsidP="006C0052">
            <w:pPr>
              <w:spacing w:after="0"/>
              <w:jc w:val="left"/>
              <w:rPr>
                <w:rFonts w:cs="Arial"/>
                <w:color w:val="000000"/>
                <w:szCs w:val="22"/>
              </w:rPr>
            </w:pPr>
            <w:r w:rsidRPr="006C0052">
              <w:rPr>
                <w:rFonts w:cs="Arial"/>
                <w:color w:val="000000"/>
                <w:szCs w:val="22"/>
              </w:rPr>
              <w:t xml:space="preserve">Update to system price calculation - launch of </w:t>
            </w:r>
            <w:proofErr w:type="spellStart"/>
            <w:r w:rsidRPr="006C0052">
              <w:rPr>
                <w:rFonts w:cs="Arial"/>
                <w:color w:val="000000"/>
                <w:szCs w:val="22"/>
              </w:rPr>
              <w:t>NordLink</w:t>
            </w:r>
            <w:proofErr w:type="spellEnd"/>
            <w:r w:rsidRPr="006C0052">
              <w:rPr>
                <w:rFonts w:cs="Arial"/>
                <w:color w:val="000000"/>
                <w:szCs w:val="22"/>
              </w:rPr>
              <w:br/>
              <w:t>Nord Pool announces GB Auction changes for BREXIT</w:t>
            </w:r>
          </w:p>
        </w:tc>
      </w:tr>
      <w:tr w:rsidR="006C0052" w:rsidRPr="006C0052" w14:paraId="7AED4F11"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4186F69C" w14:textId="77777777" w:rsidR="006C0052" w:rsidRPr="006C0052" w:rsidRDefault="006C0052" w:rsidP="006C0052">
            <w:pPr>
              <w:spacing w:after="0"/>
              <w:jc w:val="center"/>
              <w:rPr>
                <w:rFonts w:cs="Arial"/>
                <w:color w:val="000000"/>
                <w:szCs w:val="22"/>
              </w:rPr>
            </w:pPr>
            <w:r w:rsidRPr="006C0052">
              <w:rPr>
                <w:rFonts w:cs="Arial"/>
                <w:color w:val="000000"/>
                <w:szCs w:val="22"/>
              </w:rPr>
              <w:t>2021</w:t>
            </w:r>
          </w:p>
        </w:tc>
        <w:tc>
          <w:tcPr>
            <w:tcW w:w="8010" w:type="dxa"/>
            <w:tcBorders>
              <w:top w:val="nil"/>
              <w:left w:val="nil"/>
              <w:bottom w:val="single" w:sz="4" w:space="0" w:color="auto"/>
              <w:right w:val="single" w:sz="4" w:space="0" w:color="auto"/>
            </w:tcBorders>
            <w:shd w:val="clear" w:color="auto" w:fill="auto"/>
            <w:vAlign w:val="bottom"/>
            <w:hideMark/>
          </w:tcPr>
          <w:p w14:paraId="71AFA8D8" w14:textId="77777777" w:rsidR="006C0052" w:rsidRPr="006C0052" w:rsidRDefault="006C0052" w:rsidP="006C0052">
            <w:pPr>
              <w:spacing w:after="0"/>
              <w:jc w:val="left"/>
              <w:rPr>
                <w:rFonts w:cs="Arial"/>
                <w:color w:val="000000"/>
                <w:szCs w:val="22"/>
              </w:rPr>
            </w:pPr>
            <w:r w:rsidRPr="006C0052">
              <w:rPr>
                <w:rFonts w:cs="Arial"/>
                <w:color w:val="000000"/>
                <w:szCs w:val="22"/>
              </w:rPr>
              <w:t xml:space="preserve">Inclusion of the </w:t>
            </w:r>
            <w:proofErr w:type="gramStart"/>
            <w:r w:rsidRPr="006C0052">
              <w:rPr>
                <w:rFonts w:cs="Arial"/>
                <w:color w:val="000000"/>
                <w:szCs w:val="22"/>
              </w:rPr>
              <w:t>Bulgarian-Romanian</w:t>
            </w:r>
            <w:proofErr w:type="gramEnd"/>
            <w:r w:rsidRPr="006C0052">
              <w:rPr>
                <w:rFonts w:cs="Arial"/>
                <w:color w:val="000000"/>
                <w:szCs w:val="22"/>
              </w:rPr>
              <w:t xml:space="preserve"> border into the Single Day-Ahead Coupling (SDAC)</w:t>
            </w:r>
          </w:p>
        </w:tc>
      </w:tr>
      <w:tr w:rsidR="006C0052" w:rsidRPr="006C0052" w14:paraId="55E6CD08" w14:textId="77777777" w:rsidTr="006C0052">
        <w:trPr>
          <w:trHeight w:val="29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7CFF2EE4" w14:textId="77777777" w:rsidR="006C0052" w:rsidRPr="006C0052" w:rsidRDefault="006C0052" w:rsidP="006C0052">
            <w:pPr>
              <w:spacing w:after="0"/>
              <w:jc w:val="center"/>
              <w:rPr>
                <w:rFonts w:cs="Arial"/>
                <w:color w:val="000000"/>
                <w:szCs w:val="22"/>
              </w:rPr>
            </w:pPr>
            <w:r w:rsidRPr="006C0052">
              <w:rPr>
                <w:rFonts w:cs="Arial"/>
                <w:color w:val="000000"/>
                <w:szCs w:val="22"/>
              </w:rPr>
              <w:t>2022</w:t>
            </w:r>
          </w:p>
        </w:tc>
        <w:tc>
          <w:tcPr>
            <w:tcW w:w="8010" w:type="dxa"/>
            <w:tcBorders>
              <w:top w:val="nil"/>
              <w:left w:val="nil"/>
              <w:bottom w:val="single" w:sz="4" w:space="0" w:color="auto"/>
              <w:right w:val="single" w:sz="4" w:space="0" w:color="auto"/>
            </w:tcBorders>
            <w:shd w:val="clear" w:color="auto" w:fill="auto"/>
            <w:vAlign w:val="bottom"/>
            <w:hideMark/>
          </w:tcPr>
          <w:p w14:paraId="64B6DA6F" w14:textId="77777777" w:rsidR="006C0052" w:rsidRPr="006C0052" w:rsidRDefault="006C0052" w:rsidP="006C0052">
            <w:pPr>
              <w:spacing w:after="0"/>
              <w:jc w:val="left"/>
              <w:rPr>
                <w:rFonts w:cs="Arial"/>
                <w:color w:val="000000"/>
                <w:szCs w:val="22"/>
              </w:rPr>
            </w:pPr>
            <w:r w:rsidRPr="006C0052">
              <w:rPr>
                <w:rFonts w:cs="Arial"/>
                <w:color w:val="000000"/>
                <w:szCs w:val="22"/>
              </w:rPr>
              <w:t>Launch of Flow-Based Market Coupling in the Core region</w:t>
            </w:r>
          </w:p>
        </w:tc>
      </w:tr>
      <w:tr w:rsidR="006C0052" w:rsidRPr="006C0052" w14:paraId="0F2E85F7" w14:textId="77777777" w:rsidTr="006C0052">
        <w:trPr>
          <w:trHeight w:val="580"/>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12549DA7" w14:textId="77777777" w:rsidR="006C0052" w:rsidRPr="006C0052" w:rsidRDefault="006C0052" w:rsidP="006C0052">
            <w:pPr>
              <w:spacing w:after="0"/>
              <w:jc w:val="center"/>
              <w:rPr>
                <w:rFonts w:cs="Arial"/>
                <w:color w:val="000000"/>
                <w:szCs w:val="22"/>
              </w:rPr>
            </w:pPr>
            <w:r w:rsidRPr="006C0052">
              <w:rPr>
                <w:rFonts w:cs="Arial"/>
                <w:color w:val="000000"/>
                <w:szCs w:val="22"/>
              </w:rPr>
              <w:t>2023</w:t>
            </w:r>
          </w:p>
        </w:tc>
        <w:tc>
          <w:tcPr>
            <w:tcW w:w="8010" w:type="dxa"/>
            <w:tcBorders>
              <w:top w:val="nil"/>
              <w:left w:val="nil"/>
              <w:bottom w:val="single" w:sz="4" w:space="0" w:color="auto"/>
              <w:right w:val="single" w:sz="4" w:space="0" w:color="auto"/>
            </w:tcBorders>
            <w:shd w:val="clear" w:color="auto" w:fill="auto"/>
            <w:vAlign w:val="bottom"/>
            <w:hideMark/>
          </w:tcPr>
          <w:p w14:paraId="5330B8CE" w14:textId="77777777" w:rsidR="006C0052" w:rsidRPr="006C0052" w:rsidRDefault="006C0052" w:rsidP="006C0052">
            <w:pPr>
              <w:spacing w:after="0"/>
              <w:jc w:val="left"/>
              <w:rPr>
                <w:rFonts w:cs="Arial"/>
                <w:color w:val="000000"/>
                <w:szCs w:val="22"/>
              </w:rPr>
            </w:pPr>
            <w:r w:rsidRPr="006C0052">
              <w:rPr>
                <w:rFonts w:cs="Arial"/>
                <w:color w:val="000000"/>
                <w:szCs w:val="22"/>
              </w:rPr>
              <w:t xml:space="preserve">Nord Pool and BRM (Bursa </w:t>
            </w:r>
            <w:proofErr w:type="spellStart"/>
            <w:r w:rsidRPr="006C0052">
              <w:rPr>
                <w:rFonts w:cs="Arial"/>
                <w:color w:val="000000"/>
                <w:szCs w:val="22"/>
              </w:rPr>
              <w:t>Română</w:t>
            </w:r>
            <w:proofErr w:type="spellEnd"/>
            <w:r w:rsidRPr="006C0052">
              <w:rPr>
                <w:rFonts w:cs="Arial"/>
                <w:color w:val="000000"/>
                <w:szCs w:val="22"/>
              </w:rPr>
              <w:t xml:space="preserve"> de </w:t>
            </w:r>
            <w:proofErr w:type="spellStart"/>
            <w:r w:rsidRPr="006C0052">
              <w:rPr>
                <w:rFonts w:cs="Arial"/>
                <w:color w:val="000000"/>
                <w:szCs w:val="22"/>
              </w:rPr>
              <w:t>Mărfuri</w:t>
            </w:r>
            <w:proofErr w:type="spellEnd"/>
            <w:r w:rsidRPr="006C0052">
              <w:rPr>
                <w:rFonts w:cs="Arial"/>
                <w:color w:val="000000"/>
                <w:szCs w:val="22"/>
              </w:rPr>
              <w:t xml:space="preserve"> S.A.)  partner to deliver new Romanian Power Exchange</w:t>
            </w:r>
          </w:p>
        </w:tc>
      </w:tr>
      <w:tr w:rsidR="006C0052" w:rsidRPr="006C0052" w14:paraId="061369FD" w14:textId="77777777" w:rsidTr="00146608">
        <w:trPr>
          <w:trHeight w:val="54"/>
        </w:trPr>
        <w:tc>
          <w:tcPr>
            <w:tcW w:w="1345" w:type="dxa"/>
            <w:tcBorders>
              <w:top w:val="nil"/>
              <w:left w:val="single" w:sz="4" w:space="0" w:color="auto"/>
              <w:bottom w:val="single" w:sz="4" w:space="0" w:color="auto"/>
              <w:right w:val="single" w:sz="4" w:space="0" w:color="auto"/>
            </w:tcBorders>
            <w:shd w:val="clear" w:color="auto" w:fill="auto"/>
            <w:noWrap/>
            <w:vAlign w:val="center"/>
            <w:hideMark/>
          </w:tcPr>
          <w:p w14:paraId="06D60104" w14:textId="77777777" w:rsidR="006C0052" w:rsidRPr="006C0052" w:rsidRDefault="006C0052" w:rsidP="006C0052">
            <w:pPr>
              <w:spacing w:after="0"/>
              <w:jc w:val="center"/>
              <w:rPr>
                <w:rFonts w:cs="Arial"/>
                <w:color w:val="000000"/>
                <w:szCs w:val="22"/>
              </w:rPr>
            </w:pPr>
            <w:r w:rsidRPr="006C0052">
              <w:rPr>
                <w:rFonts w:cs="Arial"/>
                <w:color w:val="000000"/>
                <w:szCs w:val="22"/>
              </w:rPr>
              <w:t>2024</w:t>
            </w:r>
          </w:p>
        </w:tc>
        <w:tc>
          <w:tcPr>
            <w:tcW w:w="8010" w:type="dxa"/>
            <w:tcBorders>
              <w:top w:val="nil"/>
              <w:left w:val="nil"/>
              <w:bottom w:val="single" w:sz="4" w:space="0" w:color="auto"/>
              <w:right w:val="single" w:sz="4" w:space="0" w:color="auto"/>
            </w:tcBorders>
            <w:shd w:val="clear" w:color="auto" w:fill="auto"/>
            <w:vAlign w:val="bottom"/>
            <w:hideMark/>
          </w:tcPr>
          <w:p w14:paraId="5AF1B757" w14:textId="55AC6FAF" w:rsidR="006C0052" w:rsidRPr="006C0052" w:rsidRDefault="006C0052" w:rsidP="006C0052">
            <w:pPr>
              <w:spacing w:after="0"/>
              <w:jc w:val="left"/>
              <w:rPr>
                <w:rFonts w:cs="Arial"/>
                <w:color w:val="000000"/>
                <w:szCs w:val="22"/>
              </w:rPr>
            </w:pPr>
            <w:r w:rsidRPr="006C0052">
              <w:rPr>
                <w:rFonts w:cs="Arial"/>
                <w:color w:val="000000"/>
                <w:szCs w:val="22"/>
              </w:rPr>
              <w:t>Euronext and Nord Pool announce Nordic and Baltic Power Futures market</w:t>
            </w:r>
          </w:p>
        </w:tc>
      </w:tr>
    </w:tbl>
    <w:p w14:paraId="76430F1F" w14:textId="2F02F984" w:rsidR="006C0052" w:rsidRDefault="00F87832" w:rsidP="00354DC2">
      <w:pPr>
        <w:pStyle w:val="paragraph"/>
        <w:spacing w:beforeAutospacing="0" w:after="240" w:afterAutospacing="0"/>
        <w:textAlignment w:val="baseline"/>
        <w:rPr>
          <w:rStyle w:val="normaltextrun"/>
          <w:rFonts w:eastAsia="Arial"/>
          <w:sz w:val="16"/>
          <w:szCs w:val="16"/>
        </w:rPr>
      </w:pPr>
      <w:r w:rsidRPr="00602144">
        <w:rPr>
          <w:rStyle w:val="normaltextrun"/>
          <w:rFonts w:eastAsia="Arial"/>
          <w:sz w:val="16"/>
          <w:szCs w:val="16"/>
        </w:rPr>
        <w:t xml:space="preserve">Source: </w:t>
      </w:r>
      <w:r w:rsidR="009A1B53" w:rsidRPr="00602144">
        <w:rPr>
          <w:rStyle w:val="normaltextrun"/>
          <w:rFonts w:eastAsia="Arial"/>
          <w:sz w:val="16"/>
          <w:szCs w:val="16"/>
        </w:rPr>
        <w:t>SARI/EI,</w:t>
      </w:r>
      <w:r w:rsidR="00602144" w:rsidRPr="00602144">
        <w:rPr>
          <w:rStyle w:val="normaltextrun"/>
          <w:rFonts w:eastAsia="Arial"/>
          <w:sz w:val="16"/>
          <w:szCs w:val="16"/>
        </w:rPr>
        <w:t xml:space="preserve"> Nord Pool</w:t>
      </w:r>
    </w:p>
    <w:p w14:paraId="2E64DDAC" w14:textId="4A07BCBA" w:rsidR="00BF7B4B" w:rsidRPr="00BF7B4B" w:rsidRDefault="00BF7B4B" w:rsidP="00BF7B4B">
      <w:pPr>
        <w:rPr>
          <w:rStyle w:val="normaltextrun"/>
          <w:rFonts w:eastAsia="Arial"/>
          <w:szCs w:val="22"/>
        </w:rPr>
      </w:pPr>
      <w:r w:rsidRPr="00BF7B4B">
        <w:rPr>
          <w:rStyle w:val="normaltextrun"/>
          <w:rFonts w:eastAsia="Arial"/>
          <w:szCs w:val="22"/>
        </w:rPr>
        <w:t>Nord Pool provides a range of services, including day-ahead and intraday trading, clearing and settlement, and additional market support, catering to businesses of all sizes and locations. With 370 companies from 20 countries actively trading on its platforms, Nord Pool operates in the Nordic and Baltic regions, Germany, Poland, France, the Netherlands, Belgium, Austria, Luxembourg, and the UK. As a Nominated Electricity Market Operator (NEMO) in 16 European countries, it also facilitates power markets in Bulgaria, Croatia, and Georgia. In 2023, Nord Pool recorded a total traded power volume of 1,103.83 TWh</w:t>
      </w:r>
      <w:r>
        <w:rPr>
          <w:rStyle w:val="FootnoteReference"/>
          <w:rFonts w:eastAsia="Arial"/>
          <w:szCs w:val="22"/>
        </w:rPr>
        <w:footnoteReference w:id="30"/>
      </w:r>
      <w:r w:rsidRPr="00BF7B4B">
        <w:rPr>
          <w:rStyle w:val="normaltextrun"/>
          <w:rFonts w:eastAsia="Arial"/>
          <w:szCs w:val="22"/>
        </w:rPr>
        <w:t>.</w:t>
      </w:r>
    </w:p>
    <w:p w14:paraId="3614523E" w14:textId="77777777" w:rsidR="002C6403" w:rsidRPr="00A55F89" w:rsidRDefault="002C6403" w:rsidP="002C6403">
      <w:pPr>
        <w:pStyle w:val="paragraph"/>
        <w:spacing w:after="240"/>
        <w:textAlignment w:val="baseline"/>
        <w:rPr>
          <w:rFonts w:eastAsia="Arial"/>
          <w:szCs w:val="22"/>
        </w:rPr>
      </w:pPr>
      <w:r w:rsidRPr="00A55F89">
        <w:rPr>
          <w:rFonts w:eastAsia="Arial"/>
          <w:szCs w:val="22"/>
        </w:rPr>
        <w:t>Nord Pool Spot</w:t>
      </w:r>
      <w:r>
        <w:rPr>
          <w:rFonts w:eastAsia="Arial"/>
          <w:szCs w:val="22"/>
        </w:rPr>
        <w:t xml:space="preserve"> (Nord Pool power exchange)</w:t>
      </w:r>
      <w:r w:rsidRPr="00A55F89">
        <w:rPr>
          <w:rFonts w:eastAsia="Arial"/>
          <w:szCs w:val="22"/>
        </w:rPr>
        <w:t xml:space="preserve"> operates the following leading markets for buying and selling power in Europe:</w:t>
      </w:r>
    </w:p>
    <w:p w14:paraId="44A3F375" w14:textId="77777777" w:rsidR="002C6403" w:rsidRDefault="002C6403" w:rsidP="008E21FA">
      <w:pPr>
        <w:pStyle w:val="paragraph"/>
        <w:numPr>
          <w:ilvl w:val="0"/>
          <w:numId w:val="29"/>
        </w:numPr>
        <w:spacing w:after="240"/>
        <w:textAlignment w:val="baseline"/>
        <w:rPr>
          <w:rFonts w:eastAsia="Arial"/>
          <w:szCs w:val="22"/>
        </w:rPr>
      </w:pPr>
      <w:proofErr w:type="spellStart"/>
      <w:r w:rsidRPr="00A55F89">
        <w:rPr>
          <w:rFonts w:eastAsia="Arial"/>
          <w:szCs w:val="22"/>
        </w:rPr>
        <w:t>Elspot</w:t>
      </w:r>
      <w:proofErr w:type="spellEnd"/>
      <w:r w:rsidRPr="00A55F89">
        <w:rPr>
          <w:rFonts w:eastAsia="Arial"/>
          <w:szCs w:val="22"/>
        </w:rPr>
        <w:t xml:space="preserve"> day-ahead market in the Nordic and Baltic regions</w:t>
      </w:r>
    </w:p>
    <w:p w14:paraId="60BFAEA9" w14:textId="77777777" w:rsidR="002C6403" w:rsidRDefault="002C6403" w:rsidP="008E21FA">
      <w:pPr>
        <w:pStyle w:val="paragraph"/>
        <w:numPr>
          <w:ilvl w:val="0"/>
          <w:numId w:val="29"/>
        </w:numPr>
        <w:spacing w:after="240"/>
        <w:textAlignment w:val="baseline"/>
        <w:rPr>
          <w:rFonts w:eastAsia="Arial"/>
          <w:szCs w:val="22"/>
        </w:rPr>
      </w:pPr>
      <w:proofErr w:type="spellStart"/>
      <w:r w:rsidRPr="00A55F89">
        <w:rPr>
          <w:rFonts w:eastAsia="Arial"/>
          <w:szCs w:val="22"/>
        </w:rPr>
        <w:t>Elbas</w:t>
      </w:r>
      <w:proofErr w:type="spellEnd"/>
      <w:r w:rsidRPr="00A55F89">
        <w:rPr>
          <w:rFonts w:eastAsia="Arial"/>
          <w:szCs w:val="22"/>
        </w:rPr>
        <w:t xml:space="preserve"> intraday markets in the Nordic and Baltic regions</w:t>
      </w:r>
    </w:p>
    <w:p w14:paraId="349C7D76" w14:textId="77777777" w:rsidR="002C6403" w:rsidRDefault="002C6403" w:rsidP="008E21FA">
      <w:pPr>
        <w:pStyle w:val="paragraph"/>
        <w:numPr>
          <w:ilvl w:val="0"/>
          <w:numId w:val="29"/>
        </w:numPr>
        <w:spacing w:after="240"/>
        <w:textAlignment w:val="baseline"/>
        <w:rPr>
          <w:rFonts w:eastAsia="Arial"/>
          <w:szCs w:val="22"/>
        </w:rPr>
      </w:pPr>
      <w:r w:rsidRPr="00A55F89">
        <w:rPr>
          <w:rFonts w:eastAsia="Arial"/>
          <w:szCs w:val="22"/>
        </w:rPr>
        <w:t>N2EX market in the UK</w:t>
      </w:r>
    </w:p>
    <w:p w14:paraId="179BF57E" w14:textId="4A60667E" w:rsidR="00F4373E" w:rsidRDefault="00F4373E" w:rsidP="00F4373E">
      <w:pPr>
        <w:pStyle w:val="paragraph"/>
        <w:spacing w:after="240"/>
        <w:textAlignment w:val="baseline"/>
        <w:rPr>
          <w:rFonts w:eastAsia="Arial"/>
          <w:szCs w:val="22"/>
        </w:rPr>
      </w:pPr>
      <w:r w:rsidRPr="00F4373E">
        <w:rPr>
          <w:rFonts w:eastAsia="Arial"/>
          <w:szCs w:val="22"/>
        </w:rPr>
        <w:t xml:space="preserve">The day-ahead and intraday markets complement each other, with the intraday market serving as a balancing mechanism. The intraday market operates continuously, allowing power trading until 30 minutes before delivery, while the day-ahead market is conducted the day before the actual power transfer. </w:t>
      </w:r>
      <w:proofErr w:type="gramStart"/>
      <w:r w:rsidRPr="00F4373E">
        <w:rPr>
          <w:rFonts w:eastAsia="Arial"/>
          <w:szCs w:val="22"/>
        </w:rPr>
        <w:t xml:space="preserve">The </w:t>
      </w:r>
      <w:proofErr w:type="spellStart"/>
      <w:r w:rsidRPr="00F4373E">
        <w:rPr>
          <w:rFonts w:eastAsia="Arial"/>
          <w:szCs w:val="22"/>
        </w:rPr>
        <w:t>Elbas</w:t>
      </w:r>
      <w:proofErr w:type="spellEnd"/>
      <w:proofErr w:type="gramEnd"/>
      <w:r w:rsidRPr="00F4373E">
        <w:rPr>
          <w:rFonts w:eastAsia="Arial"/>
          <w:szCs w:val="22"/>
        </w:rPr>
        <w:t>, a cross-border intraday market, has been in operation since 1999. The TSO market functions as a real-time balancing market, utilizing two key balancing tools: the balancing market and the ancillary services market.</w:t>
      </w:r>
      <w:r>
        <w:rPr>
          <w:rFonts w:eastAsia="Arial"/>
          <w:szCs w:val="22"/>
        </w:rPr>
        <w:t xml:space="preserve"> </w:t>
      </w:r>
      <w:r w:rsidRPr="00F4373E">
        <w:rPr>
          <w:rFonts w:eastAsia="Arial"/>
          <w:szCs w:val="22"/>
        </w:rPr>
        <w:t>All products in these markets are physical contracts. In the day-ahead market, balance is achieved between generation and demand, which is fine-tuned in the intraday market. The balancing power market (BPR) helps maintain hourly balance, while the ancillary services market focuses on frequency control.</w:t>
      </w:r>
      <w:r>
        <w:rPr>
          <w:rFonts w:eastAsia="Arial"/>
          <w:szCs w:val="22"/>
        </w:rPr>
        <w:t xml:space="preserve"> </w:t>
      </w:r>
      <w:r w:rsidRPr="00F4373E">
        <w:rPr>
          <w:rFonts w:eastAsia="Arial"/>
          <w:szCs w:val="22"/>
        </w:rPr>
        <w:t>The EU Target Model for energy trading operates on a unified algorithm for the day-ahead market (with a gate closure at 12:00 for the next day's 24-hour period) and a shared order book for the intraday market. This progress is driven by collaboration among eight European power market operators.</w:t>
      </w:r>
    </w:p>
    <w:p w14:paraId="06C6017B" w14:textId="0042A40B" w:rsidR="000D5FE3" w:rsidRPr="0094317C" w:rsidRDefault="00F20CA9" w:rsidP="00354DC2">
      <w:pPr>
        <w:pStyle w:val="paragraph"/>
        <w:spacing w:beforeAutospacing="0" w:after="240" w:afterAutospacing="0"/>
        <w:textAlignment w:val="baseline"/>
        <w:rPr>
          <w:rStyle w:val="normaltextrun"/>
          <w:rFonts w:eastAsia="Arial"/>
          <w:szCs w:val="22"/>
        </w:rPr>
      </w:pPr>
      <w:r w:rsidRPr="00C9523E">
        <w:rPr>
          <w:rFonts w:eastAsia="Arial"/>
          <w:szCs w:val="22"/>
        </w:rPr>
        <w:t>The core responsibilities of the Power Exchange are providing a price reference to the power market, operating a spot market, and organizing a market for financial products (products like forward, futures and option contracts). The power exchange acts as a neutral and reliable power-contract counterparty to market participants. It uses the spot market’s price mechanisms to alleviate grid congestion (capacity bottlenecks) through optimal use of available capacity. To this end, the Nord Pool Spot operates the leading markets to buy and sell power in Europe.</w:t>
      </w:r>
      <w:r>
        <w:rPr>
          <w:rFonts w:eastAsia="Arial"/>
          <w:szCs w:val="22"/>
        </w:rPr>
        <w:t xml:space="preserve"> </w:t>
      </w:r>
      <w:r w:rsidR="0094317C" w:rsidRPr="0094317C">
        <w:rPr>
          <w:rFonts w:eastAsia="Arial"/>
          <w:szCs w:val="22"/>
        </w:rPr>
        <w:t>This arrangement enables countries to balance electricity supply and demand more effectively across borders, enhancing energy security and optimizing resource utilization. Market integration has established a stable foundation for expanding cross-border transmission infrastructure, aligning with the European Union's goal for all Member States to achieve cross-border transmission capacity of at least 15% of their generation</w:t>
      </w:r>
      <w:r w:rsidR="00CA1A1D">
        <w:rPr>
          <w:rStyle w:val="FootnoteReference"/>
          <w:rFonts w:eastAsia="Arial"/>
          <w:szCs w:val="22"/>
        </w:rPr>
        <w:footnoteReference w:id="31"/>
      </w:r>
      <w:r w:rsidR="0094317C" w:rsidRPr="0094317C">
        <w:rPr>
          <w:rFonts w:eastAsia="Arial"/>
          <w:szCs w:val="22"/>
        </w:rPr>
        <w:t xml:space="preserve">. These investments in transmission networks </w:t>
      </w:r>
      <w:r w:rsidR="004D4B7D">
        <w:rPr>
          <w:rFonts w:eastAsia="Arial"/>
          <w:szCs w:val="22"/>
        </w:rPr>
        <w:t>have been</w:t>
      </w:r>
      <w:r w:rsidR="0094317C" w:rsidRPr="0094317C">
        <w:rPr>
          <w:rFonts w:eastAsia="Arial"/>
          <w:szCs w:val="22"/>
        </w:rPr>
        <w:t xml:space="preserve"> crucial for facilitating market integration, allowing greater volumes of electricity to flow seamlessly between countries.</w:t>
      </w:r>
    </w:p>
    <w:p w14:paraId="518F1F29" w14:textId="2FDC04C8" w:rsidR="00146608" w:rsidRPr="001416FD" w:rsidRDefault="00F34C35" w:rsidP="00354DC2">
      <w:pPr>
        <w:pStyle w:val="paragraph"/>
        <w:spacing w:beforeAutospacing="0" w:after="240" w:afterAutospacing="0"/>
        <w:textAlignment w:val="baseline"/>
        <w:rPr>
          <w:rStyle w:val="normaltextrun"/>
          <w:rFonts w:eastAsia="Arial"/>
          <w:i/>
          <w:iCs/>
          <w:szCs w:val="22"/>
        </w:rPr>
      </w:pPr>
      <w:r>
        <w:rPr>
          <w:rStyle w:val="normaltextrun"/>
          <w:rFonts w:eastAsia="Arial"/>
          <w:i/>
          <w:iCs/>
          <w:szCs w:val="22"/>
        </w:rPr>
        <w:t xml:space="preserve">Key Features of </w:t>
      </w:r>
      <w:r w:rsidR="001416FD" w:rsidRPr="001416FD">
        <w:rPr>
          <w:rStyle w:val="normaltextrun"/>
          <w:rFonts w:eastAsia="Arial"/>
          <w:i/>
          <w:iCs/>
          <w:szCs w:val="22"/>
        </w:rPr>
        <w:t>Market Structure</w:t>
      </w:r>
    </w:p>
    <w:p w14:paraId="7273B4EF" w14:textId="4CB54870" w:rsidR="00EA07C1" w:rsidRPr="00EA07C1" w:rsidRDefault="00EA07C1" w:rsidP="008E21FA">
      <w:pPr>
        <w:pStyle w:val="paragraph"/>
        <w:numPr>
          <w:ilvl w:val="0"/>
          <w:numId w:val="28"/>
        </w:numPr>
        <w:spacing w:beforeAutospacing="0" w:after="240" w:afterAutospacing="0"/>
        <w:ind w:left="360"/>
        <w:textAlignment w:val="baseline"/>
        <w:rPr>
          <w:rFonts w:eastAsia="Arial"/>
          <w:szCs w:val="22"/>
        </w:rPr>
      </w:pPr>
      <w:r w:rsidRPr="00EA07C1">
        <w:rPr>
          <w:rStyle w:val="normaltextrun"/>
          <w:rFonts w:eastAsia="Arial"/>
          <w:b/>
          <w:bCs/>
          <w:szCs w:val="22"/>
        </w:rPr>
        <w:t>One Country One Regulator</w:t>
      </w:r>
      <w:r>
        <w:rPr>
          <w:rStyle w:val="normaltextrun"/>
          <w:rFonts w:eastAsia="Arial"/>
          <w:szCs w:val="22"/>
        </w:rPr>
        <w:t xml:space="preserve">: </w:t>
      </w:r>
      <w:r w:rsidRPr="00EA07C1">
        <w:rPr>
          <w:rFonts w:eastAsia="Arial"/>
          <w:szCs w:val="22"/>
        </w:rPr>
        <w:t xml:space="preserve">Each country in the Nordic region has its own energy regulator, as detailed below, with </w:t>
      </w:r>
      <w:proofErr w:type="spellStart"/>
      <w:r w:rsidRPr="00EA07C1">
        <w:rPr>
          <w:rFonts w:eastAsia="Arial"/>
          <w:szCs w:val="22"/>
        </w:rPr>
        <w:t>NordREG</w:t>
      </w:r>
      <w:proofErr w:type="spellEnd"/>
      <w:r w:rsidR="00B8664A">
        <w:rPr>
          <w:rFonts w:eastAsia="Arial"/>
          <w:szCs w:val="22"/>
        </w:rPr>
        <w:t xml:space="preserve"> (</w:t>
      </w:r>
      <w:r w:rsidR="00B8664A" w:rsidRPr="006725E7">
        <w:rPr>
          <w:rFonts w:eastAsia="Arial"/>
          <w:szCs w:val="22"/>
        </w:rPr>
        <w:t>Nordic Energy Regulators</w:t>
      </w:r>
      <w:r w:rsidR="00B8664A">
        <w:rPr>
          <w:rFonts w:eastAsia="Arial"/>
          <w:szCs w:val="22"/>
        </w:rPr>
        <w:t>)</w:t>
      </w:r>
      <w:r w:rsidRPr="00EA07C1">
        <w:rPr>
          <w:rFonts w:eastAsia="Arial"/>
          <w:szCs w:val="22"/>
        </w:rPr>
        <w:t xml:space="preserve"> facilitating regional cooperation and ACER</w:t>
      </w:r>
      <w:r w:rsidR="00AE67C0">
        <w:rPr>
          <w:rFonts w:eastAsia="Arial"/>
          <w:szCs w:val="22"/>
        </w:rPr>
        <w:t xml:space="preserve"> (</w:t>
      </w:r>
      <w:r w:rsidR="00AE67C0" w:rsidRPr="00F443FF">
        <w:rPr>
          <w:rFonts w:eastAsia="Arial"/>
          <w:szCs w:val="22"/>
        </w:rPr>
        <w:t>Agency for the Cooperation of Energy Regulators</w:t>
      </w:r>
      <w:r w:rsidR="00AE67C0">
        <w:rPr>
          <w:rFonts w:eastAsia="Arial"/>
          <w:szCs w:val="22"/>
        </w:rPr>
        <w:t>)</w:t>
      </w:r>
      <w:r w:rsidRPr="00EA07C1">
        <w:rPr>
          <w:rFonts w:eastAsia="Arial"/>
          <w:szCs w:val="22"/>
        </w:rPr>
        <w:t xml:space="preserve"> overseeing pan-European collaboration:</w:t>
      </w:r>
    </w:p>
    <w:p w14:paraId="34719572" w14:textId="77777777" w:rsidR="00EA07C1" w:rsidRDefault="00EA07C1" w:rsidP="008E21FA">
      <w:pPr>
        <w:pStyle w:val="paragraph"/>
        <w:numPr>
          <w:ilvl w:val="0"/>
          <w:numId w:val="27"/>
        </w:numPr>
        <w:spacing w:beforeAutospacing="0" w:after="0" w:afterAutospacing="0"/>
        <w:textAlignment w:val="baseline"/>
        <w:rPr>
          <w:rFonts w:eastAsia="Arial"/>
          <w:szCs w:val="22"/>
        </w:rPr>
      </w:pPr>
      <w:r w:rsidRPr="00EA07C1">
        <w:rPr>
          <w:rFonts w:eastAsia="Arial"/>
          <w:b/>
          <w:bCs/>
          <w:szCs w:val="22"/>
        </w:rPr>
        <w:t>Danish Energy Regulatory Authority (DERA)</w:t>
      </w:r>
      <w:r w:rsidRPr="00EA07C1">
        <w:rPr>
          <w:rFonts w:eastAsia="Arial"/>
          <w:szCs w:val="22"/>
        </w:rPr>
        <w:t xml:space="preserve"> – Denmark</w:t>
      </w:r>
    </w:p>
    <w:p w14:paraId="50508A67" w14:textId="77777777" w:rsidR="00EA07C1" w:rsidRDefault="00EA07C1" w:rsidP="008E21FA">
      <w:pPr>
        <w:pStyle w:val="paragraph"/>
        <w:numPr>
          <w:ilvl w:val="0"/>
          <w:numId w:val="27"/>
        </w:numPr>
        <w:spacing w:beforeAutospacing="0" w:after="0" w:afterAutospacing="0"/>
        <w:textAlignment w:val="baseline"/>
        <w:rPr>
          <w:rFonts w:eastAsia="Arial"/>
          <w:szCs w:val="22"/>
        </w:rPr>
      </w:pPr>
      <w:r w:rsidRPr="00EA07C1">
        <w:rPr>
          <w:rFonts w:eastAsia="Arial"/>
          <w:b/>
          <w:bCs/>
          <w:szCs w:val="22"/>
        </w:rPr>
        <w:t>Energy Market Authority (</w:t>
      </w:r>
      <w:proofErr w:type="spellStart"/>
      <w:r w:rsidRPr="00EA07C1">
        <w:rPr>
          <w:rFonts w:eastAsia="Arial"/>
          <w:b/>
          <w:bCs/>
          <w:szCs w:val="22"/>
        </w:rPr>
        <w:t>Energiamarkkinavirasto</w:t>
      </w:r>
      <w:proofErr w:type="spellEnd"/>
      <w:r w:rsidRPr="00EA07C1">
        <w:rPr>
          <w:rFonts w:eastAsia="Arial"/>
          <w:b/>
          <w:bCs/>
          <w:szCs w:val="22"/>
        </w:rPr>
        <w:t>)</w:t>
      </w:r>
      <w:r w:rsidRPr="00EA07C1">
        <w:rPr>
          <w:rFonts w:eastAsia="Arial"/>
          <w:szCs w:val="22"/>
        </w:rPr>
        <w:t xml:space="preserve"> – Finland</w:t>
      </w:r>
    </w:p>
    <w:p w14:paraId="2E5CEE05" w14:textId="77777777" w:rsidR="00EA07C1" w:rsidRDefault="00EA07C1" w:rsidP="008E21FA">
      <w:pPr>
        <w:pStyle w:val="paragraph"/>
        <w:numPr>
          <w:ilvl w:val="0"/>
          <w:numId w:val="27"/>
        </w:numPr>
        <w:spacing w:beforeAutospacing="0" w:after="0" w:afterAutospacing="0"/>
        <w:textAlignment w:val="baseline"/>
        <w:rPr>
          <w:rFonts w:eastAsia="Arial"/>
          <w:szCs w:val="22"/>
        </w:rPr>
      </w:pPr>
      <w:r w:rsidRPr="00EA07C1">
        <w:rPr>
          <w:rFonts w:eastAsia="Arial"/>
          <w:b/>
          <w:bCs/>
          <w:szCs w:val="22"/>
        </w:rPr>
        <w:t>Norwegian Water Resources and Energy Directorate (NVE)</w:t>
      </w:r>
      <w:r w:rsidRPr="00EA07C1">
        <w:rPr>
          <w:rFonts w:eastAsia="Arial"/>
          <w:szCs w:val="22"/>
        </w:rPr>
        <w:t xml:space="preserve"> – Norway</w:t>
      </w:r>
    </w:p>
    <w:p w14:paraId="52EB0B16" w14:textId="41F35050" w:rsidR="00EA07C1" w:rsidRDefault="00EA07C1" w:rsidP="008E21FA">
      <w:pPr>
        <w:pStyle w:val="paragraph"/>
        <w:numPr>
          <w:ilvl w:val="0"/>
          <w:numId w:val="27"/>
        </w:numPr>
        <w:spacing w:beforeAutospacing="0" w:after="0" w:afterAutospacing="0"/>
        <w:textAlignment w:val="baseline"/>
        <w:rPr>
          <w:rFonts w:eastAsia="Arial"/>
          <w:szCs w:val="22"/>
        </w:rPr>
      </w:pPr>
      <w:r w:rsidRPr="00EA07C1">
        <w:rPr>
          <w:rFonts w:eastAsia="Arial"/>
          <w:b/>
          <w:bCs/>
          <w:szCs w:val="22"/>
        </w:rPr>
        <w:t>Energy Markets Inspectorate</w:t>
      </w:r>
      <w:r w:rsidRPr="00EA07C1">
        <w:rPr>
          <w:rFonts w:eastAsia="Arial"/>
          <w:szCs w:val="22"/>
        </w:rPr>
        <w:t xml:space="preserve"> – Sweden</w:t>
      </w:r>
    </w:p>
    <w:p w14:paraId="73AFBC17" w14:textId="77777777" w:rsidR="00EA07C1" w:rsidRPr="00EA07C1" w:rsidRDefault="00EA07C1" w:rsidP="00EA07C1">
      <w:pPr>
        <w:pStyle w:val="paragraph"/>
        <w:spacing w:beforeAutospacing="0" w:after="0" w:afterAutospacing="0"/>
        <w:ind w:left="720"/>
        <w:textAlignment w:val="baseline"/>
        <w:rPr>
          <w:rFonts w:eastAsia="Arial"/>
          <w:szCs w:val="22"/>
        </w:rPr>
      </w:pPr>
    </w:p>
    <w:p w14:paraId="1E153CBC" w14:textId="011D998C" w:rsidR="00EA07C1" w:rsidRDefault="00EA07C1" w:rsidP="001F215F">
      <w:pPr>
        <w:pStyle w:val="paragraph"/>
        <w:spacing w:beforeAutospacing="0" w:after="240" w:afterAutospacing="0"/>
        <w:ind w:left="360"/>
        <w:textAlignment w:val="baseline"/>
        <w:rPr>
          <w:rFonts w:eastAsia="Arial"/>
          <w:szCs w:val="22"/>
        </w:rPr>
      </w:pPr>
      <w:proofErr w:type="spellStart"/>
      <w:r w:rsidRPr="00EA07C1">
        <w:rPr>
          <w:rFonts w:eastAsia="Arial"/>
          <w:szCs w:val="22"/>
        </w:rPr>
        <w:t>NordREG</w:t>
      </w:r>
      <w:proofErr w:type="spellEnd"/>
      <w:r w:rsidRPr="00EA07C1">
        <w:rPr>
          <w:rFonts w:eastAsia="Arial"/>
          <w:szCs w:val="22"/>
        </w:rPr>
        <w:t>, established through the longstanding tradition of energy cooperation among Nordic countries, serves as a collaborative body for Nordic energy regulators. Supported by the Nordic Council of Ministers</w:t>
      </w:r>
      <w:r w:rsidR="001D4D87">
        <w:rPr>
          <w:rStyle w:val="FootnoteReference"/>
          <w:rFonts w:eastAsia="Arial"/>
          <w:szCs w:val="22"/>
        </w:rPr>
        <w:footnoteReference w:id="32"/>
      </w:r>
      <w:r w:rsidRPr="00EA07C1">
        <w:rPr>
          <w:rFonts w:eastAsia="Arial"/>
          <w:szCs w:val="22"/>
        </w:rPr>
        <w:t xml:space="preserve">, </w:t>
      </w:r>
      <w:proofErr w:type="spellStart"/>
      <w:r w:rsidRPr="00EA07C1">
        <w:rPr>
          <w:rFonts w:eastAsia="Arial"/>
          <w:szCs w:val="22"/>
        </w:rPr>
        <w:t>NordREG</w:t>
      </w:r>
      <w:proofErr w:type="spellEnd"/>
      <w:r w:rsidRPr="00EA07C1">
        <w:rPr>
          <w:rFonts w:eastAsia="Arial"/>
          <w:szCs w:val="22"/>
        </w:rPr>
        <w:t xml:space="preserve"> aims to advance the realization of a unified Nordic energy market, encompassing both wholesale and retail markets. Its mission is to promote the necessary legal and institutional frameworks for the development of robust Nordic and European electricity markets.</w:t>
      </w:r>
      <w:r w:rsidR="00F443FF">
        <w:rPr>
          <w:rFonts w:eastAsia="Arial"/>
          <w:szCs w:val="22"/>
        </w:rPr>
        <w:t xml:space="preserve"> </w:t>
      </w:r>
      <w:r w:rsidR="00F443FF" w:rsidRPr="00F443FF">
        <w:rPr>
          <w:rFonts w:eastAsia="Arial"/>
          <w:szCs w:val="22"/>
        </w:rPr>
        <w:t>ACER oversees the coordination of European energy regulators, monitors regional cooperation among transmission system operators (TSOs) in the electricity and gas sectors, and supervises the functioning of the single European electricity and gas markets. Established with legal capacity on 3 March 2011, ACER plays a pivotal role in ensuring regulatory alignment across Europe. Complementing ACER's efforts, the Council of European Energy Regulators (CEER), a not-for-profit association of national regulators, facilitates collaboration and the exchange of best practices. CEER's primary goal is to support the development of a unified, competitive, efficient, and sustainable internal energy market in the European Union, prioritizing the public interest.</w:t>
      </w:r>
    </w:p>
    <w:p w14:paraId="50D06AAE" w14:textId="6FE726B7" w:rsidR="001F215F" w:rsidRDefault="001A1003" w:rsidP="008E21FA">
      <w:pPr>
        <w:pStyle w:val="paragraph"/>
        <w:numPr>
          <w:ilvl w:val="0"/>
          <w:numId w:val="28"/>
        </w:numPr>
        <w:spacing w:beforeAutospacing="0" w:after="240" w:afterAutospacing="0"/>
        <w:ind w:left="360"/>
        <w:textAlignment w:val="baseline"/>
        <w:rPr>
          <w:rFonts w:eastAsia="Arial"/>
          <w:szCs w:val="22"/>
        </w:rPr>
      </w:pPr>
      <w:r w:rsidRPr="001A1003">
        <w:rPr>
          <w:rFonts w:eastAsia="Arial"/>
          <w:b/>
          <w:bCs/>
          <w:szCs w:val="22"/>
        </w:rPr>
        <w:t>One System Operator per Country:</w:t>
      </w:r>
      <w:r>
        <w:rPr>
          <w:rFonts w:eastAsia="Arial"/>
          <w:szCs w:val="22"/>
        </w:rPr>
        <w:t xml:space="preserve"> </w:t>
      </w:r>
      <w:r w:rsidRPr="001A1003">
        <w:rPr>
          <w:rFonts w:eastAsia="Arial"/>
          <w:szCs w:val="22"/>
        </w:rPr>
        <w:t xml:space="preserve">The Transmission System Operators (TSOs) in the Nordic countries are Statnett SF (Norway), Svenska </w:t>
      </w:r>
      <w:proofErr w:type="spellStart"/>
      <w:r w:rsidRPr="001A1003">
        <w:rPr>
          <w:rFonts w:eastAsia="Arial"/>
          <w:szCs w:val="22"/>
        </w:rPr>
        <w:t>Kraftnät</w:t>
      </w:r>
      <w:proofErr w:type="spellEnd"/>
      <w:r w:rsidRPr="001A1003">
        <w:rPr>
          <w:rFonts w:eastAsia="Arial"/>
          <w:szCs w:val="22"/>
        </w:rPr>
        <w:t xml:space="preserve"> (Sweden), </w:t>
      </w:r>
      <w:proofErr w:type="spellStart"/>
      <w:r w:rsidRPr="001A1003">
        <w:rPr>
          <w:rFonts w:eastAsia="Arial"/>
          <w:szCs w:val="22"/>
        </w:rPr>
        <w:t>Fingrid</w:t>
      </w:r>
      <w:proofErr w:type="spellEnd"/>
      <w:r w:rsidRPr="001A1003">
        <w:rPr>
          <w:rFonts w:eastAsia="Arial"/>
          <w:szCs w:val="22"/>
        </w:rPr>
        <w:t xml:space="preserve"> (Finland), and Energinet.dk (Denmark). Previously, </w:t>
      </w:r>
      <w:proofErr w:type="spellStart"/>
      <w:r w:rsidRPr="001A1003">
        <w:rPr>
          <w:rFonts w:eastAsia="Arial"/>
          <w:szCs w:val="22"/>
        </w:rPr>
        <w:t>Nordel</w:t>
      </w:r>
      <w:proofErr w:type="spellEnd"/>
      <w:r w:rsidRPr="001A1003">
        <w:rPr>
          <w:rFonts w:eastAsia="Arial"/>
          <w:szCs w:val="22"/>
        </w:rPr>
        <w:t xml:space="preserve"> facilitated cooperation among Nordic TSOs to optimize electricity generation and transmission, serving as an advisory and market forum. In 2009, operational tasks were transferred to ENTSO-E (European Network of Transmission System Operators for Electricity) to support EU market integration, ensure supply security, and establish grid rules. Each TSO is responsible for national electricity transmission, maintaining balance between production and consumption, ensuring grid reliability, and operating neutrally and fairly toward market participants.</w:t>
      </w:r>
    </w:p>
    <w:p w14:paraId="0EAB11FA" w14:textId="77777777" w:rsidR="003301A1" w:rsidRDefault="003301A1" w:rsidP="006635A5">
      <w:pPr>
        <w:pStyle w:val="paragraph"/>
        <w:spacing w:beforeAutospacing="0" w:after="240" w:afterAutospacing="0"/>
        <w:textAlignment w:val="baseline"/>
        <w:rPr>
          <w:rFonts w:eastAsia="Arial"/>
          <w:i/>
          <w:iCs/>
          <w:szCs w:val="22"/>
        </w:rPr>
      </w:pPr>
    </w:p>
    <w:p w14:paraId="55FCEFEF" w14:textId="391FA934" w:rsidR="00CF22D0" w:rsidRPr="003301A1" w:rsidRDefault="00CB5B75" w:rsidP="006635A5">
      <w:pPr>
        <w:pStyle w:val="paragraph"/>
        <w:spacing w:beforeAutospacing="0" w:after="240" w:afterAutospacing="0"/>
        <w:textAlignment w:val="baseline"/>
        <w:rPr>
          <w:rFonts w:eastAsia="Arial"/>
          <w:i/>
          <w:iCs/>
          <w:szCs w:val="22"/>
        </w:rPr>
      </w:pPr>
      <w:r w:rsidRPr="003301A1">
        <w:rPr>
          <w:rFonts w:eastAsia="Arial"/>
          <w:i/>
          <w:iCs/>
          <w:szCs w:val="22"/>
        </w:rPr>
        <w:t>Regional Integration in Nordic Market</w:t>
      </w:r>
    </w:p>
    <w:p w14:paraId="40A177C6" w14:textId="6EFF4DBE" w:rsidR="00CB5B75" w:rsidRDefault="00D66980" w:rsidP="006635A5">
      <w:pPr>
        <w:pStyle w:val="paragraph"/>
        <w:spacing w:beforeAutospacing="0" w:after="240" w:afterAutospacing="0"/>
        <w:textAlignment w:val="baseline"/>
        <w:rPr>
          <w:rFonts w:eastAsia="Arial"/>
          <w:szCs w:val="22"/>
        </w:rPr>
      </w:pPr>
      <w:r w:rsidRPr="00D66980">
        <w:rPr>
          <w:rFonts w:eastAsia="Arial"/>
          <w:b/>
          <w:bCs/>
          <w:szCs w:val="22"/>
        </w:rPr>
        <w:t>Benefits:</w:t>
      </w:r>
      <w:r>
        <w:rPr>
          <w:rFonts w:eastAsia="Arial"/>
          <w:szCs w:val="22"/>
        </w:rPr>
        <w:t xml:space="preserve"> </w:t>
      </w:r>
      <w:r w:rsidR="009F4C2C" w:rsidRPr="009F4C2C">
        <w:rPr>
          <w:rFonts w:eastAsia="Arial"/>
          <w:szCs w:val="22"/>
        </w:rPr>
        <w:t>Regional integration has brought significant benefits, particularly in optimizing the use of hydropower reservoirs and balancing generation. The introduction of sub-national bidding zones in the Nordic market allows differentiation between areas with abundant or limited water reserves, addressing local generation imbalances and highlighting transmission bottlenecks. Price differences between these zones encourage efficient power generation and signal where transmission investments are needed. Integration has also supported the inclusion of intermittent renewable energy sources, such as wind, by enabling flexible hydropower generation to balance supply. This, along with baseload nuclear power, creates a diversified and resilient system. Excess power can be exported, and during shortages, imports can be made, reducing the need for costly backup capacity and lowering overall system costs. The expanded market scale fosters liquidity and competition, keeping power prices down while ensuring a more efficient and resilient electricity system for all participating countries.</w:t>
      </w:r>
    </w:p>
    <w:p w14:paraId="5EC1A60B" w14:textId="391D54C2" w:rsidR="009378C7" w:rsidRDefault="00D66980" w:rsidP="009378C7">
      <w:pPr>
        <w:pStyle w:val="paragraph"/>
        <w:spacing w:beforeAutospacing="0" w:after="240" w:afterAutospacing="0"/>
        <w:textAlignment w:val="baseline"/>
        <w:rPr>
          <w:rFonts w:eastAsia="Arial"/>
          <w:szCs w:val="22"/>
        </w:rPr>
      </w:pPr>
      <w:r w:rsidRPr="00D66980">
        <w:rPr>
          <w:rFonts w:eastAsia="Arial"/>
          <w:b/>
          <w:bCs/>
          <w:szCs w:val="22"/>
        </w:rPr>
        <w:t>Success factors:</w:t>
      </w:r>
      <w:r>
        <w:rPr>
          <w:rFonts w:eastAsia="Arial"/>
          <w:szCs w:val="22"/>
        </w:rPr>
        <w:t xml:space="preserve"> </w:t>
      </w:r>
      <w:r w:rsidRPr="009378C7">
        <w:rPr>
          <w:rFonts w:eastAsia="Arial"/>
          <w:szCs w:val="22"/>
        </w:rPr>
        <w:t xml:space="preserve">The success of cross-border power trading in Scandinavia is due to strong regional cooperation, with </w:t>
      </w:r>
      <w:r w:rsidR="003500C6">
        <w:rPr>
          <w:rFonts w:eastAsia="Arial"/>
          <w:szCs w:val="22"/>
        </w:rPr>
        <w:t>~</w:t>
      </w:r>
      <w:r w:rsidRPr="009378C7">
        <w:rPr>
          <w:rFonts w:eastAsia="Arial"/>
          <w:szCs w:val="22"/>
        </w:rPr>
        <w:t xml:space="preserve">30 years of market integration, aligned energy policies, and common standards. </w:t>
      </w:r>
      <w:proofErr w:type="spellStart"/>
      <w:r w:rsidRPr="009378C7">
        <w:rPr>
          <w:rFonts w:eastAsia="Arial"/>
          <w:szCs w:val="22"/>
        </w:rPr>
        <w:t>NordREG</w:t>
      </w:r>
      <w:proofErr w:type="spellEnd"/>
      <w:r w:rsidRPr="009378C7">
        <w:rPr>
          <w:rFonts w:eastAsia="Arial"/>
          <w:szCs w:val="22"/>
        </w:rPr>
        <w:t>, TSO grid planning, and harmonized institutional frameworks have supported this collaboration. The Nordic power market now includes real-time balancing and reserve markets, which are becoming more standardized and integrated with the EU. Continued investment in grid modernization, energy storage, and European integration, along with enhanced digitalization, will be crucial to support the integration of renewable energy and growing electricity demand, ensuring the market's efficiency and reliability.</w:t>
      </w:r>
    </w:p>
    <w:tbl>
      <w:tblPr>
        <w:tblStyle w:val="TableGrid"/>
        <w:tblW w:w="0" w:type="auto"/>
        <w:shd w:val="clear" w:color="auto" w:fill="E2F3FA" w:themeFill="accent5" w:themeFillTint="33"/>
        <w:tblLook w:val="04A0" w:firstRow="1" w:lastRow="0" w:firstColumn="1" w:lastColumn="0" w:noHBand="0" w:noVBand="1"/>
      </w:tblPr>
      <w:tblGrid>
        <w:gridCol w:w="9350"/>
      </w:tblGrid>
      <w:tr w:rsidR="006A5ABC" w14:paraId="4EA4D003" w14:textId="77777777" w:rsidTr="003500C6">
        <w:tc>
          <w:tcPr>
            <w:tcW w:w="9350" w:type="dxa"/>
            <w:shd w:val="clear" w:color="auto" w:fill="E2F3FA" w:themeFill="accent5" w:themeFillTint="33"/>
          </w:tcPr>
          <w:p w14:paraId="112297F6" w14:textId="77777777" w:rsidR="006A5ABC" w:rsidRPr="003500C6" w:rsidRDefault="006A5ABC" w:rsidP="009378C7">
            <w:pPr>
              <w:pStyle w:val="paragraph"/>
              <w:spacing w:beforeAutospacing="0" w:after="240" w:afterAutospacing="0"/>
              <w:textAlignment w:val="baseline"/>
              <w:rPr>
                <w:rFonts w:eastAsia="Arial"/>
                <w:b/>
                <w:bCs/>
                <w:szCs w:val="22"/>
              </w:rPr>
            </w:pPr>
            <w:r w:rsidRPr="003500C6">
              <w:rPr>
                <w:rFonts w:eastAsia="Arial"/>
                <w:b/>
                <w:bCs/>
                <w:szCs w:val="22"/>
              </w:rPr>
              <w:t>Key Learnings:</w:t>
            </w:r>
          </w:p>
          <w:p w14:paraId="55054A48" w14:textId="77777777" w:rsidR="003500C6" w:rsidRDefault="003500C6" w:rsidP="008E21FA">
            <w:pPr>
              <w:pStyle w:val="paragraph"/>
              <w:numPr>
                <w:ilvl w:val="0"/>
                <w:numId w:val="30"/>
              </w:numPr>
              <w:spacing w:after="240"/>
              <w:textAlignment w:val="baseline"/>
              <w:rPr>
                <w:rFonts w:eastAsia="Arial"/>
                <w:szCs w:val="22"/>
              </w:rPr>
            </w:pPr>
            <w:r w:rsidRPr="003500C6">
              <w:rPr>
                <w:rFonts w:eastAsia="Arial"/>
                <w:szCs w:val="22"/>
              </w:rPr>
              <w:t>Investment in Interconnections and Grid Infrastructure: Building interconnections and upgrading grid infrastructure takes substantial time and investment. However, these efforts can yield significant benefits, such as enhanced resilience, a more efficient power system, and better progress toward decarbonization goals.</w:t>
            </w:r>
          </w:p>
          <w:p w14:paraId="4A08D93F" w14:textId="77777777" w:rsidR="003500C6" w:rsidRDefault="003500C6" w:rsidP="008E21FA">
            <w:pPr>
              <w:pStyle w:val="paragraph"/>
              <w:numPr>
                <w:ilvl w:val="0"/>
                <w:numId w:val="30"/>
              </w:numPr>
              <w:spacing w:after="240"/>
              <w:textAlignment w:val="baseline"/>
              <w:rPr>
                <w:rFonts w:eastAsia="Arial"/>
                <w:szCs w:val="22"/>
              </w:rPr>
            </w:pPr>
            <w:r w:rsidRPr="003500C6">
              <w:rPr>
                <w:rFonts w:eastAsia="Arial"/>
                <w:szCs w:val="22"/>
              </w:rPr>
              <w:t>Political Will and Regional Cooperation: Successful cross-border power trading relies on strong political will and long-term regional cooperation. This involves aligning on regional grid planning and sometimes prioritizing collective benefits over short-term national interests.</w:t>
            </w:r>
          </w:p>
          <w:p w14:paraId="4128A092" w14:textId="03E38242" w:rsidR="006A5ABC" w:rsidRDefault="003500C6" w:rsidP="008E21FA">
            <w:pPr>
              <w:pStyle w:val="paragraph"/>
              <w:numPr>
                <w:ilvl w:val="0"/>
                <w:numId w:val="30"/>
              </w:numPr>
              <w:spacing w:after="240"/>
              <w:textAlignment w:val="baseline"/>
              <w:rPr>
                <w:rFonts w:eastAsia="Arial"/>
                <w:szCs w:val="22"/>
              </w:rPr>
            </w:pPr>
            <w:r w:rsidRPr="003500C6">
              <w:rPr>
                <w:rFonts w:eastAsia="Arial"/>
                <w:szCs w:val="22"/>
              </w:rPr>
              <w:t>Transparency and Trust in Marketplaces: Regional trading thrives on transparency and trust. In the Nordics, all market participants have equal access to price, supply, and demand information. This openness builds trust, encourages more participants, and boosts market liquidity, facilitating more effective cross-border trading.</w:t>
            </w:r>
          </w:p>
        </w:tc>
      </w:tr>
    </w:tbl>
    <w:p w14:paraId="5AFAE1BB" w14:textId="199D8F63" w:rsidR="006A5ABC" w:rsidRPr="009378C7" w:rsidRDefault="006A5ABC" w:rsidP="009378C7">
      <w:pPr>
        <w:pStyle w:val="paragraph"/>
        <w:spacing w:beforeAutospacing="0" w:after="240" w:afterAutospacing="0"/>
        <w:textAlignment w:val="baseline"/>
        <w:rPr>
          <w:rFonts w:eastAsia="Arial"/>
          <w:szCs w:val="22"/>
        </w:rPr>
      </w:pPr>
    </w:p>
    <w:p w14:paraId="08A52185" w14:textId="45924A81" w:rsidR="0072561A" w:rsidRDefault="005F54B1" w:rsidP="0072561A">
      <w:pPr>
        <w:pStyle w:val="paragraph"/>
        <w:spacing w:beforeAutospacing="0" w:after="240" w:afterAutospacing="0"/>
        <w:textAlignment w:val="baseline"/>
        <w:rPr>
          <w:rStyle w:val="normaltextrun"/>
          <w:rFonts w:eastAsia="Arial"/>
          <w:b/>
          <w:bCs/>
          <w:szCs w:val="22"/>
        </w:rPr>
      </w:pPr>
      <w:r>
        <w:rPr>
          <w:rStyle w:val="normaltextrun"/>
          <w:rFonts w:eastAsia="Arial"/>
          <w:b/>
          <w:bCs/>
          <w:szCs w:val="22"/>
        </w:rPr>
        <w:t>European Power Exchange (EPEX)</w:t>
      </w:r>
    </w:p>
    <w:p w14:paraId="6EA345E9" w14:textId="2F22B826" w:rsidR="00573D5C" w:rsidRDefault="00F558C7" w:rsidP="0072561A">
      <w:pPr>
        <w:pStyle w:val="paragraph"/>
        <w:spacing w:beforeAutospacing="0" w:after="240" w:afterAutospacing="0"/>
        <w:textAlignment w:val="baseline"/>
        <w:rPr>
          <w:rStyle w:val="normaltextrun"/>
          <w:rFonts w:eastAsia="Arial"/>
          <w:szCs w:val="22"/>
        </w:rPr>
      </w:pPr>
      <w:r w:rsidRPr="00F558C7">
        <w:rPr>
          <w:rStyle w:val="normaltextrun"/>
          <w:rFonts w:eastAsia="Arial"/>
          <w:szCs w:val="22"/>
        </w:rPr>
        <w:t xml:space="preserve">EPEX SPOT is a major electricity market operator in Europe, providing a platform for the trading of electricity in various short-term markets. Established in 2008 through the merger of </w:t>
      </w:r>
      <w:proofErr w:type="spellStart"/>
      <w:r w:rsidRPr="00F558C7">
        <w:rPr>
          <w:rStyle w:val="normaltextrun"/>
          <w:rFonts w:eastAsia="Arial"/>
          <w:szCs w:val="22"/>
        </w:rPr>
        <w:t>Powernext</w:t>
      </w:r>
      <w:proofErr w:type="spellEnd"/>
      <w:r w:rsidRPr="00F558C7">
        <w:rPr>
          <w:rStyle w:val="normaltextrun"/>
          <w:rFonts w:eastAsia="Arial"/>
          <w:szCs w:val="22"/>
        </w:rPr>
        <w:t xml:space="preserve"> and the European Energy Exchange (EEX), EPEX SPOT has played a crucial role in the development and integration of European electricity markets.</w:t>
      </w:r>
      <w:r w:rsidR="00B01BC4">
        <w:rPr>
          <w:rStyle w:val="normaltextrun"/>
          <w:rFonts w:eastAsia="Arial"/>
          <w:szCs w:val="22"/>
        </w:rPr>
        <w:t xml:space="preserve"> Major developments are highlighted as follows:</w:t>
      </w:r>
    </w:p>
    <w:p w14:paraId="6B1B1DED" w14:textId="2FA9DD4C" w:rsidR="0053735A" w:rsidRPr="0053735A" w:rsidRDefault="0053735A" w:rsidP="0053735A">
      <w:pPr>
        <w:pStyle w:val="Caption"/>
        <w:keepNext/>
        <w:rPr>
          <w:color w:val="auto"/>
        </w:rPr>
      </w:pPr>
      <w:r w:rsidRPr="0053735A">
        <w:rPr>
          <w:color w:val="auto"/>
        </w:rPr>
        <w:t xml:space="preserve">Table </w:t>
      </w:r>
      <w:r w:rsidRPr="0053735A">
        <w:rPr>
          <w:color w:val="auto"/>
        </w:rPr>
        <w:fldChar w:fldCharType="begin"/>
      </w:r>
      <w:r w:rsidRPr="0053735A">
        <w:rPr>
          <w:color w:val="auto"/>
        </w:rPr>
        <w:instrText xml:space="preserve"> SEQ Table \* ARABIC </w:instrText>
      </w:r>
      <w:r w:rsidRPr="0053735A">
        <w:rPr>
          <w:color w:val="auto"/>
        </w:rPr>
        <w:fldChar w:fldCharType="separate"/>
      </w:r>
      <w:r>
        <w:rPr>
          <w:noProof/>
          <w:color w:val="auto"/>
        </w:rPr>
        <w:t>3</w:t>
      </w:r>
      <w:r w:rsidRPr="0053735A">
        <w:rPr>
          <w:color w:val="auto"/>
        </w:rPr>
        <w:fldChar w:fldCharType="end"/>
      </w:r>
      <w:r w:rsidRPr="0053735A">
        <w:rPr>
          <w:color w:val="auto"/>
        </w:rPr>
        <w:t>: Evolution of EPEX</w:t>
      </w:r>
    </w:p>
    <w:tbl>
      <w:tblPr>
        <w:tblW w:w="9740" w:type="dxa"/>
        <w:tblLook w:val="04A0" w:firstRow="1" w:lastRow="0" w:firstColumn="1" w:lastColumn="0" w:noHBand="0" w:noVBand="1"/>
      </w:tblPr>
      <w:tblGrid>
        <w:gridCol w:w="1109"/>
        <w:gridCol w:w="8631"/>
      </w:tblGrid>
      <w:tr w:rsidR="00BE6048" w:rsidRPr="00BE6048" w14:paraId="081BE140" w14:textId="77777777" w:rsidTr="0053735A">
        <w:trPr>
          <w:trHeight w:val="290"/>
          <w:tblHeader/>
        </w:trPr>
        <w:tc>
          <w:tcPr>
            <w:tcW w:w="1109"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3DD60D2" w14:textId="77777777" w:rsidR="00BE6048" w:rsidRPr="00BE6048" w:rsidRDefault="00BE6048" w:rsidP="00BE6048">
            <w:pPr>
              <w:spacing w:after="0"/>
              <w:jc w:val="center"/>
              <w:rPr>
                <w:rFonts w:cs="Arial"/>
                <w:b/>
                <w:bCs/>
                <w:color w:val="FFFFFF"/>
                <w:szCs w:val="22"/>
              </w:rPr>
            </w:pPr>
            <w:r w:rsidRPr="00BE6048">
              <w:rPr>
                <w:rFonts w:cs="Arial"/>
                <w:b/>
                <w:bCs/>
                <w:color w:val="FFFFFF"/>
                <w:szCs w:val="22"/>
              </w:rPr>
              <w:t>Timeline</w:t>
            </w:r>
          </w:p>
        </w:tc>
        <w:tc>
          <w:tcPr>
            <w:tcW w:w="8631" w:type="dxa"/>
            <w:tcBorders>
              <w:top w:val="single" w:sz="4" w:space="0" w:color="auto"/>
              <w:left w:val="nil"/>
              <w:bottom w:val="single" w:sz="4" w:space="0" w:color="auto"/>
              <w:right w:val="single" w:sz="4" w:space="0" w:color="auto"/>
            </w:tcBorders>
            <w:shd w:val="clear" w:color="000000" w:fill="002060"/>
            <w:vAlign w:val="bottom"/>
            <w:hideMark/>
          </w:tcPr>
          <w:p w14:paraId="3ED83952" w14:textId="77777777" w:rsidR="00BE6048" w:rsidRPr="00BE6048" w:rsidRDefault="00BE6048" w:rsidP="00BE6048">
            <w:pPr>
              <w:spacing w:after="0"/>
              <w:jc w:val="center"/>
              <w:rPr>
                <w:rFonts w:cs="Arial"/>
                <w:b/>
                <w:bCs/>
                <w:color w:val="FFFFFF"/>
                <w:szCs w:val="22"/>
              </w:rPr>
            </w:pPr>
            <w:r w:rsidRPr="00BE6048">
              <w:rPr>
                <w:rFonts w:cs="Arial"/>
                <w:b/>
                <w:bCs/>
                <w:color w:val="FFFFFF"/>
                <w:szCs w:val="22"/>
              </w:rPr>
              <w:t>Developments</w:t>
            </w:r>
          </w:p>
        </w:tc>
      </w:tr>
      <w:tr w:rsidR="00BE6048" w:rsidRPr="00BE6048" w14:paraId="53F14610"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309CFB4A" w14:textId="77777777" w:rsidR="00BE6048" w:rsidRPr="00BE6048" w:rsidRDefault="00BE6048" w:rsidP="00BE6048">
            <w:pPr>
              <w:spacing w:after="0"/>
              <w:jc w:val="center"/>
              <w:rPr>
                <w:rFonts w:cs="Arial"/>
                <w:color w:val="000000"/>
                <w:szCs w:val="22"/>
              </w:rPr>
            </w:pPr>
            <w:r w:rsidRPr="00BE6048">
              <w:rPr>
                <w:rFonts w:cs="Arial"/>
                <w:color w:val="000000"/>
                <w:szCs w:val="22"/>
              </w:rPr>
              <w:t>1996</w:t>
            </w:r>
          </w:p>
        </w:tc>
        <w:tc>
          <w:tcPr>
            <w:tcW w:w="8631" w:type="dxa"/>
            <w:tcBorders>
              <w:top w:val="nil"/>
              <w:left w:val="nil"/>
              <w:bottom w:val="single" w:sz="4" w:space="0" w:color="auto"/>
              <w:right w:val="single" w:sz="4" w:space="0" w:color="auto"/>
            </w:tcBorders>
            <w:shd w:val="clear" w:color="auto" w:fill="auto"/>
            <w:vAlign w:val="bottom"/>
            <w:hideMark/>
          </w:tcPr>
          <w:p w14:paraId="116111B7" w14:textId="77777777" w:rsidR="00BE6048" w:rsidRPr="00BE6048" w:rsidRDefault="00BE6048" w:rsidP="00BE6048">
            <w:pPr>
              <w:spacing w:after="0"/>
              <w:jc w:val="left"/>
              <w:rPr>
                <w:rFonts w:cs="Arial"/>
                <w:color w:val="000000"/>
                <w:szCs w:val="22"/>
              </w:rPr>
            </w:pPr>
            <w:r w:rsidRPr="00BE6048">
              <w:rPr>
                <w:rFonts w:cs="Arial"/>
                <w:color w:val="000000"/>
                <w:szCs w:val="22"/>
              </w:rPr>
              <w:t>European Directive on energy market liberalization</w:t>
            </w:r>
          </w:p>
        </w:tc>
      </w:tr>
      <w:tr w:rsidR="00BE6048" w:rsidRPr="00BE6048" w14:paraId="388551BB"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6A19B092" w14:textId="77777777" w:rsidR="00BE6048" w:rsidRPr="00BE6048" w:rsidRDefault="00BE6048" w:rsidP="00BE6048">
            <w:pPr>
              <w:spacing w:after="0"/>
              <w:jc w:val="center"/>
              <w:rPr>
                <w:rFonts w:cs="Arial"/>
                <w:color w:val="000000"/>
                <w:szCs w:val="22"/>
              </w:rPr>
            </w:pPr>
            <w:r w:rsidRPr="00BE6048">
              <w:rPr>
                <w:rFonts w:cs="Arial"/>
                <w:color w:val="000000"/>
                <w:szCs w:val="22"/>
              </w:rPr>
              <w:t>1998</w:t>
            </w:r>
          </w:p>
        </w:tc>
        <w:tc>
          <w:tcPr>
            <w:tcW w:w="8631" w:type="dxa"/>
            <w:tcBorders>
              <w:top w:val="nil"/>
              <w:left w:val="nil"/>
              <w:bottom w:val="single" w:sz="4" w:space="0" w:color="auto"/>
              <w:right w:val="single" w:sz="4" w:space="0" w:color="auto"/>
            </w:tcBorders>
            <w:shd w:val="clear" w:color="auto" w:fill="auto"/>
            <w:vAlign w:val="bottom"/>
            <w:hideMark/>
          </w:tcPr>
          <w:p w14:paraId="7697CC4B" w14:textId="77777777" w:rsidR="00BE6048" w:rsidRPr="00BE6048" w:rsidRDefault="00BE6048" w:rsidP="00BE6048">
            <w:pPr>
              <w:spacing w:after="0"/>
              <w:jc w:val="left"/>
              <w:rPr>
                <w:rFonts w:cs="Arial"/>
                <w:color w:val="000000"/>
                <w:szCs w:val="22"/>
              </w:rPr>
            </w:pPr>
            <w:r w:rsidRPr="00BE6048">
              <w:rPr>
                <w:rFonts w:cs="Arial"/>
                <w:color w:val="000000"/>
                <w:szCs w:val="22"/>
              </w:rPr>
              <w:t>Implementation of the Directive in German and Austrian law</w:t>
            </w:r>
          </w:p>
        </w:tc>
      </w:tr>
      <w:tr w:rsidR="00BE6048" w:rsidRPr="00BE6048" w14:paraId="68BE8E1C"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6D9D4FC4" w14:textId="77777777" w:rsidR="00BE6048" w:rsidRPr="00BE6048" w:rsidRDefault="00BE6048" w:rsidP="00BE6048">
            <w:pPr>
              <w:spacing w:after="0"/>
              <w:jc w:val="center"/>
              <w:rPr>
                <w:rFonts w:cs="Arial"/>
                <w:color w:val="000000"/>
                <w:szCs w:val="22"/>
              </w:rPr>
            </w:pPr>
            <w:r w:rsidRPr="00BE6048">
              <w:rPr>
                <w:rFonts w:cs="Arial"/>
                <w:color w:val="000000"/>
                <w:szCs w:val="22"/>
              </w:rPr>
              <w:t>2000</w:t>
            </w:r>
          </w:p>
        </w:tc>
        <w:tc>
          <w:tcPr>
            <w:tcW w:w="8631" w:type="dxa"/>
            <w:tcBorders>
              <w:top w:val="nil"/>
              <w:left w:val="nil"/>
              <w:bottom w:val="single" w:sz="4" w:space="0" w:color="auto"/>
              <w:right w:val="single" w:sz="4" w:space="0" w:color="auto"/>
            </w:tcBorders>
            <w:shd w:val="clear" w:color="auto" w:fill="auto"/>
            <w:vAlign w:val="bottom"/>
            <w:hideMark/>
          </w:tcPr>
          <w:p w14:paraId="470A146E" w14:textId="77777777" w:rsidR="00BE6048" w:rsidRPr="00BE6048" w:rsidRDefault="00BE6048" w:rsidP="00BE6048">
            <w:pPr>
              <w:spacing w:after="0"/>
              <w:jc w:val="left"/>
              <w:rPr>
                <w:rFonts w:cs="Arial"/>
                <w:color w:val="000000"/>
                <w:szCs w:val="22"/>
              </w:rPr>
            </w:pPr>
            <w:r w:rsidRPr="00BE6048">
              <w:rPr>
                <w:rFonts w:cs="Arial"/>
                <w:color w:val="000000"/>
                <w:szCs w:val="22"/>
              </w:rPr>
              <w:t>Implementation of the Directive in French law</w:t>
            </w:r>
          </w:p>
        </w:tc>
      </w:tr>
      <w:tr w:rsidR="00BE6048" w:rsidRPr="00BE6048" w14:paraId="2784850D"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715EB351" w14:textId="77777777" w:rsidR="00BE6048" w:rsidRPr="00BE6048" w:rsidRDefault="00BE6048" w:rsidP="00BE6048">
            <w:pPr>
              <w:spacing w:after="0"/>
              <w:jc w:val="center"/>
              <w:rPr>
                <w:rFonts w:cs="Arial"/>
                <w:color w:val="000000"/>
                <w:szCs w:val="22"/>
              </w:rPr>
            </w:pPr>
            <w:r w:rsidRPr="00BE6048">
              <w:rPr>
                <w:rFonts w:cs="Arial"/>
                <w:color w:val="000000"/>
                <w:szCs w:val="22"/>
              </w:rPr>
              <w:t>2001</w:t>
            </w:r>
          </w:p>
        </w:tc>
        <w:tc>
          <w:tcPr>
            <w:tcW w:w="8631" w:type="dxa"/>
            <w:tcBorders>
              <w:top w:val="nil"/>
              <w:left w:val="nil"/>
              <w:bottom w:val="single" w:sz="4" w:space="0" w:color="auto"/>
              <w:right w:val="single" w:sz="4" w:space="0" w:color="auto"/>
            </w:tcBorders>
            <w:shd w:val="clear" w:color="auto" w:fill="auto"/>
            <w:vAlign w:val="bottom"/>
            <w:hideMark/>
          </w:tcPr>
          <w:p w14:paraId="591220E3" w14:textId="77777777" w:rsidR="00BE6048" w:rsidRPr="00BE6048" w:rsidRDefault="00BE6048" w:rsidP="00BE6048">
            <w:pPr>
              <w:spacing w:after="0"/>
              <w:jc w:val="left"/>
              <w:rPr>
                <w:rFonts w:cs="Arial"/>
                <w:color w:val="000000"/>
                <w:szCs w:val="22"/>
              </w:rPr>
            </w:pPr>
            <w:r w:rsidRPr="00BE6048">
              <w:rPr>
                <w:rFonts w:cs="Arial"/>
                <w:color w:val="000000"/>
                <w:szCs w:val="22"/>
              </w:rPr>
              <w:t>Establishment of POWERNEXT SA</w:t>
            </w:r>
          </w:p>
        </w:tc>
      </w:tr>
      <w:tr w:rsidR="00BE6048" w:rsidRPr="00BE6048" w14:paraId="098ED560"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21F0FC5F" w14:textId="77777777" w:rsidR="00BE6048" w:rsidRPr="00BE6048" w:rsidRDefault="00BE6048" w:rsidP="00BE6048">
            <w:pPr>
              <w:spacing w:after="0"/>
              <w:jc w:val="center"/>
              <w:rPr>
                <w:rFonts w:cs="Arial"/>
                <w:color w:val="000000"/>
                <w:szCs w:val="22"/>
              </w:rPr>
            </w:pPr>
            <w:r w:rsidRPr="00BE6048">
              <w:rPr>
                <w:rFonts w:cs="Arial"/>
                <w:color w:val="000000"/>
                <w:szCs w:val="22"/>
              </w:rPr>
              <w:t>2002</w:t>
            </w:r>
          </w:p>
        </w:tc>
        <w:tc>
          <w:tcPr>
            <w:tcW w:w="8631" w:type="dxa"/>
            <w:tcBorders>
              <w:top w:val="nil"/>
              <w:left w:val="nil"/>
              <w:bottom w:val="single" w:sz="4" w:space="0" w:color="auto"/>
              <w:right w:val="single" w:sz="4" w:space="0" w:color="auto"/>
            </w:tcBorders>
            <w:shd w:val="clear" w:color="auto" w:fill="auto"/>
            <w:vAlign w:val="bottom"/>
            <w:hideMark/>
          </w:tcPr>
          <w:p w14:paraId="350E8847" w14:textId="77777777" w:rsidR="00BE6048" w:rsidRPr="00BE6048" w:rsidRDefault="00BE6048" w:rsidP="00BE6048">
            <w:pPr>
              <w:spacing w:after="0"/>
              <w:jc w:val="left"/>
              <w:rPr>
                <w:rFonts w:cs="Arial"/>
                <w:color w:val="000000"/>
                <w:szCs w:val="22"/>
              </w:rPr>
            </w:pPr>
            <w:r w:rsidRPr="00BE6048">
              <w:rPr>
                <w:rFonts w:cs="Arial"/>
                <w:color w:val="000000"/>
                <w:szCs w:val="22"/>
              </w:rPr>
              <w:t>Merger of the former Leipzig Power Exchange LPX and the EEX Frankfurt to EEX AG</w:t>
            </w:r>
          </w:p>
        </w:tc>
      </w:tr>
      <w:tr w:rsidR="00BE6048" w:rsidRPr="00BE6048" w14:paraId="3A344BC4"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479C8596" w14:textId="77777777" w:rsidR="00BE6048" w:rsidRPr="00BE6048" w:rsidRDefault="00BE6048" w:rsidP="00BE6048">
            <w:pPr>
              <w:spacing w:after="0"/>
              <w:jc w:val="center"/>
              <w:rPr>
                <w:rFonts w:cs="Arial"/>
                <w:color w:val="000000"/>
                <w:szCs w:val="22"/>
              </w:rPr>
            </w:pPr>
            <w:r w:rsidRPr="00BE6048">
              <w:rPr>
                <w:rFonts w:cs="Arial"/>
                <w:color w:val="000000"/>
                <w:szCs w:val="22"/>
              </w:rPr>
              <w:t>2008</w:t>
            </w:r>
          </w:p>
        </w:tc>
        <w:tc>
          <w:tcPr>
            <w:tcW w:w="8631" w:type="dxa"/>
            <w:tcBorders>
              <w:top w:val="nil"/>
              <w:left w:val="nil"/>
              <w:bottom w:val="single" w:sz="4" w:space="0" w:color="auto"/>
              <w:right w:val="single" w:sz="4" w:space="0" w:color="auto"/>
            </w:tcBorders>
            <w:shd w:val="clear" w:color="auto" w:fill="auto"/>
            <w:vAlign w:val="bottom"/>
            <w:hideMark/>
          </w:tcPr>
          <w:p w14:paraId="5ABDB0CB" w14:textId="77777777" w:rsidR="00BE6048" w:rsidRPr="00BE6048" w:rsidRDefault="00BE6048" w:rsidP="00BE6048">
            <w:pPr>
              <w:spacing w:after="0"/>
              <w:jc w:val="left"/>
              <w:rPr>
                <w:rFonts w:cs="Arial"/>
                <w:color w:val="000000"/>
                <w:szCs w:val="22"/>
              </w:rPr>
            </w:pPr>
            <w:r w:rsidRPr="00BE6048">
              <w:rPr>
                <w:rFonts w:cs="Arial"/>
                <w:color w:val="000000"/>
                <w:szCs w:val="22"/>
              </w:rPr>
              <w:t>Creation of EPEX SPOT SE, owned 50/50 by POWERNEXT SA and EEX AG</w:t>
            </w:r>
          </w:p>
        </w:tc>
      </w:tr>
      <w:tr w:rsidR="00BE6048" w:rsidRPr="00BE6048" w14:paraId="45EE338D" w14:textId="77777777" w:rsidTr="0053735A">
        <w:trPr>
          <w:trHeight w:val="58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034B66E3" w14:textId="77777777" w:rsidR="00BE6048" w:rsidRPr="00BE6048" w:rsidRDefault="00BE6048" w:rsidP="00BE6048">
            <w:pPr>
              <w:spacing w:after="0"/>
              <w:jc w:val="center"/>
              <w:rPr>
                <w:rFonts w:cs="Arial"/>
                <w:color w:val="000000"/>
                <w:szCs w:val="22"/>
              </w:rPr>
            </w:pPr>
            <w:r w:rsidRPr="00BE6048">
              <w:rPr>
                <w:rFonts w:cs="Arial"/>
                <w:color w:val="000000"/>
                <w:szCs w:val="22"/>
              </w:rPr>
              <w:t>2009</w:t>
            </w:r>
          </w:p>
        </w:tc>
        <w:tc>
          <w:tcPr>
            <w:tcW w:w="8631" w:type="dxa"/>
            <w:tcBorders>
              <w:top w:val="nil"/>
              <w:left w:val="nil"/>
              <w:bottom w:val="single" w:sz="4" w:space="0" w:color="auto"/>
              <w:right w:val="single" w:sz="4" w:space="0" w:color="auto"/>
            </w:tcBorders>
            <w:shd w:val="clear" w:color="auto" w:fill="auto"/>
            <w:vAlign w:val="bottom"/>
            <w:hideMark/>
          </w:tcPr>
          <w:p w14:paraId="7EB6CD48" w14:textId="77777777" w:rsidR="00BE6048" w:rsidRPr="00BE6048" w:rsidRDefault="00BE6048" w:rsidP="00BE6048">
            <w:pPr>
              <w:spacing w:after="0"/>
              <w:jc w:val="left"/>
              <w:rPr>
                <w:rFonts w:cs="Arial"/>
                <w:color w:val="000000"/>
                <w:szCs w:val="22"/>
              </w:rPr>
            </w:pPr>
            <w:r w:rsidRPr="00BE6048">
              <w:rPr>
                <w:rFonts w:cs="Arial"/>
                <w:color w:val="000000"/>
                <w:szCs w:val="22"/>
              </w:rPr>
              <w:t>Creation of EPEX SPOT SE, owned 50/50 by POWERNEXT SA and EEX AG</w:t>
            </w:r>
            <w:r w:rsidRPr="00BE6048">
              <w:rPr>
                <w:rFonts w:cs="Arial"/>
                <w:color w:val="000000"/>
                <w:szCs w:val="22"/>
              </w:rPr>
              <w:br/>
              <w:t>Transfer of EEX Power Spot into EPEX SPOT SE</w:t>
            </w:r>
          </w:p>
        </w:tc>
      </w:tr>
      <w:tr w:rsidR="00BE6048" w:rsidRPr="00BE6048" w14:paraId="2219B7F1"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5E3C8475" w14:textId="77777777" w:rsidR="00BE6048" w:rsidRPr="00BE6048" w:rsidRDefault="00BE6048" w:rsidP="00BE6048">
            <w:pPr>
              <w:spacing w:after="0"/>
              <w:jc w:val="center"/>
              <w:rPr>
                <w:rFonts w:cs="Arial"/>
                <w:color w:val="000000"/>
                <w:szCs w:val="22"/>
              </w:rPr>
            </w:pPr>
            <w:r w:rsidRPr="00BE6048">
              <w:rPr>
                <w:rFonts w:cs="Arial"/>
                <w:color w:val="000000"/>
                <w:szCs w:val="22"/>
              </w:rPr>
              <w:t>2012</w:t>
            </w:r>
          </w:p>
        </w:tc>
        <w:tc>
          <w:tcPr>
            <w:tcW w:w="8631" w:type="dxa"/>
            <w:tcBorders>
              <w:top w:val="nil"/>
              <w:left w:val="nil"/>
              <w:bottom w:val="single" w:sz="4" w:space="0" w:color="auto"/>
              <w:right w:val="single" w:sz="4" w:space="0" w:color="auto"/>
            </w:tcBorders>
            <w:shd w:val="clear" w:color="auto" w:fill="auto"/>
            <w:vAlign w:val="bottom"/>
            <w:hideMark/>
          </w:tcPr>
          <w:p w14:paraId="52B26D58" w14:textId="77777777" w:rsidR="00BE6048" w:rsidRPr="00BE6048" w:rsidRDefault="00BE6048" w:rsidP="00BE6048">
            <w:pPr>
              <w:spacing w:after="0"/>
              <w:jc w:val="left"/>
              <w:rPr>
                <w:rFonts w:cs="Arial"/>
                <w:color w:val="000000"/>
                <w:szCs w:val="22"/>
              </w:rPr>
            </w:pPr>
            <w:r w:rsidRPr="00BE6048">
              <w:rPr>
                <w:rFonts w:cs="Arial"/>
                <w:color w:val="000000"/>
                <w:szCs w:val="22"/>
              </w:rPr>
              <w:t>APG and EPEX SPOT launch Austrian Intraday market</w:t>
            </w:r>
          </w:p>
        </w:tc>
      </w:tr>
      <w:tr w:rsidR="00BE6048" w:rsidRPr="00BE6048" w14:paraId="0E8C7AD4"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4FB24C67" w14:textId="77777777" w:rsidR="00BE6048" w:rsidRPr="00BE6048" w:rsidRDefault="00BE6048" w:rsidP="00BE6048">
            <w:pPr>
              <w:spacing w:after="0"/>
              <w:jc w:val="center"/>
              <w:rPr>
                <w:rFonts w:cs="Arial"/>
                <w:color w:val="000000"/>
                <w:szCs w:val="22"/>
              </w:rPr>
            </w:pPr>
            <w:r w:rsidRPr="00BE6048">
              <w:rPr>
                <w:rFonts w:cs="Arial"/>
                <w:color w:val="000000"/>
                <w:szCs w:val="22"/>
              </w:rPr>
              <w:t>2014</w:t>
            </w:r>
          </w:p>
        </w:tc>
        <w:tc>
          <w:tcPr>
            <w:tcW w:w="8631" w:type="dxa"/>
            <w:tcBorders>
              <w:top w:val="nil"/>
              <w:left w:val="nil"/>
              <w:bottom w:val="single" w:sz="4" w:space="0" w:color="auto"/>
              <w:right w:val="single" w:sz="4" w:space="0" w:color="auto"/>
            </w:tcBorders>
            <w:shd w:val="clear" w:color="auto" w:fill="auto"/>
            <w:vAlign w:val="bottom"/>
            <w:hideMark/>
          </w:tcPr>
          <w:p w14:paraId="0629D992" w14:textId="77777777" w:rsidR="00BE6048" w:rsidRPr="00BE6048" w:rsidRDefault="00BE6048" w:rsidP="00BE6048">
            <w:pPr>
              <w:spacing w:after="0"/>
              <w:jc w:val="left"/>
              <w:rPr>
                <w:rFonts w:cs="Arial"/>
                <w:color w:val="000000"/>
                <w:szCs w:val="22"/>
              </w:rPr>
            </w:pPr>
            <w:r w:rsidRPr="00BE6048">
              <w:rPr>
                <w:rFonts w:cs="Arial"/>
                <w:color w:val="000000"/>
                <w:szCs w:val="22"/>
              </w:rPr>
              <w:t>Launch of 15-Minute Intraday Call Auction in Germany</w:t>
            </w:r>
          </w:p>
        </w:tc>
      </w:tr>
      <w:tr w:rsidR="00BE6048" w:rsidRPr="00BE6048" w14:paraId="7302CA04"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3E50C0C0" w14:textId="77777777" w:rsidR="00BE6048" w:rsidRPr="00BE6048" w:rsidRDefault="00BE6048" w:rsidP="00BE6048">
            <w:pPr>
              <w:spacing w:after="0"/>
              <w:jc w:val="center"/>
              <w:rPr>
                <w:rFonts w:cs="Arial"/>
                <w:color w:val="000000"/>
                <w:szCs w:val="22"/>
              </w:rPr>
            </w:pPr>
            <w:r w:rsidRPr="00BE6048">
              <w:rPr>
                <w:rFonts w:cs="Arial"/>
                <w:color w:val="000000"/>
                <w:szCs w:val="22"/>
              </w:rPr>
              <w:t>2016</w:t>
            </w:r>
          </w:p>
        </w:tc>
        <w:tc>
          <w:tcPr>
            <w:tcW w:w="8631" w:type="dxa"/>
            <w:tcBorders>
              <w:top w:val="nil"/>
              <w:left w:val="nil"/>
              <w:bottom w:val="single" w:sz="4" w:space="0" w:color="auto"/>
              <w:right w:val="single" w:sz="4" w:space="0" w:color="auto"/>
            </w:tcBorders>
            <w:shd w:val="clear" w:color="auto" w:fill="auto"/>
            <w:vAlign w:val="bottom"/>
            <w:hideMark/>
          </w:tcPr>
          <w:p w14:paraId="3AFF6642" w14:textId="77777777" w:rsidR="00BE6048" w:rsidRPr="00BE6048" w:rsidRDefault="00BE6048" w:rsidP="00BE6048">
            <w:pPr>
              <w:spacing w:after="0"/>
              <w:jc w:val="left"/>
              <w:rPr>
                <w:rFonts w:cs="Arial"/>
                <w:color w:val="000000"/>
                <w:szCs w:val="22"/>
              </w:rPr>
            </w:pPr>
            <w:r w:rsidRPr="00BE6048">
              <w:rPr>
                <w:rFonts w:cs="Arial"/>
                <w:color w:val="000000"/>
                <w:szCs w:val="22"/>
              </w:rPr>
              <w:t xml:space="preserve">Launch of the new </w:t>
            </w:r>
            <w:proofErr w:type="gramStart"/>
            <w:r w:rsidRPr="00BE6048">
              <w:rPr>
                <w:rFonts w:cs="Arial"/>
                <w:color w:val="000000"/>
                <w:szCs w:val="22"/>
              </w:rPr>
              <w:t>Belgian-French</w:t>
            </w:r>
            <w:proofErr w:type="gramEnd"/>
            <w:r w:rsidRPr="00BE6048">
              <w:rPr>
                <w:rFonts w:cs="Arial"/>
                <w:color w:val="000000"/>
                <w:szCs w:val="22"/>
              </w:rPr>
              <w:t xml:space="preserve"> &amp; Belgian-Dutch Intraday solution</w:t>
            </w:r>
          </w:p>
        </w:tc>
      </w:tr>
      <w:tr w:rsidR="00BE6048" w:rsidRPr="00BE6048" w14:paraId="3E97B98F"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4D0CE5B3" w14:textId="77777777" w:rsidR="00BE6048" w:rsidRPr="00BE6048" w:rsidRDefault="00BE6048" w:rsidP="00BE6048">
            <w:pPr>
              <w:spacing w:after="0"/>
              <w:jc w:val="center"/>
              <w:rPr>
                <w:rFonts w:cs="Arial"/>
                <w:color w:val="000000"/>
                <w:szCs w:val="22"/>
              </w:rPr>
            </w:pPr>
            <w:r w:rsidRPr="00BE6048">
              <w:rPr>
                <w:rFonts w:cs="Arial"/>
                <w:color w:val="000000"/>
                <w:szCs w:val="22"/>
              </w:rPr>
              <w:t>2018</w:t>
            </w:r>
          </w:p>
        </w:tc>
        <w:tc>
          <w:tcPr>
            <w:tcW w:w="8631" w:type="dxa"/>
            <w:tcBorders>
              <w:top w:val="nil"/>
              <w:left w:val="nil"/>
              <w:bottom w:val="single" w:sz="4" w:space="0" w:color="auto"/>
              <w:right w:val="single" w:sz="4" w:space="0" w:color="auto"/>
            </w:tcBorders>
            <w:shd w:val="clear" w:color="auto" w:fill="auto"/>
            <w:vAlign w:val="bottom"/>
            <w:hideMark/>
          </w:tcPr>
          <w:p w14:paraId="02D4F3C0" w14:textId="77777777" w:rsidR="00BE6048" w:rsidRPr="00BE6048" w:rsidRDefault="00BE6048" w:rsidP="00BE6048">
            <w:pPr>
              <w:spacing w:after="0"/>
              <w:jc w:val="left"/>
              <w:rPr>
                <w:rFonts w:cs="Arial"/>
                <w:color w:val="000000"/>
                <w:szCs w:val="22"/>
              </w:rPr>
            </w:pPr>
            <w:r w:rsidRPr="00BE6048">
              <w:rPr>
                <w:rFonts w:cs="Arial"/>
                <w:color w:val="000000"/>
                <w:szCs w:val="22"/>
              </w:rPr>
              <w:t>Intraday trading harmonized across eight countries</w:t>
            </w:r>
          </w:p>
        </w:tc>
      </w:tr>
      <w:tr w:rsidR="00BE6048" w:rsidRPr="00BE6048" w14:paraId="2309E2FC"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5DB66E41" w14:textId="77777777" w:rsidR="00BE6048" w:rsidRPr="00BE6048" w:rsidRDefault="00BE6048" w:rsidP="00BE6048">
            <w:pPr>
              <w:spacing w:after="0"/>
              <w:jc w:val="center"/>
              <w:rPr>
                <w:rFonts w:cs="Arial"/>
                <w:color w:val="000000"/>
                <w:szCs w:val="22"/>
              </w:rPr>
            </w:pPr>
            <w:r w:rsidRPr="00BE6048">
              <w:rPr>
                <w:rFonts w:cs="Arial"/>
                <w:color w:val="000000"/>
                <w:szCs w:val="22"/>
              </w:rPr>
              <w:t>2022</w:t>
            </w:r>
          </w:p>
        </w:tc>
        <w:tc>
          <w:tcPr>
            <w:tcW w:w="8631" w:type="dxa"/>
            <w:tcBorders>
              <w:top w:val="nil"/>
              <w:left w:val="nil"/>
              <w:bottom w:val="single" w:sz="4" w:space="0" w:color="auto"/>
              <w:right w:val="single" w:sz="4" w:space="0" w:color="auto"/>
            </w:tcBorders>
            <w:shd w:val="clear" w:color="auto" w:fill="auto"/>
            <w:vAlign w:val="bottom"/>
            <w:hideMark/>
          </w:tcPr>
          <w:p w14:paraId="3AB09326" w14:textId="77777777" w:rsidR="00BE6048" w:rsidRPr="00BE6048" w:rsidRDefault="00BE6048" w:rsidP="00BE6048">
            <w:pPr>
              <w:spacing w:after="0"/>
              <w:jc w:val="left"/>
              <w:rPr>
                <w:rFonts w:cs="Arial"/>
                <w:color w:val="000000"/>
                <w:szCs w:val="22"/>
              </w:rPr>
            </w:pPr>
            <w:r w:rsidRPr="00BE6048">
              <w:rPr>
                <w:rFonts w:cs="Arial"/>
                <w:color w:val="000000"/>
                <w:szCs w:val="22"/>
              </w:rPr>
              <w:t>EPEX SPOT becomes first exchange to join RECS Energy Certificate Association</w:t>
            </w:r>
          </w:p>
        </w:tc>
      </w:tr>
    </w:tbl>
    <w:p w14:paraId="1E22BCAB" w14:textId="77777777" w:rsidR="00B01BC4" w:rsidRDefault="00B01BC4" w:rsidP="0072561A">
      <w:pPr>
        <w:pStyle w:val="paragraph"/>
        <w:spacing w:beforeAutospacing="0" w:after="240" w:afterAutospacing="0"/>
        <w:textAlignment w:val="baseline"/>
        <w:rPr>
          <w:rStyle w:val="normaltextrun"/>
          <w:rFonts w:eastAsia="Arial"/>
          <w:szCs w:val="22"/>
        </w:rPr>
      </w:pPr>
    </w:p>
    <w:p w14:paraId="50895CA1" w14:textId="1D538596" w:rsidR="009D20AF" w:rsidRPr="00EE7B9B" w:rsidRDefault="00EE7B9B" w:rsidP="0072561A">
      <w:pPr>
        <w:pStyle w:val="paragraph"/>
        <w:spacing w:beforeAutospacing="0" w:after="240" w:afterAutospacing="0"/>
        <w:textAlignment w:val="baseline"/>
        <w:rPr>
          <w:rStyle w:val="normaltextrun"/>
          <w:rFonts w:eastAsia="Arial"/>
          <w:i/>
          <w:iCs/>
          <w:szCs w:val="22"/>
        </w:rPr>
      </w:pPr>
      <w:r w:rsidRPr="00EE7B9B">
        <w:rPr>
          <w:rStyle w:val="normaltextrun"/>
          <w:rFonts w:eastAsia="Arial"/>
          <w:i/>
          <w:iCs/>
          <w:szCs w:val="22"/>
        </w:rPr>
        <w:t>Key Features</w:t>
      </w:r>
    </w:p>
    <w:p w14:paraId="4D4DD99C" w14:textId="77777777" w:rsidR="00B01BC4" w:rsidRDefault="00B01BC4" w:rsidP="008E21FA">
      <w:pPr>
        <w:pStyle w:val="paragraph"/>
        <w:numPr>
          <w:ilvl w:val="0"/>
          <w:numId w:val="28"/>
        </w:numPr>
        <w:spacing w:after="240"/>
        <w:textAlignment w:val="baseline"/>
        <w:rPr>
          <w:rFonts w:eastAsia="Arial"/>
          <w:szCs w:val="22"/>
        </w:rPr>
      </w:pPr>
      <w:r w:rsidRPr="00B01BC4">
        <w:rPr>
          <w:rFonts w:eastAsia="Arial"/>
          <w:b/>
          <w:bCs/>
          <w:szCs w:val="22"/>
        </w:rPr>
        <w:t>Access to an Anonymous Market:</w:t>
      </w:r>
      <w:r w:rsidRPr="00B01BC4">
        <w:rPr>
          <w:rFonts w:eastAsia="Arial"/>
          <w:szCs w:val="22"/>
        </w:rPr>
        <w:t xml:space="preserve"> EPEX SPOT provides participants with access to an anonymous market, ensuring that trading activities are independent of individual identities. This promotes fairness and confidentiality, allowing participants to trade without revealing their positions.</w:t>
      </w:r>
    </w:p>
    <w:p w14:paraId="558778A4" w14:textId="77777777" w:rsidR="00B01BC4" w:rsidRDefault="00B01BC4" w:rsidP="008E21FA">
      <w:pPr>
        <w:pStyle w:val="paragraph"/>
        <w:numPr>
          <w:ilvl w:val="0"/>
          <w:numId w:val="28"/>
        </w:numPr>
        <w:spacing w:after="240"/>
        <w:textAlignment w:val="baseline"/>
        <w:rPr>
          <w:rFonts w:eastAsia="Arial"/>
          <w:szCs w:val="22"/>
        </w:rPr>
      </w:pPr>
      <w:r w:rsidRPr="00B01BC4">
        <w:rPr>
          <w:rFonts w:eastAsia="Arial"/>
          <w:b/>
          <w:bCs/>
          <w:szCs w:val="22"/>
        </w:rPr>
        <w:t>Level Playing Field Between Members:</w:t>
      </w:r>
      <w:r w:rsidRPr="00B01BC4">
        <w:rPr>
          <w:rFonts w:eastAsia="Arial"/>
          <w:szCs w:val="22"/>
        </w:rPr>
        <w:t xml:space="preserve"> EPEX SPOT ensures equal access for all market participants, promoting a competitive and </w:t>
      </w:r>
      <w:proofErr w:type="gramStart"/>
      <w:r w:rsidRPr="00B01BC4">
        <w:rPr>
          <w:rFonts w:eastAsia="Arial"/>
          <w:szCs w:val="22"/>
        </w:rPr>
        <w:t>fair trading</w:t>
      </w:r>
      <w:proofErr w:type="gramEnd"/>
      <w:r w:rsidRPr="00B01BC4">
        <w:rPr>
          <w:rFonts w:eastAsia="Arial"/>
          <w:szCs w:val="22"/>
        </w:rPr>
        <w:t xml:space="preserve"> environment. There are no preferential treatments, ensuring that all members, regardless of their size or position, have an equal opportunity to engage in the market.</w:t>
      </w:r>
    </w:p>
    <w:p w14:paraId="0C7E7CC2" w14:textId="77777777" w:rsidR="00B01BC4" w:rsidRDefault="00B01BC4" w:rsidP="008E21FA">
      <w:pPr>
        <w:pStyle w:val="paragraph"/>
        <w:numPr>
          <w:ilvl w:val="0"/>
          <w:numId w:val="28"/>
        </w:numPr>
        <w:spacing w:after="240"/>
        <w:textAlignment w:val="baseline"/>
        <w:rPr>
          <w:rFonts w:eastAsia="Arial"/>
          <w:szCs w:val="22"/>
        </w:rPr>
      </w:pPr>
      <w:r w:rsidRPr="00B01BC4">
        <w:rPr>
          <w:rFonts w:eastAsia="Arial"/>
          <w:b/>
          <w:bCs/>
          <w:szCs w:val="22"/>
        </w:rPr>
        <w:t>Financial Guarantees through the Clearing House:</w:t>
      </w:r>
      <w:r w:rsidRPr="00B01BC4">
        <w:rPr>
          <w:rFonts w:eastAsia="Arial"/>
          <w:szCs w:val="22"/>
        </w:rPr>
        <w:t xml:space="preserve"> EPEX SPOT’s Clearing House offers financial guarantees to reduce the risk of default. This mechanism ensures that transactions are secured and that market participants are protected against counterparty risks, maintaining market stability.</w:t>
      </w:r>
    </w:p>
    <w:p w14:paraId="1F3A0A6B" w14:textId="20D452F0" w:rsidR="00EE7B9B" w:rsidRDefault="00B01BC4" w:rsidP="008E21FA">
      <w:pPr>
        <w:pStyle w:val="paragraph"/>
        <w:numPr>
          <w:ilvl w:val="0"/>
          <w:numId w:val="28"/>
        </w:numPr>
        <w:spacing w:after="240"/>
        <w:textAlignment w:val="baseline"/>
        <w:rPr>
          <w:rFonts w:eastAsia="Arial"/>
          <w:szCs w:val="22"/>
        </w:rPr>
      </w:pPr>
      <w:r w:rsidRPr="00B01BC4">
        <w:rPr>
          <w:rFonts w:eastAsia="Arial"/>
          <w:b/>
          <w:bCs/>
          <w:szCs w:val="22"/>
        </w:rPr>
        <w:t>Calculation and Publication of Transparent and Fair Price References:</w:t>
      </w:r>
      <w:r w:rsidRPr="00B01BC4">
        <w:rPr>
          <w:rFonts w:eastAsia="Arial"/>
          <w:szCs w:val="22"/>
        </w:rPr>
        <w:t xml:space="preserve"> EPEX SPOT calculates and publishes transparent, fair, and market-driven price references, providing clear price signals. This transparency enhances market trust, facilitates accurate price discovery, and supports efficient decision-making for participants.</w:t>
      </w:r>
    </w:p>
    <w:p w14:paraId="34B6E0B1" w14:textId="2738BA79" w:rsidR="006B45DB" w:rsidRPr="006B45DB" w:rsidRDefault="006B45DB" w:rsidP="006B45DB">
      <w:pPr>
        <w:pStyle w:val="paragraph"/>
        <w:spacing w:after="240"/>
        <w:textAlignment w:val="baseline"/>
        <w:rPr>
          <w:rFonts w:eastAsia="Arial"/>
          <w:i/>
          <w:iCs/>
          <w:szCs w:val="22"/>
        </w:rPr>
      </w:pPr>
      <w:r w:rsidRPr="006B45DB">
        <w:rPr>
          <w:rFonts w:eastAsia="Arial"/>
          <w:i/>
          <w:iCs/>
          <w:szCs w:val="22"/>
        </w:rPr>
        <w:t>Market oversight</w:t>
      </w:r>
    </w:p>
    <w:p w14:paraId="0FCE4799" w14:textId="77777777" w:rsidR="006B45DB" w:rsidRPr="006B45DB" w:rsidRDefault="006B45DB" w:rsidP="006B45DB">
      <w:pPr>
        <w:pStyle w:val="paragraph"/>
        <w:spacing w:after="240"/>
        <w:textAlignment w:val="baseline"/>
        <w:rPr>
          <w:rFonts w:eastAsia="Arial"/>
          <w:szCs w:val="22"/>
        </w:rPr>
      </w:pPr>
      <w:r w:rsidRPr="006B45DB">
        <w:rPr>
          <w:rFonts w:eastAsia="Arial"/>
          <w:szCs w:val="22"/>
        </w:rPr>
        <w:t>EPEX SPOT operates a variety of electricity markets designed to promote efficient trading and ensure a reliable electricity supply across Europe. The primary products offered by EPEX SPOT include the Day-Ahead Market (DAM), the Intraday Market, and the Local Flexibility Market. The DAM allows market participants to trade electricity for the following day through a daily auction, determining hourly price signals that help balance supply and demand. The Intraday Market facilitates continuous trading, providing flexibility for participants to adjust their positions closer to real-time delivery. This is essential for managing variability in renewable energy generation and unforeseen changes in demand. Additionally, EPEX SPOT has introduced Local Flexibility Markets to address localized energy needs, enabling grid balancing in specific regions, particularly as the share of decentralized renewable generation increases.</w:t>
      </w:r>
    </w:p>
    <w:p w14:paraId="779D70ED" w14:textId="77777777" w:rsidR="006B45DB" w:rsidRDefault="006B45DB" w:rsidP="006B45DB">
      <w:pPr>
        <w:pStyle w:val="paragraph"/>
        <w:spacing w:after="240"/>
        <w:textAlignment w:val="baseline"/>
        <w:rPr>
          <w:rFonts w:eastAsia="Arial"/>
          <w:szCs w:val="22"/>
        </w:rPr>
      </w:pPr>
      <w:r w:rsidRPr="006B45DB">
        <w:rPr>
          <w:rFonts w:eastAsia="Arial"/>
          <w:szCs w:val="22"/>
        </w:rPr>
        <w:t>The working model of EPEX SPOT is based on market coupling and integration. Through Market Coupling, EPEX SPOT links electricity markets in multiple countries, optimizing the use of cross-border transmission capacities and ensuring efficient price discovery. The platform is designed to be transparent, with price data being published in real-time and historical data available for market participants. EPEX SPOT also works closely with Transmission System Operators (TSOs) to ensure the smooth integration of electricity networks across regions. A key aspect of its operations is the Clearing House, which offers financial guarantees to secure transactions and mitigate risks of counterparty defaults, further ensuring market stability.</w:t>
      </w:r>
    </w:p>
    <w:p w14:paraId="66CDA450" w14:textId="5D9EFE05" w:rsidR="009549BD" w:rsidRDefault="009549BD" w:rsidP="009549BD">
      <w:pPr>
        <w:pStyle w:val="paragraph"/>
        <w:spacing w:after="240"/>
        <w:textAlignment w:val="baseline"/>
        <w:rPr>
          <w:rFonts w:eastAsia="Arial"/>
          <w:i/>
          <w:iCs/>
          <w:szCs w:val="22"/>
        </w:rPr>
      </w:pPr>
      <w:r>
        <w:rPr>
          <w:rFonts w:eastAsia="Arial"/>
          <w:i/>
          <w:iCs/>
          <w:szCs w:val="22"/>
        </w:rPr>
        <w:t>Governance Structure</w:t>
      </w:r>
    </w:p>
    <w:p w14:paraId="65D4ECB9" w14:textId="0EC7C394" w:rsidR="00EF7C67" w:rsidRPr="00EF7C67" w:rsidRDefault="00EF7C67" w:rsidP="009549BD">
      <w:pPr>
        <w:pStyle w:val="paragraph"/>
        <w:spacing w:after="240"/>
        <w:textAlignment w:val="baseline"/>
        <w:rPr>
          <w:rFonts w:eastAsia="Arial"/>
          <w:szCs w:val="22"/>
        </w:rPr>
      </w:pPr>
      <w:r w:rsidRPr="00EF7C67">
        <w:rPr>
          <w:rFonts w:eastAsia="Arial"/>
          <w:szCs w:val="22"/>
        </w:rPr>
        <w:t>EPEX SPOT operates under a two-tier governance structure, comprising the Management Board and the Supervisory Board. The company is jointly owned by EEX Group and HGRT. In addition to these boards, EPEX SPOT is supported by two other key exchange bodies: the Exchange Council and the Market Surveillance office. This governance framework ensures efficient decision-making, strategic oversight, and market integrity.</w:t>
      </w:r>
    </w:p>
    <w:p w14:paraId="2BF67C36" w14:textId="3DD1598E" w:rsidR="0017404E" w:rsidRPr="0017404E" w:rsidRDefault="0017404E" w:rsidP="0017404E">
      <w:pPr>
        <w:pStyle w:val="Caption"/>
        <w:keepNext/>
        <w:rPr>
          <w:color w:val="auto"/>
        </w:rPr>
      </w:pPr>
      <w:r w:rsidRPr="0017404E">
        <w:rPr>
          <w:color w:val="auto"/>
        </w:rPr>
        <w:t xml:space="preserve">Figure </w:t>
      </w:r>
      <w:r w:rsidRPr="0017404E">
        <w:rPr>
          <w:color w:val="auto"/>
        </w:rPr>
        <w:fldChar w:fldCharType="begin"/>
      </w:r>
      <w:r w:rsidRPr="0017404E">
        <w:rPr>
          <w:color w:val="auto"/>
        </w:rPr>
        <w:instrText xml:space="preserve"> SEQ Figure \* ARABIC </w:instrText>
      </w:r>
      <w:r w:rsidRPr="0017404E">
        <w:rPr>
          <w:color w:val="auto"/>
        </w:rPr>
        <w:fldChar w:fldCharType="separate"/>
      </w:r>
      <w:r w:rsidRPr="0017404E">
        <w:rPr>
          <w:noProof/>
          <w:color w:val="auto"/>
        </w:rPr>
        <w:t>17</w:t>
      </w:r>
      <w:r w:rsidRPr="0017404E">
        <w:rPr>
          <w:color w:val="auto"/>
        </w:rPr>
        <w:fldChar w:fldCharType="end"/>
      </w:r>
      <w:r w:rsidRPr="0017404E">
        <w:rPr>
          <w:color w:val="auto"/>
        </w:rPr>
        <w:t>: Governance Structure of EPEX Spot</w:t>
      </w:r>
    </w:p>
    <w:p w14:paraId="58626AE5" w14:textId="77777777" w:rsidR="006B45DB" w:rsidRDefault="0017404E" w:rsidP="0017404E">
      <w:pPr>
        <w:pStyle w:val="paragraph"/>
        <w:spacing w:after="240"/>
        <w:jc w:val="center"/>
        <w:textAlignment w:val="baseline"/>
        <w:rPr>
          <w:rFonts w:eastAsia="Arial"/>
          <w:szCs w:val="22"/>
        </w:rPr>
      </w:pPr>
      <w:r w:rsidRPr="0017404E">
        <w:rPr>
          <w:rFonts w:eastAsia="Arial"/>
          <w:noProof/>
        </w:rPr>
        <w:drawing>
          <wp:inline distT="0" distB="0" distL="0" distR="0" wp14:anchorId="0819E642" wp14:editId="5BE839F0">
            <wp:extent cx="5320665" cy="3161030"/>
            <wp:effectExtent l="19050" t="19050" r="13335" b="20320"/>
            <wp:docPr id="1913077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20665" cy="3161030"/>
                    </a:xfrm>
                    <a:prstGeom prst="rect">
                      <a:avLst/>
                    </a:prstGeom>
                    <a:noFill/>
                    <a:ln>
                      <a:solidFill>
                        <a:schemeClr val="bg1">
                          <a:lumMod val="65000"/>
                        </a:schemeClr>
                      </a:solidFill>
                    </a:ln>
                  </pic:spPr>
                </pic:pic>
              </a:graphicData>
            </a:graphic>
          </wp:inline>
        </w:drawing>
      </w:r>
    </w:p>
    <w:tbl>
      <w:tblPr>
        <w:tblStyle w:val="TableGrid"/>
        <w:tblW w:w="0" w:type="auto"/>
        <w:tblLook w:val="04A0" w:firstRow="1" w:lastRow="0" w:firstColumn="1" w:lastColumn="0" w:noHBand="0" w:noVBand="1"/>
      </w:tblPr>
      <w:tblGrid>
        <w:gridCol w:w="9350"/>
      </w:tblGrid>
      <w:tr w:rsidR="00700A77" w14:paraId="4C1A5E70" w14:textId="77777777" w:rsidTr="00B221CF">
        <w:tc>
          <w:tcPr>
            <w:tcW w:w="9350" w:type="dxa"/>
            <w:shd w:val="clear" w:color="auto" w:fill="E2F3FA" w:themeFill="accent5" w:themeFillTint="33"/>
          </w:tcPr>
          <w:p w14:paraId="16E4BDFC" w14:textId="77777777" w:rsidR="00700A77" w:rsidRDefault="00700A77" w:rsidP="00C376DE">
            <w:pPr>
              <w:pStyle w:val="paragraph"/>
              <w:spacing w:after="240"/>
              <w:jc w:val="left"/>
              <w:textAlignment w:val="baseline"/>
              <w:rPr>
                <w:rFonts w:eastAsia="Arial"/>
                <w:szCs w:val="22"/>
              </w:rPr>
            </w:pPr>
            <w:r>
              <w:rPr>
                <w:rFonts w:eastAsia="Arial"/>
                <w:szCs w:val="22"/>
              </w:rPr>
              <w:t>Key Learnings:</w:t>
            </w:r>
          </w:p>
          <w:p w14:paraId="2BDCC492" w14:textId="77777777" w:rsidR="00B221CF" w:rsidRPr="00B221CF" w:rsidRDefault="00B221CF" w:rsidP="008E21FA">
            <w:pPr>
              <w:pStyle w:val="paragraph"/>
              <w:numPr>
                <w:ilvl w:val="0"/>
                <w:numId w:val="31"/>
              </w:numPr>
              <w:spacing w:after="240"/>
              <w:ind w:left="521"/>
              <w:jc w:val="left"/>
              <w:textAlignment w:val="baseline"/>
              <w:rPr>
                <w:rFonts w:eastAsia="Arial"/>
                <w:szCs w:val="22"/>
              </w:rPr>
            </w:pPr>
            <w:r w:rsidRPr="00B221CF">
              <w:rPr>
                <w:rFonts w:eastAsia="Arial"/>
                <w:szCs w:val="22"/>
              </w:rPr>
              <w:t>Market Integration and Coupling: EPEX SPOT’s cross-border market coupling optimizes resource utilization and price discovery by connecting neighboring markets. Regional exchanges can adopt similar coupling strategies to enhance market efficiency.</w:t>
            </w:r>
          </w:p>
          <w:p w14:paraId="4F6DD0AE" w14:textId="77777777" w:rsidR="00B221CF" w:rsidRPr="00B221CF" w:rsidRDefault="00B221CF" w:rsidP="008E21FA">
            <w:pPr>
              <w:pStyle w:val="paragraph"/>
              <w:numPr>
                <w:ilvl w:val="0"/>
                <w:numId w:val="31"/>
              </w:numPr>
              <w:spacing w:after="240"/>
              <w:ind w:left="521"/>
              <w:jc w:val="left"/>
              <w:textAlignment w:val="baseline"/>
              <w:rPr>
                <w:rFonts w:eastAsia="Arial"/>
                <w:szCs w:val="22"/>
              </w:rPr>
            </w:pPr>
            <w:r w:rsidRPr="00B221CF">
              <w:rPr>
                <w:rFonts w:eastAsia="Arial"/>
                <w:szCs w:val="22"/>
              </w:rPr>
              <w:t>Flexible Market Offerings: Offering Day-Ahead, Intraday, and flexibility markets enables better grid balancing and allows market participants to adjust positions in real time, especially in the context of increasing renewable energy integration.</w:t>
            </w:r>
          </w:p>
          <w:p w14:paraId="42EB9387" w14:textId="77777777" w:rsidR="00B221CF" w:rsidRPr="00B221CF" w:rsidRDefault="00B221CF" w:rsidP="008E21FA">
            <w:pPr>
              <w:pStyle w:val="paragraph"/>
              <w:numPr>
                <w:ilvl w:val="0"/>
                <w:numId w:val="31"/>
              </w:numPr>
              <w:spacing w:after="240"/>
              <w:ind w:left="521"/>
              <w:jc w:val="left"/>
              <w:textAlignment w:val="baseline"/>
              <w:rPr>
                <w:rFonts w:eastAsia="Arial"/>
                <w:szCs w:val="22"/>
              </w:rPr>
            </w:pPr>
            <w:r w:rsidRPr="00B221CF">
              <w:rPr>
                <w:rFonts w:eastAsia="Arial"/>
                <w:szCs w:val="22"/>
              </w:rPr>
              <w:t>Cross-Border Collaboration and Governance: EPEX SPOT's effective governance model and close collaboration with Transmission System Operators (TSOs) ensures smooth market operations and regional integration.</w:t>
            </w:r>
          </w:p>
          <w:p w14:paraId="62878698" w14:textId="77777777" w:rsidR="00B221CF" w:rsidRPr="00B221CF" w:rsidRDefault="00B221CF" w:rsidP="008E21FA">
            <w:pPr>
              <w:pStyle w:val="paragraph"/>
              <w:numPr>
                <w:ilvl w:val="0"/>
                <w:numId w:val="31"/>
              </w:numPr>
              <w:spacing w:after="240"/>
              <w:ind w:left="521"/>
              <w:jc w:val="left"/>
              <w:textAlignment w:val="baseline"/>
              <w:rPr>
                <w:rFonts w:eastAsia="Arial"/>
                <w:szCs w:val="22"/>
              </w:rPr>
            </w:pPr>
            <w:r w:rsidRPr="00B221CF">
              <w:rPr>
                <w:rFonts w:eastAsia="Arial"/>
                <w:szCs w:val="22"/>
              </w:rPr>
              <w:t>Transparency and Education: Providing real-time market data and educational resources helps build trust and ensures informed decision-making among market participants.</w:t>
            </w:r>
          </w:p>
          <w:p w14:paraId="1FCE658C" w14:textId="04436C49" w:rsidR="00700A77" w:rsidRDefault="00B221CF" w:rsidP="008E21FA">
            <w:pPr>
              <w:pStyle w:val="paragraph"/>
              <w:numPr>
                <w:ilvl w:val="0"/>
                <w:numId w:val="31"/>
              </w:numPr>
              <w:spacing w:after="240"/>
              <w:ind w:left="521"/>
              <w:jc w:val="left"/>
              <w:textAlignment w:val="baseline"/>
              <w:rPr>
                <w:rFonts w:eastAsia="Arial"/>
                <w:szCs w:val="22"/>
              </w:rPr>
            </w:pPr>
            <w:r w:rsidRPr="00B221CF">
              <w:rPr>
                <w:rFonts w:eastAsia="Arial"/>
                <w:szCs w:val="22"/>
              </w:rPr>
              <w:t>Adapting to Decentralized Systems: EPEX SPOT’s introduction of flexibility markets supports local grid balancing, which is increasingly vital due to the growth of decentralized and renewable energy sources.</w:t>
            </w:r>
          </w:p>
        </w:tc>
      </w:tr>
    </w:tbl>
    <w:p w14:paraId="304448C1" w14:textId="77777777" w:rsidR="0059582C" w:rsidRDefault="0059582C" w:rsidP="0059582C">
      <w:pPr>
        <w:pStyle w:val="paragraph"/>
        <w:spacing w:beforeAutospacing="0" w:after="240" w:afterAutospacing="0"/>
        <w:textAlignment w:val="baseline"/>
        <w:rPr>
          <w:rStyle w:val="normaltextrun"/>
          <w:rFonts w:eastAsia="Arial"/>
          <w:b/>
          <w:bCs/>
          <w:szCs w:val="22"/>
        </w:rPr>
      </w:pPr>
    </w:p>
    <w:p w14:paraId="351D7636" w14:textId="6AE246F5" w:rsidR="0059582C" w:rsidRDefault="001D60D9" w:rsidP="0059582C">
      <w:pPr>
        <w:pStyle w:val="paragraph"/>
        <w:spacing w:beforeAutospacing="0" w:after="240" w:afterAutospacing="0"/>
        <w:textAlignment w:val="baseline"/>
        <w:rPr>
          <w:rStyle w:val="normaltextrun"/>
          <w:rFonts w:eastAsia="Arial"/>
          <w:b/>
          <w:bCs/>
          <w:szCs w:val="22"/>
        </w:rPr>
      </w:pPr>
      <w:r w:rsidRPr="001D60D9">
        <w:rPr>
          <w:rStyle w:val="normaltextrun"/>
          <w:rFonts w:eastAsia="Arial"/>
          <w:b/>
          <w:bCs/>
          <w:szCs w:val="22"/>
        </w:rPr>
        <w:t>South African Power Pool</w:t>
      </w:r>
    </w:p>
    <w:p w14:paraId="0FC1050A" w14:textId="7BCFEEA0" w:rsidR="00C376DE" w:rsidRDefault="002B6F0D" w:rsidP="002B6F0D">
      <w:pPr>
        <w:pStyle w:val="paragraph"/>
        <w:spacing w:after="240"/>
        <w:textAlignment w:val="baseline"/>
        <w:rPr>
          <w:rStyle w:val="normaltextrun"/>
          <w:rFonts w:eastAsia="Arial"/>
          <w:szCs w:val="22"/>
        </w:rPr>
      </w:pPr>
      <w:r w:rsidRPr="002B6F0D">
        <w:rPr>
          <w:rStyle w:val="normaltextrun"/>
          <w:rFonts w:eastAsia="Arial"/>
          <w:szCs w:val="22"/>
        </w:rPr>
        <w:t>The Southern African Power Pool (SAPP) was established in August 1995 during a summit of the Southern African Development Community (SADC) held in Kempton Park, South Africa. At this summit, SADC member governments (excluding Mauritius) signed an Inter-Governmental Memorandum of Understanding (MoU) to form an electricity power pool in the region. The Revised Inter-Governmental MoU was signed on 23 February 2006 to update the framework for cooperation. The SAPP aims to enhance regional energy security, promote economic development, and facilitate the efficient exchange of electricity across Southern Africa.</w:t>
      </w:r>
      <w:r w:rsidR="0053735A">
        <w:rPr>
          <w:rStyle w:val="normaltextrun"/>
          <w:rFonts w:eastAsia="Arial"/>
          <w:szCs w:val="22"/>
        </w:rPr>
        <w:t xml:space="preserve"> Evolution of SAPP is provided as follows:</w:t>
      </w:r>
    </w:p>
    <w:p w14:paraId="10C7A251" w14:textId="288C22D6" w:rsidR="0053735A" w:rsidRPr="0053735A" w:rsidRDefault="0053735A" w:rsidP="0053735A">
      <w:pPr>
        <w:pStyle w:val="Caption"/>
        <w:keepNext/>
        <w:rPr>
          <w:color w:val="auto"/>
        </w:rPr>
      </w:pPr>
      <w:r w:rsidRPr="0053735A">
        <w:rPr>
          <w:color w:val="auto"/>
        </w:rPr>
        <w:t xml:space="preserve">Table </w:t>
      </w:r>
      <w:r w:rsidRPr="0053735A">
        <w:rPr>
          <w:color w:val="auto"/>
        </w:rPr>
        <w:fldChar w:fldCharType="begin"/>
      </w:r>
      <w:r w:rsidRPr="0053735A">
        <w:rPr>
          <w:color w:val="auto"/>
        </w:rPr>
        <w:instrText xml:space="preserve"> SEQ Table \* ARABIC </w:instrText>
      </w:r>
      <w:r w:rsidRPr="0053735A">
        <w:rPr>
          <w:color w:val="auto"/>
        </w:rPr>
        <w:fldChar w:fldCharType="separate"/>
      </w:r>
      <w:r w:rsidRPr="0053735A">
        <w:rPr>
          <w:noProof/>
          <w:color w:val="auto"/>
        </w:rPr>
        <w:t>4</w:t>
      </w:r>
      <w:r w:rsidRPr="0053735A">
        <w:rPr>
          <w:color w:val="auto"/>
        </w:rPr>
        <w:fldChar w:fldCharType="end"/>
      </w:r>
      <w:r w:rsidRPr="0053735A">
        <w:rPr>
          <w:color w:val="auto"/>
        </w:rPr>
        <w:t>: Evolution of SAPP</w:t>
      </w:r>
    </w:p>
    <w:tbl>
      <w:tblPr>
        <w:tblW w:w="9740" w:type="dxa"/>
        <w:tblLook w:val="04A0" w:firstRow="1" w:lastRow="0" w:firstColumn="1" w:lastColumn="0" w:noHBand="0" w:noVBand="1"/>
      </w:tblPr>
      <w:tblGrid>
        <w:gridCol w:w="1109"/>
        <w:gridCol w:w="8631"/>
      </w:tblGrid>
      <w:tr w:rsidR="0053735A" w:rsidRPr="0053735A" w14:paraId="074D8F93" w14:textId="77777777" w:rsidTr="0053735A">
        <w:trPr>
          <w:trHeight w:val="290"/>
        </w:trPr>
        <w:tc>
          <w:tcPr>
            <w:tcW w:w="1109"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A50CABA" w14:textId="77777777" w:rsidR="0053735A" w:rsidRPr="0053735A" w:rsidRDefault="0053735A" w:rsidP="0053735A">
            <w:pPr>
              <w:spacing w:after="0"/>
              <w:jc w:val="center"/>
              <w:rPr>
                <w:rFonts w:cs="Arial"/>
                <w:b/>
                <w:bCs/>
                <w:color w:val="FFFFFF"/>
                <w:szCs w:val="22"/>
              </w:rPr>
            </w:pPr>
            <w:r w:rsidRPr="0053735A">
              <w:rPr>
                <w:rFonts w:cs="Arial"/>
                <w:b/>
                <w:bCs/>
                <w:color w:val="FFFFFF"/>
                <w:szCs w:val="22"/>
              </w:rPr>
              <w:t>Timeline</w:t>
            </w:r>
          </w:p>
        </w:tc>
        <w:tc>
          <w:tcPr>
            <w:tcW w:w="8631" w:type="dxa"/>
            <w:tcBorders>
              <w:top w:val="single" w:sz="4" w:space="0" w:color="auto"/>
              <w:left w:val="nil"/>
              <w:bottom w:val="single" w:sz="4" w:space="0" w:color="auto"/>
              <w:right w:val="single" w:sz="4" w:space="0" w:color="auto"/>
            </w:tcBorders>
            <w:shd w:val="clear" w:color="000000" w:fill="002060"/>
            <w:vAlign w:val="bottom"/>
            <w:hideMark/>
          </w:tcPr>
          <w:p w14:paraId="287E108C" w14:textId="77777777" w:rsidR="0053735A" w:rsidRPr="0053735A" w:rsidRDefault="0053735A" w:rsidP="0053735A">
            <w:pPr>
              <w:spacing w:after="0"/>
              <w:jc w:val="center"/>
              <w:rPr>
                <w:rFonts w:cs="Arial"/>
                <w:b/>
                <w:bCs/>
                <w:color w:val="FFFFFF"/>
                <w:szCs w:val="22"/>
              </w:rPr>
            </w:pPr>
            <w:r w:rsidRPr="0053735A">
              <w:rPr>
                <w:rFonts w:cs="Arial"/>
                <w:b/>
                <w:bCs/>
                <w:color w:val="FFFFFF"/>
                <w:szCs w:val="22"/>
              </w:rPr>
              <w:t>Developments</w:t>
            </w:r>
          </w:p>
        </w:tc>
      </w:tr>
      <w:tr w:rsidR="0053735A" w:rsidRPr="0053735A" w14:paraId="24D5F1EB"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45899D2B" w14:textId="77777777" w:rsidR="0053735A" w:rsidRPr="0053735A" w:rsidRDefault="0053735A" w:rsidP="0053735A">
            <w:pPr>
              <w:spacing w:after="0"/>
              <w:jc w:val="center"/>
              <w:rPr>
                <w:rFonts w:cs="Arial"/>
                <w:color w:val="000000"/>
                <w:szCs w:val="22"/>
              </w:rPr>
            </w:pPr>
            <w:r w:rsidRPr="0053735A">
              <w:rPr>
                <w:rFonts w:cs="Arial"/>
                <w:color w:val="000000"/>
                <w:szCs w:val="22"/>
              </w:rPr>
              <w:t>1994</w:t>
            </w:r>
          </w:p>
        </w:tc>
        <w:tc>
          <w:tcPr>
            <w:tcW w:w="8631" w:type="dxa"/>
            <w:tcBorders>
              <w:top w:val="nil"/>
              <w:left w:val="nil"/>
              <w:bottom w:val="single" w:sz="4" w:space="0" w:color="auto"/>
              <w:right w:val="single" w:sz="4" w:space="0" w:color="auto"/>
            </w:tcBorders>
            <w:shd w:val="clear" w:color="auto" w:fill="auto"/>
            <w:vAlign w:val="bottom"/>
            <w:hideMark/>
          </w:tcPr>
          <w:p w14:paraId="4B5F5F40" w14:textId="77777777" w:rsidR="0053735A" w:rsidRPr="0053735A" w:rsidRDefault="0053735A" w:rsidP="0053735A">
            <w:pPr>
              <w:spacing w:after="0"/>
              <w:jc w:val="left"/>
              <w:rPr>
                <w:rFonts w:cs="Arial"/>
                <w:color w:val="000000"/>
                <w:szCs w:val="22"/>
              </w:rPr>
            </w:pPr>
            <w:r w:rsidRPr="0053735A">
              <w:rPr>
                <w:rFonts w:cs="Arial"/>
                <w:color w:val="000000"/>
                <w:szCs w:val="22"/>
              </w:rPr>
              <w:t xml:space="preserve">Inter-Governmental MoU signed in 1994 established SAPP </w:t>
            </w:r>
          </w:p>
        </w:tc>
      </w:tr>
      <w:tr w:rsidR="0053735A" w:rsidRPr="0053735A" w14:paraId="185CE22C"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3EAE8BC7" w14:textId="77777777" w:rsidR="0053735A" w:rsidRPr="0053735A" w:rsidRDefault="0053735A" w:rsidP="0053735A">
            <w:pPr>
              <w:spacing w:after="0"/>
              <w:jc w:val="center"/>
              <w:rPr>
                <w:rFonts w:cs="Arial"/>
                <w:color w:val="000000"/>
                <w:szCs w:val="22"/>
              </w:rPr>
            </w:pPr>
            <w:r w:rsidRPr="0053735A">
              <w:rPr>
                <w:rFonts w:cs="Arial"/>
                <w:color w:val="000000"/>
                <w:szCs w:val="22"/>
              </w:rPr>
              <w:t>1995</w:t>
            </w:r>
          </w:p>
        </w:tc>
        <w:tc>
          <w:tcPr>
            <w:tcW w:w="8631" w:type="dxa"/>
            <w:tcBorders>
              <w:top w:val="nil"/>
              <w:left w:val="nil"/>
              <w:bottom w:val="single" w:sz="4" w:space="0" w:color="auto"/>
              <w:right w:val="single" w:sz="4" w:space="0" w:color="auto"/>
            </w:tcBorders>
            <w:shd w:val="clear" w:color="auto" w:fill="auto"/>
            <w:vAlign w:val="bottom"/>
            <w:hideMark/>
          </w:tcPr>
          <w:p w14:paraId="49352F1A" w14:textId="77777777" w:rsidR="0053735A" w:rsidRPr="0053735A" w:rsidRDefault="0053735A" w:rsidP="0053735A">
            <w:pPr>
              <w:spacing w:after="0"/>
              <w:jc w:val="left"/>
              <w:rPr>
                <w:rFonts w:cs="Arial"/>
                <w:color w:val="000000"/>
                <w:szCs w:val="22"/>
              </w:rPr>
            </w:pPr>
            <w:r w:rsidRPr="0053735A">
              <w:rPr>
                <w:rFonts w:cs="Arial"/>
                <w:color w:val="000000"/>
                <w:szCs w:val="22"/>
              </w:rPr>
              <w:t xml:space="preserve">2 (Two) network links set-up via Botswana </w:t>
            </w:r>
          </w:p>
        </w:tc>
      </w:tr>
      <w:tr w:rsidR="0053735A" w:rsidRPr="0053735A" w14:paraId="4DA3CA03"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3E5D70C6" w14:textId="77777777" w:rsidR="0053735A" w:rsidRPr="0053735A" w:rsidRDefault="0053735A" w:rsidP="0053735A">
            <w:pPr>
              <w:spacing w:after="0"/>
              <w:jc w:val="center"/>
              <w:rPr>
                <w:rFonts w:cs="Arial"/>
                <w:color w:val="000000"/>
                <w:szCs w:val="22"/>
              </w:rPr>
            </w:pPr>
            <w:r w:rsidRPr="0053735A">
              <w:rPr>
                <w:rFonts w:cs="Arial"/>
                <w:color w:val="000000"/>
                <w:szCs w:val="22"/>
              </w:rPr>
              <w:t>2001</w:t>
            </w:r>
          </w:p>
        </w:tc>
        <w:tc>
          <w:tcPr>
            <w:tcW w:w="8631" w:type="dxa"/>
            <w:tcBorders>
              <w:top w:val="nil"/>
              <w:left w:val="nil"/>
              <w:bottom w:val="single" w:sz="4" w:space="0" w:color="auto"/>
              <w:right w:val="single" w:sz="4" w:space="0" w:color="auto"/>
            </w:tcBorders>
            <w:shd w:val="clear" w:color="auto" w:fill="auto"/>
            <w:vAlign w:val="bottom"/>
            <w:hideMark/>
          </w:tcPr>
          <w:p w14:paraId="21BC3E03" w14:textId="77777777" w:rsidR="0053735A" w:rsidRPr="0053735A" w:rsidRDefault="0053735A" w:rsidP="0053735A">
            <w:pPr>
              <w:spacing w:after="0"/>
              <w:jc w:val="left"/>
              <w:rPr>
                <w:rFonts w:cs="Arial"/>
                <w:color w:val="000000"/>
                <w:szCs w:val="22"/>
              </w:rPr>
            </w:pPr>
            <w:r w:rsidRPr="0053735A">
              <w:rPr>
                <w:rFonts w:cs="Arial"/>
                <w:color w:val="000000"/>
                <w:szCs w:val="22"/>
              </w:rPr>
              <w:t xml:space="preserve">SAPP started short term market in 2001 </w:t>
            </w:r>
          </w:p>
        </w:tc>
      </w:tr>
      <w:tr w:rsidR="0053735A" w:rsidRPr="0053735A" w14:paraId="50DB021E"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1F89B586" w14:textId="77777777" w:rsidR="0053735A" w:rsidRPr="0053735A" w:rsidRDefault="0053735A" w:rsidP="0053735A">
            <w:pPr>
              <w:spacing w:after="0"/>
              <w:jc w:val="center"/>
              <w:rPr>
                <w:rFonts w:cs="Arial"/>
                <w:color w:val="000000"/>
                <w:szCs w:val="22"/>
              </w:rPr>
            </w:pPr>
            <w:r w:rsidRPr="0053735A">
              <w:rPr>
                <w:rFonts w:cs="Arial"/>
                <w:color w:val="000000"/>
                <w:szCs w:val="22"/>
              </w:rPr>
              <w:t>2009</w:t>
            </w:r>
          </w:p>
        </w:tc>
        <w:tc>
          <w:tcPr>
            <w:tcW w:w="8631" w:type="dxa"/>
            <w:tcBorders>
              <w:top w:val="nil"/>
              <w:left w:val="nil"/>
              <w:bottom w:val="single" w:sz="4" w:space="0" w:color="auto"/>
              <w:right w:val="single" w:sz="4" w:space="0" w:color="auto"/>
            </w:tcBorders>
            <w:shd w:val="clear" w:color="auto" w:fill="auto"/>
            <w:vAlign w:val="bottom"/>
            <w:hideMark/>
          </w:tcPr>
          <w:p w14:paraId="0105A6C2" w14:textId="77777777" w:rsidR="0053735A" w:rsidRPr="0053735A" w:rsidRDefault="0053735A" w:rsidP="0053735A">
            <w:pPr>
              <w:spacing w:after="0"/>
              <w:jc w:val="left"/>
              <w:rPr>
                <w:rFonts w:cs="Arial"/>
                <w:color w:val="000000"/>
                <w:szCs w:val="22"/>
              </w:rPr>
            </w:pPr>
            <w:r w:rsidRPr="0053735A">
              <w:rPr>
                <w:rFonts w:cs="Arial"/>
                <w:color w:val="000000"/>
                <w:szCs w:val="22"/>
              </w:rPr>
              <w:t xml:space="preserve">Launched competitive electricity market - DAM </w:t>
            </w:r>
          </w:p>
        </w:tc>
      </w:tr>
      <w:tr w:rsidR="0053735A" w:rsidRPr="0053735A" w14:paraId="64EC7B52" w14:textId="77777777" w:rsidTr="0053735A">
        <w:trPr>
          <w:trHeight w:val="290"/>
        </w:trPr>
        <w:tc>
          <w:tcPr>
            <w:tcW w:w="1109" w:type="dxa"/>
            <w:tcBorders>
              <w:top w:val="nil"/>
              <w:left w:val="single" w:sz="4" w:space="0" w:color="auto"/>
              <w:bottom w:val="single" w:sz="4" w:space="0" w:color="auto"/>
              <w:right w:val="single" w:sz="4" w:space="0" w:color="auto"/>
            </w:tcBorders>
            <w:shd w:val="clear" w:color="auto" w:fill="auto"/>
            <w:noWrap/>
            <w:vAlign w:val="center"/>
            <w:hideMark/>
          </w:tcPr>
          <w:p w14:paraId="7CED2817" w14:textId="77777777" w:rsidR="0053735A" w:rsidRPr="0053735A" w:rsidRDefault="0053735A" w:rsidP="0053735A">
            <w:pPr>
              <w:spacing w:after="0"/>
              <w:jc w:val="center"/>
              <w:rPr>
                <w:rFonts w:cs="Arial"/>
                <w:color w:val="000000"/>
                <w:szCs w:val="22"/>
              </w:rPr>
            </w:pPr>
            <w:r w:rsidRPr="0053735A">
              <w:rPr>
                <w:rFonts w:cs="Arial"/>
                <w:color w:val="000000"/>
                <w:szCs w:val="22"/>
              </w:rPr>
              <w:t>2010</w:t>
            </w:r>
          </w:p>
        </w:tc>
        <w:tc>
          <w:tcPr>
            <w:tcW w:w="8631" w:type="dxa"/>
            <w:tcBorders>
              <w:top w:val="nil"/>
              <w:left w:val="nil"/>
              <w:bottom w:val="single" w:sz="4" w:space="0" w:color="auto"/>
              <w:right w:val="single" w:sz="4" w:space="0" w:color="auto"/>
            </w:tcBorders>
            <w:shd w:val="clear" w:color="auto" w:fill="auto"/>
            <w:vAlign w:val="bottom"/>
            <w:hideMark/>
          </w:tcPr>
          <w:p w14:paraId="3127F4F0" w14:textId="77777777" w:rsidR="0053735A" w:rsidRPr="0053735A" w:rsidRDefault="0053735A" w:rsidP="0053735A">
            <w:pPr>
              <w:spacing w:after="0"/>
              <w:jc w:val="left"/>
              <w:rPr>
                <w:rFonts w:cs="Arial"/>
                <w:color w:val="000000"/>
                <w:szCs w:val="22"/>
              </w:rPr>
            </w:pPr>
            <w:r w:rsidRPr="0053735A">
              <w:rPr>
                <w:rFonts w:cs="Arial"/>
                <w:color w:val="000000"/>
                <w:szCs w:val="22"/>
              </w:rPr>
              <w:t xml:space="preserve">Operating guidelines finalized; SAPP fully operational </w:t>
            </w:r>
          </w:p>
        </w:tc>
      </w:tr>
    </w:tbl>
    <w:p w14:paraId="3E4BC778" w14:textId="5A66A684" w:rsidR="0053735A" w:rsidRPr="0061755F" w:rsidRDefault="0080179C" w:rsidP="002B6F0D">
      <w:pPr>
        <w:pStyle w:val="paragraph"/>
        <w:spacing w:after="240"/>
        <w:textAlignment w:val="baseline"/>
        <w:rPr>
          <w:rStyle w:val="normaltextrun"/>
          <w:rFonts w:eastAsia="Arial"/>
          <w:i/>
          <w:iCs/>
          <w:szCs w:val="22"/>
        </w:rPr>
      </w:pPr>
      <w:r>
        <w:rPr>
          <w:rStyle w:val="normaltextrun"/>
          <w:rFonts w:eastAsia="Arial"/>
          <w:i/>
          <w:iCs/>
          <w:szCs w:val="22"/>
        </w:rPr>
        <w:t>Membership &amp; Structure</w:t>
      </w:r>
    </w:p>
    <w:p w14:paraId="6462A75A" w14:textId="77777777" w:rsidR="00D81428" w:rsidRPr="00D81428" w:rsidRDefault="00D81428" w:rsidP="00D81428">
      <w:pPr>
        <w:pStyle w:val="paragraph"/>
        <w:spacing w:after="240"/>
        <w:jc w:val="left"/>
        <w:textAlignment w:val="baseline"/>
        <w:rPr>
          <w:rFonts w:eastAsia="Arial"/>
          <w:szCs w:val="22"/>
        </w:rPr>
      </w:pPr>
      <w:r w:rsidRPr="00D81428">
        <w:rPr>
          <w:rFonts w:eastAsia="Arial"/>
          <w:szCs w:val="22"/>
        </w:rPr>
        <w:t>The SAPP has twelve member countries, represented by their respective electric power utilities, which are organized through SADC. The participating countries include Angola, Botswana, DRC, Lesotho, Malawi, Mozambique, Namibia, South Africa, Swaziland, Tanzania, Zambia, and Zimbabwe.</w:t>
      </w:r>
    </w:p>
    <w:p w14:paraId="1D02CD43" w14:textId="77777777" w:rsidR="00D81428" w:rsidRPr="00D81428" w:rsidRDefault="00D81428" w:rsidP="00D81428">
      <w:pPr>
        <w:pStyle w:val="paragraph"/>
        <w:spacing w:after="240"/>
        <w:jc w:val="left"/>
        <w:textAlignment w:val="baseline"/>
        <w:rPr>
          <w:rFonts w:eastAsia="Arial"/>
          <w:szCs w:val="22"/>
        </w:rPr>
      </w:pPr>
      <w:r w:rsidRPr="00D81428">
        <w:rPr>
          <w:rFonts w:eastAsia="Arial"/>
          <w:szCs w:val="22"/>
        </w:rPr>
        <w:t>The governance structure consists of several working committees:</w:t>
      </w:r>
    </w:p>
    <w:p w14:paraId="201C89AD" w14:textId="77777777" w:rsidR="00D81428" w:rsidRPr="00D81428" w:rsidRDefault="00D81428" w:rsidP="008E21FA">
      <w:pPr>
        <w:pStyle w:val="paragraph"/>
        <w:numPr>
          <w:ilvl w:val="0"/>
          <w:numId w:val="32"/>
        </w:numPr>
        <w:spacing w:after="240"/>
        <w:jc w:val="left"/>
        <w:textAlignment w:val="baseline"/>
        <w:rPr>
          <w:rFonts w:eastAsia="Arial"/>
          <w:szCs w:val="22"/>
        </w:rPr>
      </w:pPr>
      <w:r w:rsidRPr="00D81428">
        <w:rPr>
          <w:rFonts w:eastAsia="Arial"/>
          <w:szCs w:val="22"/>
        </w:rPr>
        <w:t>Environmental Sub-Committee</w:t>
      </w:r>
    </w:p>
    <w:p w14:paraId="01DA69C0" w14:textId="77777777" w:rsidR="00D81428" w:rsidRPr="00D81428" w:rsidRDefault="00D81428" w:rsidP="008E21FA">
      <w:pPr>
        <w:pStyle w:val="paragraph"/>
        <w:numPr>
          <w:ilvl w:val="0"/>
          <w:numId w:val="32"/>
        </w:numPr>
        <w:spacing w:after="240"/>
        <w:jc w:val="left"/>
        <w:textAlignment w:val="baseline"/>
        <w:rPr>
          <w:rFonts w:eastAsia="Arial"/>
          <w:szCs w:val="22"/>
        </w:rPr>
      </w:pPr>
      <w:r w:rsidRPr="00D81428">
        <w:rPr>
          <w:rFonts w:eastAsia="Arial"/>
          <w:szCs w:val="22"/>
        </w:rPr>
        <w:t>Markets Sub-Committee (established in April 2007)</w:t>
      </w:r>
    </w:p>
    <w:p w14:paraId="33178B32" w14:textId="77777777" w:rsidR="00D81428" w:rsidRPr="00D81428" w:rsidRDefault="00D81428" w:rsidP="008E21FA">
      <w:pPr>
        <w:pStyle w:val="paragraph"/>
        <w:numPr>
          <w:ilvl w:val="0"/>
          <w:numId w:val="32"/>
        </w:numPr>
        <w:spacing w:after="240"/>
        <w:jc w:val="left"/>
        <w:textAlignment w:val="baseline"/>
        <w:rPr>
          <w:rFonts w:eastAsia="Arial"/>
          <w:szCs w:val="22"/>
        </w:rPr>
      </w:pPr>
      <w:r w:rsidRPr="00D81428">
        <w:rPr>
          <w:rFonts w:eastAsia="Arial"/>
          <w:szCs w:val="22"/>
        </w:rPr>
        <w:t>Operating Sub-Committee</w:t>
      </w:r>
    </w:p>
    <w:p w14:paraId="2943C998" w14:textId="77777777" w:rsidR="00D81428" w:rsidRPr="00D81428" w:rsidRDefault="00D81428" w:rsidP="008E21FA">
      <w:pPr>
        <w:pStyle w:val="paragraph"/>
        <w:numPr>
          <w:ilvl w:val="0"/>
          <w:numId w:val="32"/>
        </w:numPr>
        <w:spacing w:after="240"/>
        <w:jc w:val="left"/>
        <w:textAlignment w:val="baseline"/>
        <w:rPr>
          <w:rFonts w:eastAsia="Arial"/>
          <w:szCs w:val="22"/>
        </w:rPr>
      </w:pPr>
      <w:r w:rsidRPr="00D81428">
        <w:rPr>
          <w:rFonts w:eastAsia="Arial"/>
          <w:szCs w:val="22"/>
        </w:rPr>
        <w:t>Planning Sub-Committee</w:t>
      </w:r>
    </w:p>
    <w:p w14:paraId="0645A4FE" w14:textId="414A9473" w:rsidR="00056204" w:rsidRDefault="00D81428" w:rsidP="00196B18">
      <w:pPr>
        <w:pStyle w:val="paragraph"/>
        <w:spacing w:after="240"/>
        <w:textAlignment w:val="baseline"/>
        <w:rPr>
          <w:rFonts w:eastAsia="Arial"/>
          <w:szCs w:val="22"/>
        </w:rPr>
      </w:pPr>
      <w:r w:rsidRPr="00D81428">
        <w:rPr>
          <w:rFonts w:eastAsia="Arial"/>
          <w:szCs w:val="22"/>
        </w:rPr>
        <w:t>These committees report to the Management Committee, which in turn reports to the Executive Committee. Additionally, the Coordination Centre Board, created in April 2007, oversees the activities of the SAPP Coordination Centre, ensuring smooth operational management.</w:t>
      </w:r>
      <w:r w:rsidR="00BA2E16">
        <w:rPr>
          <w:rFonts w:eastAsia="Arial"/>
          <w:szCs w:val="22"/>
        </w:rPr>
        <w:t xml:space="preserve"> </w:t>
      </w:r>
      <w:r w:rsidR="00196B18">
        <w:rPr>
          <w:rFonts w:eastAsia="Arial"/>
          <w:szCs w:val="22"/>
        </w:rPr>
        <w:t>T</w:t>
      </w:r>
      <w:r w:rsidR="00196B18" w:rsidRPr="00BA2E16">
        <w:rPr>
          <w:rFonts w:eastAsia="Arial"/>
          <w:szCs w:val="22"/>
        </w:rPr>
        <w:t>he membership includes 16 utilities, independent transmission companies, and IPPs from Angola, Botswana, Democratic Republic of Congo, Lesotho, Malawi, Mozambique, Namibia, South Africa, Swaziland, Tanzania, Zambia, and Zimbabwe. Each member contributes an annual fee as outlined in the Inter-Governmental MoU.</w:t>
      </w:r>
      <w:r w:rsidR="00196B18">
        <w:rPr>
          <w:rFonts w:eastAsia="Arial"/>
          <w:szCs w:val="22"/>
        </w:rPr>
        <w:t xml:space="preserve"> </w:t>
      </w:r>
      <w:r w:rsidR="00056204" w:rsidRPr="00056204">
        <w:rPr>
          <w:rFonts w:eastAsia="Arial"/>
          <w:szCs w:val="22"/>
        </w:rPr>
        <w:t xml:space="preserve">SAPP coordinates the planning and operation of the electric power system among member utilities, providing a platform for regional solutions to electricity challenges. </w:t>
      </w:r>
    </w:p>
    <w:p w14:paraId="1602E3CA" w14:textId="4E11F3BA" w:rsidR="00A4083D" w:rsidRDefault="00A4083D" w:rsidP="00196B18">
      <w:pPr>
        <w:pStyle w:val="paragraph"/>
        <w:spacing w:after="240"/>
        <w:textAlignment w:val="baseline"/>
        <w:rPr>
          <w:rFonts w:eastAsia="Arial"/>
          <w:szCs w:val="22"/>
        </w:rPr>
      </w:pPr>
      <w:r w:rsidRPr="00A4083D">
        <w:rPr>
          <w:rFonts w:eastAsia="Arial"/>
          <w:szCs w:val="22"/>
        </w:rPr>
        <w:t xml:space="preserve">Despite its success, SAPP faces challenges such as infrastructure development, managing pricing disparities, and expanding renewable energy integration. Continued investment in transmission infrastructure, energy storage solutions, and digital technologies </w:t>
      </w:r>
      <w:r w:rsidR="003843CA">
        <w:rPr>
          <w:rFonts w:eastAsia="Arial"/>
          <w:szCs w:val="22"/>
        </w:rPr>
        <w:t>may be leveraged to address the issues.</w:t>
      </w:r>
    </w:p>
    <w:tbl>
      <w:tblPr>
        <w:tblStyle w:val="TableGrid"/>
        <w:tblW w:w="0" w:type="auto"/>
        <w:tblLook w:val="04A0" w:firstRow="1" w:lastRow="0" w:firstColumn="1" w:lastColumn="0" w:noHBand="0" w:noVBand="1"/>
      </w:tblPr>
      <w:tblGrid>
        <w:gridCol w:w="9350"/>
      </w:tblGrid>
      <w:tr w:rsidR="003843CA" w14:paraId="67390EC6" w14:textId="77777777" w:rsidTr="00A61559">
        <w:tc>
          <w:tcPr>
            <w:tcW w:w="9350" w:type="dxa"/>
            <w:shd w:val="clear" w:color="auto" w:fill="E2F3FA" w:themeFill="accent5" w:themeFillTint="33"/>
          </w:tcPr>
          <w:p w14:paraId="560EB4F3" w14:textId="77777777" w:rsidR="003843CA" w:rsidRPr="00A61559" w:rsidRDefault="003843CA" w:rsidP="00196B18">
            <w:pPr>
              <w:pStyle w:val="paragraph"/>
              <w:spacing w:after="240"/>
              <w:textAlignment w:val="baseline"/>
              <w:rPr>
                <w:rFonts w:eastAsia="Arial"/>
                <w:b/>
                <w:bCs/>
                <w:szCs w:val="22"/>
              </w:rPr>
            </w:pPr>
            <w:r w:rsidRPr="00A61559">
              <w:rPr>
                <w:rFonts w:eastAsia="Arial"/>
                <w:b/>
                <w:bCs/>
                <w:szCs w:val="22"/>
              </w:rPr>
              <w:t>Key Learnings:</w:t>
            </w:r>
          </w:p>
          <w:p w14:paraId="05645A2B" w14:textId="77777777" w:rsidR="003843CA" w:rsidRDefault="0094093D" w:rsidP="008E21FA">
            <w:pPr>
              <w:pStyle w:val="paragraph"/>
              <w:numPr>
                <w:ilvl w:val="0"/>
                <w:numId w:val="33"/>
              </w:numPr>
              <w:spacing w:after="240"/>
              <w:ind w:left="431"/>
              <w:textAlignment w:val="baseline"/>
              <w:rPr>
                <w:rFonts w:eastAsia="Arial"/>
                <w:szCs w:val="22"/>
              </w:rPr>
            </w:pPr>
            <w:r w:rsidRPr="0094093D">
              <w:rPr>
                <w:rFonts w:eastAsia="Arial"/>
                <w:szCs w:val="22"/>
              </w:rPr>
              <w:t>Regional Cooperation is Key: Successful cross-border electricity trading relies on strong regional cooperation, with member countries aligning energy policies, standards, and operational practices to ensure the smooth functioning of the power pool.</w:t>
            </w:r>
          </w:p>
          <w:p w14:paraId="5810D45E" w14:textId="77777777" w:rsidR="0094093D" w:rsidRDefault="003D0287" w:rsidP="008E21FA">
            <w:pPr>
              <w:pStyle w:val="paragraph"/>
              <w:numPr>
                <w:ilvl w:val="0"/>
                <w:numId w:val="33"/>
              </w:numPr>
              <w:spacing w:after="240"/>
              <w:ind w:left="431"/>
              <w:textAlignment w:val="baseline"/>
              <w:rPr>
                <w:rFonts w:eastAsia="Arial"/>
                <w:szCs w:val="22"/>
              </w:rPr>
            </w:pPr>
            <w:r w:rsidRPr="003D0287">
              <w:rPr>
                <w:rFonts w:eastAsia="Arial"/>
                <w:szCs w:val="22"/>
              </w:rPr>
              <w:t>Market Integration: The development of structured markets, such as the Short-Term Energy Market (STEM) and Day-Ahead Market (DAM), facilitates price transparency, market liquidity, and efficient electricity allocation, benefiting both producers and consumers</w:t>
            </w:r>
          </w:p>
          <w:p w14:paraId="3BA5EB1A" w14:textId="077C07D9" w:rsidR="003D0287" w:rsidRDefault="00A61559" w:rsidP="008E21FA">
            <w:pPr>
              <w:pStyle w:val="paragraph"/>
              <w:numPr>
                <w:ilvl w:val="0"/>
                <w:numId w:val="33"/>
              </w:numPr>
              <w:spacing w:after="240"/>
              <w:ind w:left="431"/>
              <w:textAlignment w:val="baseline"/>
              <w:rPr>
                <w:rFonts w:eastAsia="Arial"/>
                <w:szCs w:val="22"/>
              </w:rPr>
            </w:pPr>
            <w:r w:rsidRPr="00A61559">
              <w:rPr>
                <w:rFonts w:eastAsia="Arial"/>
                <w:szCs w:val="22"/>
              </w:rPr>
              <w:t>Governance and Coordination: A robust governance structure, including agreements like the Inter-Governmental MoU and various sub-committees, ensures that member utilities work collaboratively to address challenges and make strategic decisions for the region's energy future.</w:t>
            </w:r>
          </w:p>
        </w:tc>
      </w:tr>
    </w:tbl>
    <w:p w14:paraId="20452827" w14:textId="31737811" w:rsidR="00A61559" w:rsidRDefault="00A61559" w:rsidP="00A61559">
      <w:pPr>
        <w:pStyle w:val="paragraph"/>
        <w:spacing w:beforeAutospacing="0" w:afterAutospacing="0"/>
        <w:textAlignment w:val="baseline"/>
        <w:rPr>
          <w:rStyle w:val="normaltextrun"/>
          <w:rFonts w:eastAsia="Arial"/>
          <w:szCs w:val="22"/>
        </w:rPr>
      </w:pPr>
    </w:p>
    <w:p w14:paraId="182225DB" w14:textId="2B43121D" w:rsidR="00A61559" w:rsidRPr="0019192F" w:rsidRDefault="004341DF" w:rsidP="00A61559">
      <w:pPr>
        <w:pStyle w:val="Heading3"/>
        <w:spacing w:after="0"/>
      </w:pPr>
      <w:r>
        <w:t xml:space="preserve">Key Takeaways from </w:t>
      </w:r>
      <w:r w:rsidR="00104EB1">
        <w:t xml:space="preserve">overall </w:t>
      </w:r>
      <w:r>
        <w:t>international experience</w:t>
      </w:r>
    </w:p>
    <w:p w14:paraId="7112F32F" w14:textId="77777777" w:rsidR="00A61559" w:rsidRDefault="00A61559" w:rsidP="00A61559">
      <w:pPr>
        <w:pStyle w:val="paragraph"/>
        <w:spacing w:beforeAutospacing="0" w:after="0" w:afterAutospacing="0"/>
        <w:textAlignment w:val="baseline"/>
        <w:rPr>
          <w:rStyle w:val="normaltextrun"/>
          <w:rFonts w:eastAsia="Arial"/>
          <w:b/>
          <w:bCs/>
          <w:szCs w:val="22"/>
        </w:rPr>
      </w:pPr>
    </w:p>
    <w:p w14:paraId="4C71B830" w14:textId="71186CE0" w:rsidR="002B47C3" w:rsidRPr="00E538DA" w:rsidRDefault="00B963D5" w:rsidP="008E21FA">
      <w:pPr>
        <w:pStyle w:val="paragraph"/>
        <w:numPr>
          <w:ilvl w:val="0"/>
          <w:numId w:val="34"/>
        </w:numPr>
        <w:spacing w:beforeAutospacing="0" w:after="240" w:afterAutospacing="0"/>
        <w:ind w:left="360"/>
        <w:textAlignment w:val="baseline"/>
        <w:rPr>
          <w:rFonts w:eastAsia="Arial"/>
          <w:szCs w:val="22"/>
        </w:rPr>
      </w:pPr>
      <w:r>
        <w:rPr>
          <w:rStyle w:val="normaltextrun"/>
          <w:rFonts w:eastAsia="Arial"/>
          <w:b/>
          <w:bCs/>
          <w:szCs w:val="22"/>
        </w:rPr>
        <w:t>Evolution pattern</w:t>
      </w:r>
      <w:r w:rsidR="00F70319">
        <w:rPr>
          <w:rStyle w:val="normaltextrun"/>
          <w:rFonts w:eastAsia="Arial"/>
          <w:b/>
          <w:bCs/>
          <w:szCs w:val="22"/>
        </w:rPr>
        <w:t xml:space="preserve"> -</w:t>
      </w:r>
      <w:r w:rsidR="00E538DA" w:rsidRPr="00E538DA">
        <w:t xml:space="preserve"> </w:t>
      </w:r>
      <w:r w:rsidR="00E538DA" w:rsidRPr="00E538DA">
        <w:rPr>
          <w:rStyle w:val="normaltextrun"/>
          <w:rFonts w:eastAsia="Arial"/>
          <w:szCs w:val="22"/>
        </w:rPr>
        <w:t>The development of power exchanges often follows a gradual evolution from national markets to regional power exchanges (RPXs). Initially, a power exchange may operate within a single country, focusing on establishing the market framework, infrastructure, and ensuring system reliability. As the market matures, the focus shifts toward integrating neighboring countries, facilitating cross-border electricity trading, and creating a more competitive, liquid market. For example, the Nord Pool in Scandinavia started as a national market in Norway before expanding to include Sweden, Denmark, Finland, and eventually several other countries in Europe. The evolution involves setting up the right regulatory frameworks, creating interconnections, and ensuring that transmission capacity can handle increased cross-border flows. By gradually integrating neighboring markets, regional exchanges help optimize the use of power generation assets, reduce costs, and enhance system stability.</w:t>
      </w:r>
    </w:p>
    <w:p w14:paraId="77CC73FF" w14:textId="0A3CE1B2" w:rsidR="002B47C3" w:rsidRDefault="00A73C30" w:rsidP="008E21FA">
      <w:pPr>
        <w:pStyle w:val="paragraph"/>
        <w:numPr>
          <w:ilvl w:val="0"/>
          <w:numId w:val="34"/>
        </w:numPr>
        <w:spacing w:beforeAutospacing="0" w:after="240" w:afterAutospacing="0"/>
        <w:ind w:left="360"/>
        <w:textAlignment w:val="baseline"/>
        <w:rPr>
          <w:rFonts w:eastAsia="Arial"/>
          <w:szCs w:val="22"/>
        </w:rPr>
      </w:pPr>
      <w:r>
        <w:rPr>
          <w:rStyle w:val="normaltextrun"/>
          <w:rFonts w:eastAsia="Arial"/>
          <w:b/>
          <w:bCs/>
          <w:szCs w:val="22"/>
        </w:rPr>
        <w:t>Governance Structures</w:t>
      </w:r>
      <w:r w:rsidR="002B47C3" w:rsidRPr="002B47C3">
        <w:rPr>
          <w:rStyle w:val="normaltextrun"/>
          <w:rFonts w:eastAsia="Arial"/>
          <w:b/>
          <w:bCs/>
          <w:szCs w:val="22"/>
        </w:rPr>
        <w:t xml:space="preserve"> - </w:t>
      </w:r>
      <w:r w:rsidR="00104EB1" w:rsidRPr="00104EB1">
        <w:rPr>
          <w:rFonts w:eastAsia="Arial"/>
          <w:szCs w:val="22"/>
        </w:rPr>
        <w:t>A regional power exchange (RPX) should have a strong, multi-tiered governance structure comprising a supervisory board, a management team, and advisory committees. The supervisory board ensures overall strategic direction and compliance with public policy, while the management team handles day-to-day operations, including market functionality and infrastructure management. Advisory committees provide specialized guidance on market design, risk management, and technological advancements. This governance framework fosters transparency, accountability, and adaptability, enabling the RPX to operate efficiently, respond to market changes, and meet the needs of diverse stakeholders in a dynamic energy landscape.</w:t>
      </w:r>
    </w:p>
    <w:p w14:paraId="363B740D" w14:textId="718EB0F3" w:rsidR="00A96919" w:rsidRDefault="0022698E" w:rsidP="008E21FA">
      <w:pPr>
        <w:pStyle w:val="paragraph"/>
        <w:numPr>
          <w:ilvl w:val="0"/>
          <w:numId w:val="34"/>
        </w:numPr>
        <w:spacing w:beforeAutospacing="0" w:after="240" w:afterAutospacing="0"/>
        <w:ind w:left="360"/>
        <w:textAlignment w:val="baseline"/>
        <w:rPr>
          <w:rFonts w:eastAsia="Arial"/>
          <w:szCs w:val="22"/>
        </w:rPr>
      </w:pPr>
      <w:r>
        <w:rPr>
          <w:rStyle w:val="normaltextrun"/>
          <w:rFonts w:eastAsia="Arial"/>
          <w:b/>
          <w:bCs/>
          <w:szCs w:val="22"/>
        </w:rPr>
        <w:t>Typical Products</w:t>
      </w:r>
      <w:r w:rsidRPr="002B47C3">
        <w:rPr>
          <w:rStyle w:val="normaltextrun"/>
          <w:rFonts w:eastAsia="Arial"/>
          <w:b/>
          <w:bCs/>
          <w:szCs w:val="22"/>
        </w:rPr>
        <w:t xml:space="preserve"> - </w:t>
      </w:r>
      <w:r w:rsidR="00C85F55" w:rsidRPr="00C85F55">
        <w:rPr>
          <w:rFonts w:eastAsia="Arial"/>
          <w:szCs w:val="22"/>
        </w:rPr>
        <w:t>The Day Ahead Market (DAM) and Intra Day Market (IDM), a variation of the Term Ahead Market (TAM), are the primary products available on national and Regional Power Exchanges worldwide.</w:t>
      </w:r>
    </w:p>
    <w:p w14:paraId="222BB96B" w14:textId="6F32B047" w:rsidR="00C85F55" w:rsidRDefault="00123A5D" w:rsidP="008E21FA">
      <w:pPr>
        <w:pStyle w:val="paragraph"/>
        <w:numPr>
          <w:ilvl w:val="0"/>
          <w:numId w:val="34"/>
        </w:numPr>
        <w:spacing w:beforeAutospacing="0" w:after="240" w:afterAutospacing="0"/>
        <w:ind w:left="360"/>
        <w:textAlignment w:val="baseline"/>
        <w:rPr>
          <w:rFonts w:eastAsia="Arial"/>
          <w:szCs w:val="22"/>
        </w:rPr>
      </w:pPr>
      <w:r>
        <w:rPr>
          <w:rStyle w:val="normaltextrun"/>
          <w:rFonts w:eastAsia="Arial"/>
          <w:b/>
          <w:bCs/>
          <w:szCs w:val="22"/>
        </w:rPr>
        <w:t>Settlement</w:t>
      </w:r>
      <w:r w:rsidRPr="002B47C3">
        <w:rPr>
          <w:rStyle w:val="normaltextrun"/>
          <w:rFonts w:eastAsia="Arial"/>
          <w:b/>
          <w:bCs/>
          <w:szCs w:val="22"/>
        </w:rPr>
        <w:t xml:space="preserve"> - </w:t>
      </w:r>
      <w:r w:rsidR="005E7880" w:rsidRPr="005E7880">
        <w:rPr>
          <w:rFonts w:eastAsia="Arial"/>
          <w:szCs w:val="22"/>
        </w:rPr>
        <w:t>A common practice for commercial settlement is through advance margins and collaterals, in accordance with the governing rules of the relevant Power Exchange</w:t>
      </w:r>
    </w:p>
    <w:p w14:paraId="0A3B1ED4" w14:textId="2901F7F0" w:rsidR="005E7880" w:rsidRPr="002B47C3" w:rsidRDefault="005E7880" w:rsidP="008E21FA">
      <w:pPr>
        <w:pStyle w:val="paragraph"/>
        <w:numPr>
          <w:ilvl w:val="0"/>
          <w:numId w:val="34"/>
        </w:numPr>
        <w:spacing w:beforeAutospacing="0" w:after="240" w:afterAutospacing="0"/>
        <w:ind w:left="360"/>
        <w:textAlignment w:val="baseline"/>
        <w:rPr>
          <w:rFonts w:eastAsia="Arial"/>
          <w:szCs w:val="22"/>
        </w:rPr>
      </w:pPr>
      <w:r w:rsidRPr="005E7880">
        <w:rPr>
          <w:rStyle w:val="normaltextrun"/>
          <w:rFonts w:eastAsia="Arial"/>
          <w:b/>
          <w:bCs/>
          <w:szCs w:val="22"/>
        </w:rPr>
        <w:t>Market Surveillance</w:t>
      </w:r>
      <w:r w:rsidRPr="002B47C3">
        <w:rPr>
          <w:rStyle w:val="normaltextrun"/>
          <w:rFonts w:eastAsia="Arial"/>
          <w:b/>
          <w:bCs/>
          <w:szCs w:val="22"/>
        </w:rPr>
        <w:t xml:space="preserve"> - </w:t>
      </w:r>
      <w:r w:rsidR="00564681" w:rsidRPr="00564681">
        <w:rPr>
          <w:rFonts w:eastAsia="Arial"/>
          <w:szCs w:val="22"/>
        </w:rPr>
        <w:t xml:space="preserve">To oversee trading activity </w:t>
      </w:r>
      <w:proofErr w:type="gramStart"/>
      <w:r w:rsidR="00564681" w:rsidRPr="00564681">
        <w:rPr>
          <w:rFonts w:eastAsia="Arial"/>
          <w:szCs w:val="22"/>
        </w:rPr>
        <w:t>in order to</w:t>
      </w:r>
      <w:proofErr w:type="gramEnd"/>
      <w:r w:rsidR="00564681" w:rsidRPr="00564681">
        <w:rPr>
          <w:rFonts w:eastAsia="Arial"/>
          <w:szCs w:val="22"/>
        </w:rPr>
        <w:t xml:space="preserve"> identify potential violations of market manipulation and insider trading prohibitions.</w:t>
      </w:r>
    </w:p>
    <w:p w14:paraId="50857C55" w14:textId="0E16F5CE" w:rsidR="00B01EE7" w:rsidRPr="005B68E1" w:rsidRDefault="006A0F8B" w:rsidP="00FE61BC">
      <w:pPr>
        <w:pStyle w:val="Heading2"/>
      </w:pPr>
      <w:bookmarkStart w:id="131" w:name="_Toc185235901"/>
      <w:r w:rsidRPr="006A0F8B">
        <w:t>Market Products</w:t>
      </w:r>
      <w:bookmarkEnd w:id="131"/>
    </w:p>
    <w:p w14:paraId="1B5995D0" w14:textId="11735873" w:rsidR="00B01EE7" w:rsidRPr="002E5B8E" w:rsidRDefault="001D444D" w:rsidP="00B01EE7">
      <w:pPr>
        <w:rPr>
          <w:rFonts w:eastAsia="Arial" w:cs="Arial"/>
        </w:rPr>
      </w:pPr>
      <w:bookmarkStart w:id="132" w:name="_Toc3462464"/>
      <w:bookmarkStart w:id="133" w:name="_Toc327184792"/>
      <w:bookmarkEnd w:id="64"/>
      <w:bookmarkEnd w:id="65"/>
      <w:bookmarkEnd w:id="66"/>
      <w:bookmarkEnd w:id="67"/>
      <w:bookmarkEnd w:id="72"/>
      <w:bookmarkEnd w:id="132"/>
      <w:r>
        <w:rPr>
          <w:rFonts w:eastAsia="Arial" w:cs="Arial"/>
        </w:rPr>
        <w:t xml:space="preserve">Setting up of </w:t>
      </w:r>
      <w:r w:rsidR="003709A6" w:rsidRPr="003709A6">
        <w:rPr>
          <w:rFonts w:eastAsia="Arial" w:cs="Arial"/>
        </w:rPr>
        <w:t xml:space="preserve">regional power market will rely on a diverse set of market products to ensure efficient electricity trading, grid stability, and risk management. These products are crucial for enabling price discovery, balancing supply and demand, and maintaining system reliability across the interconnected region. The integration of the Spot Market, Day-Ahead Market (DAM), Ancillary Services/Products, and Derivatives will provide the necessary mechanisms for addressing real-time imbalances, optimizing generation schedules, ensuring grid stability, and managing financial risks. By incorporating these products into the regional market framework, </w:t>
      </w:r>
      <w:r>
        <w:rPr>
          <w:rFonts w:eastAsia="Arial" w:cs="Arial"/>
        </w:rPr>
        <w:t xml:space="preserve">regions like </w:t>
      </w:r>
      <w:r w:rsidR="003709A6" w:rsidRPr="003709A6">
        <w:rPr>
          <w:rFonts w:eastAsia="Arial" w:cs="Arial"/>
        </w:rPr>
        <w:t>BBINS can foster a competitive, sustainable, and resilient energy system that benefits all participants.</w:t>
      </w:r>
    </w:p>
    <w:p w14:paraId="0DC85941" w14:textId="0C342721" w:rsidR="006A0F8B" w:rsidRPr="0019192F" w:rsidRDefault="006A0F8B" w:rsidP="006A0F8B">
      <w:pPr>
        <w:pStyle w:val="Heading3"/>
      </w:pPr>
      <w:r>
        <w:t>Spot</w:t>
      </w:r>
    </w:p>
    <w:p w14:paraId="0D4EFB86" w14:textId="0538BB01" w:rsidR="00516C56" w:rsidRPr="00516C56" w:rsidRDefault="00516C56" w:rsidP="00585852">
      <w:pPr>
        <w:rPr>
          <w:rFonts w:cs="Arial"/>
          <w:szCs w:val="22"/>
          <w:lang w:eastAsia="en-JM"/>
        </w:rPr>
      </w:pPr>
      <w:r w:rsidRPr="00516C56">
        <w:rPr>
          <w:rFonts w:cs="Arial"/>
          <w:szCs w:val="22"/>
          <w:lang w:eastAsia="en-JM"/>
        </w:rPr>
        <w:t>Spot markets are essential platforms in the electricity sector where power is traded for immediate or near-immediate delivery. They reflect real-time supply and demand conditions, making them highly dynamic and crucial for maintaining grid stability and integrating renewable energy sources. Unlike long-term contracts, spot markets enable market participants to respond to shifting grid conditions, such as sudden outages or variations in renewable generation, ensuring a balanced and reliable electricity supply.</w:t>
      </w:r>
      <w:r w:rsidR="00585852">
        <w:rPr>
          <w:rFonts w:cs="Arial"/>
          <w:szCs w:val="22"/>
          <w:lang w:eastAsia="en-JM"/>
        </w:rPr>
        <w:t xml:space="preserve"> Spot </w:t>
      </w:r>
      <w:r w:rsidR="00585852" w:rsidRPr="00585852">
        <w:rPr>
          <w:rFonts w:cs="Arial"/>
          <w:szCs w:val="22"/>
          <w:lang w:eastAsia="en-JM"/>
        </w:rPr>
        <w:t>markets may deal</w:t>
      </w:r>
      <w:r w:rsidR="00585852">
        <w:rPr>
          <w:rFonts w:cs="Arial"/>
          <w:szCs w:val="22"/>
          <w:lang w:eastAsia="en-JM"/>
        </w:rPr>
        <w:t xml:space="preserve"> </w:t>
      </w:r>
      <w:r w:rsidR="00585852" w:rsidRPr="00585852">
        <w:rPr>
          <w:rFonts w:cs="Arial"/>
          <w:szCs w:val="22"/>
          <w:lang w:eastAsia="en-JM"/>
        </w:rPr>
        <w:t xml:space="preserve">in </w:t>
      </w:r>
      <w:proofErr w:type="gramStart"/>
      <w:r w:rsidR="00585852" w:rsidRPr="00585852">
        <w:rPr>
          <w:rFonts w:cs="Arial"/>
          <w:szCs w:val="22"/>
          <w:lang w:eastAsia="en-JM"/>
        </w:rPr>
        <w:t>the real</w:t>
      </w:r>
      <w:proofErr w:type="gramEnd"/>
      <w:r w:rsidR="00585852" w:rsidRPr="00585852">
        <w:rPr>
          <w:rFonts w:cs="Arial"/>
          <w:szCs w:val="22"/>
          <w:lang w:eastAsia="en-JM"/>
        </w:rPr>
        <w:t>-time, hour ahead and DAM markets.</w:t>
      </w:r>
    </w:p>
    <w:p w14:paraId="5D25725F" w14:textId="77777777" w:rsidR="00516C56" w:rsidRPr="00516C56" w:rsidRDefault="00516C56" w:rsidP="00516C56">
      <w:pPr>
        <w:rPr>
          <w:rFonts w:cs="Arial"/>
          <w:szCs w:val="22"/>
          <w:lang w:eastAsia="en-JM"/>
        </w:rPr>
      </w:pPr>
      <w:r w:rsidRPr="00516C56">
        <w:rPr>
          <w:rFonts w:cs="Arial"/>
          <w:szCs w:val="22"/>
          <w:lang w:eastAsia="en-JM"/>
        </w:rPr>
        <w:t>In regional power markets, spot markets are fundamental for fostering cross-border energy trade and optimizing resource use across multiple countries. Key aspects of spot markets in regional power trading include:</w:t>
      </w:r>
    </w:p>
    <w:p w14:paraId="50DC7650" w14:textId="77777777" w:rsidR="00516C56" w:rsidRPr="00DC1EFA" w:rsidRDefault="00516C56" w:rsidP="008E21FA">
      <w:pPr>
        <w:pStyle w:val="ListParagraph"/>
        <w:numPr>
          <w:ilvl w:val="0"/>
          <w:numId w:val="35"/>
        </w:numPr>
        <w:rPr>
          <w:rFonts w:cs="Arial"/>
          <w:lang w:eastAsia="en-JM"/>
        </w:rPr>
      </w:pPr>
      <w:r w:rsidRPr="008B0AFB">
        <w:rPr>
          <w:rFonts w:cs="Arial"/>
          <w:b/>
          <w:bCs/>
          <w:lang w:eastAsia="en-JM"/>
        </w:rPr>
        <w:t>Real-Time Price Signals:</w:t>
      </w:r>
      <w:r w:rsidRPr="00DC1EFA">
        <w:rPr>
          <w:rFonts w:cs="Arial"/>
          <w:lang w:eastAsia="en-JM"/>
        </w:rPr>
        <w:t xml:space="preserve"> Spot markets provide transparent, real-time price signals that reflect immediate grid conditions, enabling efficient allocation of electricity resources.</w:t>
      </w:r>
    </w:p>
    <w:p w14:paraId="34B3B534" w14:textId="77777777" w:rsidR="00516C56" w:rsidRPr="00DC1EFA" w:rsidRDefault="00516C56" w:rsidP="008E21FA">
      <w:pPr>
        <w:pStyle w:val="ListParagraph"/>
        <w:numPr>
          <w:ilvl w:val="0"/>
          <w:numId w:val="35"/>
        </w:numPr>
        <w:rPr>
          <w:rFonts w:cs="Arial"/>
          <w:lang w:eastAsia="en-JM"/>
        </w:rPr>
      </w:pPr>
      <w:r w:rsidRPr="008B0AFB">
        <w:rPr>
          <w:rFonts w:cs="Arial"/>
          <w:b/>
          <w:bCs/>
          <w:lang w:eastAsia="en-JM"/>
        </w:rPr>
        <w:t>Day-Ahead and Intraday Flexibility:</w:t>
      </w:r>
      <w:r w:rsidRPr="00DC1EFA">
        <w:rPr>
          <w:rFonts w:cs="Arial"/>
          <w:lang w:eastAsia="en-JM"/>
        </w:rPr>
        <w:t xml:space="preserve"> The day-ahead market offers a structured schedule for power delivery across regions, while intraday trading allows adjustments closer to delivery, accommodating unforeseen supply-demand changes.</w:t>
      </w:r>
    </w:p>
    <w:p w14:paraId="6D3B5E89" w14:textId="77777777" w:rsidR="00516C56" w:rsidRPr="00DC1EFA" w:rsidRDefault="00516C56" w:rsidP="008E21FA">
      <w:pPr>
        <w:pStyle w:val="ListParagraph"/>
        <w:numPr>
          <w:ilvl w:val="0"/>
          <w:numId w:val="35"/>
        </w:numPr>
        <w:rPr>
          <w:rFonts w:cs="Arial"/>
          <w:lang w:eastAsia="en-JM"/>
        </w:rPr>
      </w:pPr>
      <w:r w:rsidRPr="008B0AFB">
        <w:rPr>
          <w:rFonts w:cs="Arial"/>
          <w:b/>
          <w:bCs/>
          <w:lang w:eastAsia="en-JM"/>
        </w:rPr>
        <w:t>Enhanced Market Liquidity:</w:t>
      </w:r>
      <w:r w:rsidRPr="00DC1EFA">
        <w:rPr>
          <w:rFonts w:cs="Arial"/>
          <w:lang w:eastAsia="en-JM"/>
        </w:rPr>
        <w:t xml:space="preserve"> Spot markets bring together a wide range of participants, including utilities, independent power producers, and transmission operators, increasing liquidity and fostering competition.</w:t>
      </w:r>
    </w:p>
    <w:p w14:paraId="19A69506" w14:textId="77777777" w:rsidR="00516C56" w:rsidRPr="00DC1EFA" w:rsidRDefault="00516C56" w:rsidP="008E21FA">
      <w:pPr>
        <w:pStyle w:val="ListParagraph"/>
        <w:numPr>
          <w:ilvl w:val="0"/>
          <w:numId w:val="35"/>
        </w:numPr>
        <w:rPr>
          <w:rFonts w:cs="Arial"/>
          <w:lang w:eastAsia="en-JM"/>
        </w:rPr>
      </w:pPr>
      <w:r w:rsidRPr="008B0AFB">
        <w:rPr>
          <w:rFonts w:cs="Arial"/>
          <w:b/>
          <w:bCs/>
          <w:lang w:eastAsia="en-JM"/>
        </w:rPr>
        <w:t>Renewable Energy Integration:</w:t>
      </w:r>
      <w:r w:rsidRPr="00DC1EFA">
        <w:rPr>
          <w:rFonts w:cs="Arial"/>
          <w:lang w:eastAsia="en-JM"/>
        </w:rPr>
        <w:t xml:space="preserve"> These markets are instrumental in managing the variability of renewable sources by facilitating the exchange of surplus power and meeting short-term demand gaps.</w:t>
      </w:r>
    </w:p>
    <w:p w14:paraId="26AFC659" w14:textId="77777777" w:rsidR="00516C56" w:rsidRPr="00DC1EFA" w:rsidRDefault="00516C56" w:rsidP="008E21FA">
      <w:pPr>
        <w:pStyle w:val="ListParagraph"/>
        <w:numPr>
          <w:ilvl w:val="0"/>
          <w:numId w:val="35"/>
        </w:numPr>
        <w:rPr>
          <w:rFonts w:cs="Arial"/>
          <w:lang w:eastAsia="en-JM"/>
        </w:rPr>
      </w:pPr>
      <w:r w:rsidRPr="00353AF7">
        <w:rPr>
          <w:rFonts w:cs="Arial"/>
          <w:b/>
          <w:bCs/>
          <w:lang w:eastAsia="en-JM"/>
        </w:rPr>
        <w:t>Grid Stability Across Borders</w:t>
      </w:r>
      <w:r w:rsidRPr="00DC1EFA">
        <w:rPr>
          <w:rFonts w:cs="Arial"/>
          <w:lang w:eastAsia="en-JM"/>
        </w:rPr>
        <w:t>: Spot markets enable efficient balancing across interconnected grids in regional power pools, reducing the need for costly reserves and improving overall system resilience.</w:t>
      </w:r>
    </w:p>
    <w:p w14:paraId="539EEE52" w14:textId="77A26B08" w:rsidR="00C41AE9" w:rsidRDefault="00516C56" w:rsidP="00516C56">
      <w:pPr>
        <w:rPr>
          <w:rFonts w:cs="Arial"/>
          <w:szCs w:val="22"/>
          <w:lang w:eastAsia="en-JM"/>
        </w:rPr>
      </w:pPr>
      <w:r w:rsidRPr="00516C56">
        <w:rPr>
          <w:rFonts w:cs="Arial"/>
          <w:szCs w:val="22"/>
          <w:lang w:eastAsia="en-JM"/>
        </w:rPr>
        <w:t>By offering a dynamic platform for immediate electricity trading, spot markets are a critical product in regional power markets, supporting efficient operations, economic optimization, and the transition to sustainable energy systems.</w:t>
      </w:r>
    </w:p>
    <w:tbl>
      <w:tblPr>
        <w:tblStyle w:val="TableGrid"/>
        <w:tblW w:w="0" w:type="auto"/>
        <w:shd w:val="clear" w:color="auto" w:fill="E2F3FA" w:themeFill="accent5" w:themeFillTint="33"/>
        <w:tblLook w:val="04A0" w:firstRow="1" w:lastRow="0" w:firstColumn="1" w:lastColumn="0" w:noHBand="0" w:noVBand="1"/>
      </w:tblPr>
      <w:tblGrid>
        <w:gridCol w:w="9350"/>
      </w:tblGrid>
      <w:tr w:rsidR="0025392C" w14:paraId="2E9B5AF7" w14:textId="77777777" w:rsidTr="0025392C">
        <w:tc>
          <w:tcPr>
            <w:tcW w:w="9350" w:type="dxa"/>
            <w:shd w:val="clear" w:color="auto" w:fill="E2F3FA" w:themeFill="accent5" w:themeFillTint="33"/>
          </w:tcPr>
          <w:p w14:paraId="6FDA82F1" w14:textId="77777777" w:rsidR="0025392C" w:rsidRPr="008B0AFB" w:rsidRDefault="0025392C" w:rsidP="0025392C">
            <w:pPr>
              <w:rPr>
                <w:rFonts w:cs="Arial"/>
                <w:b/>
                <w:bCs/>
                <w:szCs w:val="22"/>
                <w:lang w:eastAsia="en-JM"/>
              </w:rPr>
            </w:pPr>
            <w:r w:rsidRPr="008B0AFB">
              <w:rPr>
                <w:rFonts w:cs="Arial"/>
                <w:b/>
                <w:bCs/>
                <w:szCs w:val="22"/>
                <w:lang w:eastAsia="en-JM"/>
              </w:rPr>
              <w:t>Use cases</w:t>
            </w:r>
          </w:p>
          <w:p w14:paraId="0D98810C" w14:textId="2CDE5B0D" w:rsidR="0025392C" w:rsidRDefault="0025392C" w:rsidP="0025392C">
            <w:pPr>
              <w:rPr>
                <w:rFonts w:cs="Arial"/>
                <w:szCs w:val="22"/>
                <w:lang w:eastAsia="en-JM"/>
              </w:rPr>
            </w:pPr>
            <w:r w:rsidRPr="00C41AE9">
              <w:rPr>
                <w:rFonts w:cs="Arial"/>
                <w:szCs w:val="22"/>
                <w:lang w:eastAsia="en-JM"/>
              </w:rPr>
              <w:t>Spot markets are integral to the operation and optimization of electricity grids across various regions. They enable efficient real-time trading, allowing market participants to balance supply and demand dynamically. These markets are widely used for cross-border electricity trading, where exchanges like Nord Pool, EPEX SPOT, and OMIE facilitate seamless integration of renewable energy and promote grid stability. In North America, systems such as PJM Interconnection, CAISO, and NYISO leverage spot markets for day-ahead and real-time balancing, ensuring efficient dispatch and renewable energy management. In Asia, platforms like the Indian Energy Exchange (IEX) and Japan Electric Power Exchange (JEPX) provide critical frameworks for short-term electricity trading, enhancing flexibility and market liquidity. Similarly, in Southern Africa, the Southern African Power Pool (SAPP) uses spot markets to strengthen regional electricity cooperation, while Australia’s National Electricity Market (NEM) utilizes them to maintain grid reliability and support renewable integration. These use cases demonstrate the versatility of spot markets in addressing the unique operational needs of diverse electricity systems worldwide.</w:t>
            </w:r>
          </w:p>
        </w:tc>
      </w:tr>
    </w:tbl>
    <w:p w14:paraId="461F2405" w14:textId="032CFB28" w:rsidR="00C41AE9" w:rsidRDefault="00C41AE9" w:rsidP="00516C56">
      <w:pPr>
        <w:rPr>
          <w:rFonts w:cs="Arial"/>
          <w:szCs w:val="22"/>
          <w:lang w:eastAsia="en-JM"/>
        </w:rPr>
      </w:pPr>
    </w:p>
    <w:p w14:paraId="4B6FACF5" w14:textId="4073A8D6" w:rsidR="006A0F8B" w:rsidRPr="0019192F" w:rsidRDefault="006A0F8B" w:rsidP="006A0F8B">
      <w:pPr>
        <w:pStyle w:val="Heading3"/>
      </w:pPr>
      <w:r>
        <w:t>Day-Ahead</w:t>
      </w:r>
    </w:p>
    <w:p w14:paraId="58361A7D" w14:textId="7BDC6DDF" w:rsidR="002C4B62" w:rsidRPr="002C4B62" w:rsidRDefault="002C4B62" w:rsidP="002C4B62">
      <w:pPr>
        <w:rPr>
          <w:rFonts w:cs="Arial"/>
          <w:szCs w:val="22"/>
          <w:lang w:eastAsia="en-JM"/>
        </w:rPr>
      </w:pPr>
      <w:r w:rsidRPr="002C4B62">
        <w:rPr>
          <w:rFonts w:cs="Arial"/>
          <w:szCs w:val="22"/>
          <w:lang w:eastAsia="en-JM"/>
        </w:rPr>
        <w:t>Day-ahead power trading is a fundamental component of electricity markets, enabling the buying and selling of electricity one day before its actual generation and delivery. This type of trading can occur either on the Day-Ahead Market (DAM) of a power exchange</w:t>
      </w:r>
      <w:r w:rsidR="001256D0">
        <w:rPr>
          <w:rFonts w:cs="Arial"/>
          <w:szCs w:val="22"/>
          <w:lang w:eastAsia="en-JM"/>
        </w:rPr>
        <w:t xml:space="preserve"> </w:t>
      </w:r>
      <w:r w:rsidRPr="002C4B62">
        <w:rPr>
          <w:rFonts w:cs="Arial"/>
          <w:szCs w:val="22"/>
          <w:lang w:eastAsia="en-JM"/>
        </w:rPr>
        <w:t>often referred to as a day-ahead auction</w:t>
      </w:r>
      <w:r>
        <w:rPr>
          <w:rFonts w:cs="Arial"/>
          <w:szCs w:val="22"/>
          <w:lang w:eastAsia="en-JM"/>
        </w:rPr>
        <w:t xml:space="preserve"> </w:t>
      </w:r>
      <w:r w:rsidRPr="002C4B62">
        <w:rPr>
          <w:rFonts w:cs="Arial"/>
          <w:szCs w:val="22"/>
          <w:lang w:eastAsia="en-JM"/>
        </w:rPr>
        <w:t xml:space="preserve">or through </w:t>
      </w:r>
      <w:proofErr w:type="gramStart"/>
      <w:r w:rsidRPr="002C4B62">
        <w:rPr>
          <w:rFonts w:cs="Arial"/>
          <w:szCs w:val="22"/>
          <w:lang w:eastAsia="en-JM"/>
        </w:rPr>
        <w:t>Over-the-Counter</w:t>
      </w:r>
      <w:proofErr w:type="gramEnd"/>
      <w:r w:rsidRPr="002C4B62">
        <w:rPr>
          <w:rFonts w:cs="Arial"/>
          <w:szCs w:val="22"/>
          <w:lang w:eastAsia="en-JM"/>
        </w:rPr>
        <w:t xml:space="preserve"> (OTC) contracts between trading parties, such as power companies or large industrial consumers.</w:t>
      </w:r>
      <w:r>
        <w:rPr>
          <w:rFonts w:cs="Arial"/>
          <w:szCs w:val="22"/>
          <w:lang w:eastAsia="en-JM"/>
        </w:rPr>
        <w:t xml:space="preserve"> </w:t>
      </w:r>
      <w:r w:rsidRPr="002C4B62">
        <w:rPr>
          <w:rFonts w:cs="Arial"/>
          <w:szCs w:val="22"/>
          <w:lang w:eastAsia="en-JM"/>
        </w:rPr>
        <w:t>In liberalized power markets, day-ahead trading is crucial for balancing electricity production and consumption portfolios. Power traders, utilities, and large consumers must ensure that their electricity supply and demand are balanced daily within what is known as a balancing group. The responsibility of maintaining this balance lies with the Balancing Responsible Parties (BRPs), who manage the portfolios to ensure that electricity bought/generated equals electricity sold/consumed.</w:t>
      </w:r>
    </w:p>
    <w:p w14:paraId="164B17EF" w14:textId="1E94879D" w:rsidR="006A0F8B" w:rsidRDefault="002C4B62" w:rsidP="002C4B62">
      <w:pPr>
        <w:rPr>
          <w:rFonts w:cs="Arial"/>
          <w:szCs w:val="22"/>
          <w:lang w:eastAsia="en-JM"/>
        </w:rPr>
      </w:pPr>
      <w:r w:rsidRPr="002C4B62">
        <w:rPr>
          <w:rFonts w:cs="Arial"/>
          <w:szCs w:val="22"/>
          <w:lang w:eastAsia="en-JM"/>
        </w:rPr>
        <w:t>Long-term balancing of these portfolios typically involves the use of futures markets, where BRPs hedge risks by purchasing or selling electricity for delivery months or years in advance. However, as the day of actual electricity delivery approaches, BRPs need to fine-tune their portfolios to address any remaining surpluses or deficits. The Day-Ahead Market facilitates this adjustment through competitive bidding and price discovery, providing a platform for short-term balancing of supply and demand.</w:t>
      </w:r>
      <w:r>
        <w:rPr>
          <w:rFonts w:cs="Arial"/>
          <w:szCs w:val="22"/>
          <w:lang w:eastAsia="en-JM"/>
        </w:rPr>
        <w:t xml:space="preserve"> </w:t>
      </w:r>
      <w:r w:rsidRPr="002C4B62">
        <w:rPr>
          <w:rFonts w:cs="Arial"/>
          <w:szCs w:val="22"/>
          <w:lang w:eastAsia="en-JM"/>
        </w:rPr>
        <w:t>After the close of day-ahead trading, any residual imbalances in the balancing group can be corrected through intraday trading. This sequential approach, from futures to day-ahead and then intraday markets, ensures an efficient and reliable electricity market operation, minimizing risks and supporting grid stability.</w:t>
      </w:r>
      <w:r>
        <w:rPr>
          <w:rFonts w:cs="Arial"/>
          <w:szCs w:val="22"/>
          <w:lang w:eastAsia="en-JM"/>
        </w:rPr>
        <w:t xml:space="preserve"> </w:t>
      </w:r>
      <w:r w:rsidRPr="002C4B62">
        <w:rPr>
          <w:rFonts w:cs="Arial"/>
          <w:szCs w:val="22"/>
          <w:lang w:eastAsia="en-JM"/>
        </w:rPr>
        <w:t>The day-ahead trading product thus plays a critical role in maintaining market efficiency, promoting transparency, and supporting the reliable operation of interconnected power systems. It serves as a vital tool for energy market participants to align their operations with real-time needs.</w:t>
      </w:r>
    </w:p>
    <w:p w14:paraId="72D42414" w14:textId="77777777" w:rsidR="00996E9A" w:rsidRDefault="00996E9A" w:rsidP="002C4B62">
      <w:pPr>
        <w:rPr>
          <w:rFonts w:cs="Arial"/>
          <w:szCs w:val="22"/>
          <w:lang w:eastAsia="en-JM"/>
        </w:rPr>
      </w:pPr>
    </w:p>
    <w:tbl>
      <w:tblPr>
        <w:tblStyle w:val="TableGrid"/>
        <w:tblW w:w="0" w:type="auto"/>
        <w:shd w:val="clear" w:color="auto" w:fill="E2F3FA" w:themeFill="accent5" w:themeFillTint="33"/>
        <w:tblLook w:val="04A0" w:firstRow="1" w:lastRow="0" w:firstColumn="1" w:lastColumn="0" w:noHBand="0" w:noVBand="1"/>
      </w:tblPr>
      <w:tblGrid>
        <w:gridCol w:w="9350"/>
      </w:tblGrid>
      <w:tr w:rsidR="00F16823" w14:paraId="79CD77E4" w14:textId="77777777" w:rsidTr="00996E9A">
        <w:tc>
          <w:tcPr>
            <w:tcW w:w="9350" w:type="dxa"/>
            <w:shd w:val="clear" w:color="auto" w:fill="E2F3FA" w:themeFill="accent5" w:themeFillTint="33"/>
          </w:tcPr>
          <w:p w14:paraId="321847D6" w14:textId="77777777" w:rsidR="00F16823" w:rsidRPr="00996E9A" w:rsidRDefault="00F16823" w:rsidP="002C4B62">
            <w:pPr>
              <w:rPr>
                <w:rFonts w:cs="Arial"/>
                <w:b/>
                <w:bCs/>
                <w:szCs w:val="22"/>
                <w:lang w:eastAsia="en-JM"/>
              </w:rPr>
            </w:pPr>
            <w:r w:rsidRPr="00996E9A">
              <w:rPr>
                <w:rFonts w:cs="Arial"/>
                <w:b/>
                <w:bCs/>
                <w:szCs w:val="22"/>
                <w:lang w:eastAsia="en-JM"/>
              </w:rPr>
              <w:t>Use Cases</w:t>
            </w:r>
          </w:p>
          <w:p w14:paraId="3E2A5A0D" w14:textId="55004756" w:rsidR="00F16823" w:rsidRDefault="00996E9A" w:rsidP="002C4B62">
            <w:pPr>
              <w:rPr>
                <w:rFonts w:cs="Arial"/>
                <w:szCs w:val="22"/>
                <w:lang w:eastAsia="en-JM"/>
              </w:rPr>
            </w:pPr>
            <w:r w:rsidRPr="00996E9A">
              <w:rPr>
                <w:rFonts w:cs="Arial"/>
                <w:szCs w:val="22"/>
                <w:lang w:eastAsia="en-JM"/>
              </w:rPr>
              <w:t>Day-ahead markets have been widely adopted across global power exchanges, demonstrating their importance in electricity trading systems. In Europe, markets like Nord Pool and EPEX SPOT facilitate daily trading across multiple countries, supporting regional integration and efficient energy scheduling. The PJM Interconnection and NYISO in the United States use day-ahead markets for balancing supply and demand and ensuring market liquidity. In Asia, Japan's power market and the Indian Energy Exchange (IEX) rely on day-ahead trading to manage generation and consumption effectively. The Southern African Power Pool (SAPP) uses day-ahead markets to enable cross-border trading among member countries, while Australia's AEMO integrates this mechanism to balance its diverse energy mix. These markets play a pivotal role in coordinating electricity trading in liberalized and interconnected systems worldwide</w:t>
            </w:r>
          </w:p>
        </w:tc>
      </w:tr>
    </w:tbl>
    <w:p w14:paraId="157D3AA9" w14:textId="77777777" w:rsidR="00F16823" w:rsidRDefault="00F16823" w:rsidP="002C4B62">
      <w:pPr>
        <w:rPr>
          <w:rFonts w:cs="Arial"/>
          <w:szCs w:val="22"/>
          <w:lang w:eastAsia="en-JM"/>
        </w:rPr>
      </w:pPr>
    </w:p>
    <w:p w14:paraId="2D584343" w14:textId="4423224C" w:rsidR="006A0F8B" w:rsidRPr="0019192F" w:rsidRDefault="006A0F8B" w:rsidP="006A0F8B">
      <w:pPr>
        <w:pStyle w:val="Heading3"/>
      </w:pPr>
      <w:r w:rsidRPr="006A0F8B">
        <w:t>Ancillary Services/Products</w:t>
      </w:r>
    </w:p>
    <w:p w14:paraId="6E8EF579" w14:textId="7EE426A3" w:rsidR="006842EC" w:rsidRDefault="006842EC" w:rsidP="006842EC">
      <w:pPr>
        <w:rPr>
          <w:rFonts w:cs="Arial"/>
          <w:szCs w:val="22"/>
          <w:lang w:eastAsia="en-JM"/>
        </w:rPr>
      </w:pPr>
      <w:r w:rsidRPr="006842EC">
        <w:rPr>
          <w:rFonts w:cs="Arial"/>
          <w:szCs w:val="22"/>
          <w:lang w:eastAsia="en-JM"/>
        </w:rPr>
        <w:t>Ancillary services are essential for the reliable and stable operation of power transmission and distribution systems and play a pivotal role in the setup of a regional power market. These services maintain grid stability by balancing supply and demand, ensuring voltage control, and providing flexibility to address contingencies or unexpected fluctuations. They are broadly categorized into frequency ancillary services, which stabilize grid frequency, and non-frequency ancillary services, which manage voltage levels and enable black-start capabilities for system recovery after outages.</w:t>
      </w:r>
      <w:r>
        <w:rPr>
          <w:rFonts w:cs="Arial"/>
          <w:szCs w:val="22"/>
          <w:lang w:eastAsia="en-JM"/>
        </w:rPr>
        <w:t xml:space="preserve"> </w:t>
      </w:r>
      <w:r w:rsidR="000B38FD" w:rsidRPr="000B38FD">
        <w:rPr>
          <w:rFonts w:cs="Arial"/>
          <w:szCs w:val="22"/>
          <w:lang w:eastAsia="en-JM"/>
        </w:rPr>
        <w:t>The increased deployment of V</w:t>
      </w:r>
      <w:r w:rsidR="00D707C1">
        <w:rPr>
          <w:rFonts w:cs="Arial"/>
          <w:szCs w:val="22"/>
          <w:lang w:eastAsia="en-JM"/>
        </w:rPr>
        <w:t xml:space="preserve">ariable </w:t>
      </w:r>
      <w:r w:rsidR="000B38FD" w:rsidRPr="000B38FD">
        <w:rPr>
          <w:rFonts w:cs="Arial"/>
          <w:szCs w:val="22"/>
          <w:lang w:eastAsia="en-JM"/>
        </w:rPr>
        <w:t>R</w:t>
      </w:r>
      <w:r w:rsidR="00D707C1">
        <w:rPr>
          <w:rFonts w:cs="Arial"/>
          <w:szCs w:val="22"/>
          <w:lang w:eastAsia="en-JM"/>
        </w:rPr>
        <w:t xml:space="preserve">enewable </w:t>
      </w:r>
      <w:r w:rsidR="000B38FD" w:rsidRPr="000B38FD">
        <w:rPr>
          <w:rFonts w:cs="Arial"/>
          <w:szCs w:val="22"/>
          <w:lang w:eastAsia="en-JM"/>
        </w:rPr>
        <w:t>E</w:t>
      </w:r>
      <w:r w:rsidR="00D707C1">
        <w:rPr>
          <w:rFonts w:cs="Arial"/>
          <w:szCs w:val="22"/>
          <w:lang w:eastAsia="en-JM"/>
        </w:rPr>
        <w:t>nergy (VRE)</w:t>
      </w:r>
      <w:r w:rsidR="000B38FD" w:rsidRPr="000B38FD">
        <w:rPr>
          <w:rFonts w:cs="Arial"/>
          <w:szCs w:val="22"/>
          <w:lang w:eastAsia="en-JM"/>
        </w:rPr>
        <w:t xml:space="preserve"> generation introduces variability and uncertainty into power system operations, making ancillary services even more critical. To address these challenges, TSOs </w:t>
      </w:r>
      <w:r w:rsidR="00D707C1">
        <w:rPr>
          <w:rFonts w:cs="Arial"/>
          <w:szCs w:val="22"/>
          <w:lang w:eastAsia="en-JM"/>
        </w:rPr>
        <w:t xml:space="preserve">typically </w:t>
      </w:r>
      <w:r w:rsidR="000B38FD" w:rsidRPr="000B38FD">
        <w:rPr>
          <w:rFonts w:cs="Arial"/>
          <w:szCs w:val="22"/>
          <w:lang w:eastAsia="en-JM"/>
        </w:rPr>
        <w:t>deploy flexible on-demand resources, including generation, storage technologies like batteries and pumped hydro, and demand-side response measures. These solutions help maintain grid reliability and security while integrating renewable energy sources effectively. Ancillary services are thus indispensable in modern power markets, particularly for supporting regional markets where diverse energy mixes and cross-border interconnections require robust mechanisms to ensure seamless and stable operations.</w:t>
      </w:r>
    </w:p>
    <w:p w14:paraId="2E193496" w14:textId="0C952F26" w:rsidR="006A0F8B" w:rsidRDefault="006842EC" w:rsidP="006842EC">
      <w:pPr>
        <w:rPr>
          <w:rFonts w:cs="Arial"/>
          <w:szCs w:val="22"/>
          <w:lang w:eastAsia="en-JM"/>
        </w:rPr>
      </w:pPr>
      <w:r w:rsidRPr="006842EC">
        <w:rPr>
          <w:rFonts w:cs="Arial"/>
          <w:szCs w:val="22"/>
          <w:lang w:eastAsia="en-JM"/>
        </w:rPr>
        <w:t xml:space="preserve">In the context of a regional power market, ancillary services are particularly critical for harmonizing operations across multiple interconnected grids with varying demand-supply dynamics. Transmission system operators (TSOs) procure these services from sources such as conventional generation assets, storage technologies like pumped hydro and batteries, and reactive power control equipment like synchronous compensators and capacitor banks. These services enable seamless cross-border electricity flows, help manage grid imbalances caused by fluctuating renewable energy </w:t>
      </w:r>
      <w:r w:rsidR="003F06F9" w:rsidRPr="006842EC">
        <w:rPr>
          <w:rFonts w:cs="Arial"/>
          <w:szCs w:val="22"/>
          <w:lang w:eastAsia="en-JM"/>
        </w:rPr>
        <w:t>sources and</w:t>
      </w:r>
      <w:r w:rsidRPr="006842EC">
        <w:rPr>
          <w:rFonts w:cs="Arial"/>
          <w:szCs w:val="22"/>
          <w:lang w:eastAsia="en-JM"/>
        </w:rPr>
        <w:t xml:space="preserve"> ensure the resilience of the interconnected system.</w:t>
      </w:r>
      <w:r w:rsidR="003F06F9">
        <w:rPr>
          <w:rFonts w:cs="Arial"/>
          <w:szCs w:val="22"/>
          <w:lang w:eastAsia="en-JM"/>
        </w:rPr>
        <w:t xml:space="preserve"> </w:t>
      </w:r>
      <w:r w:rsidRPr="006842EC">
        <w:rPr>
          <w:rFonts w:cs="Arial"/>
          <w:szCs w:val="22"/>
          <w:lang w:eastAsia="en-JM"/>
        </w:rPr>
        <w:t>By providing a framework for stability and reliability, ancillary services support the efficient functioning of regional power markets. They facilitate optimal resource utilization across borders, enhance market liquidity, and enable the integration of renewable energy while reducing the need for costly contingency measures. Their inclusion in regional market designs is therefore indispensable for achieving operational efficiency and long-term energy security.</w:t>
      </w:r>
    </w:p>
    <w:p w14:paraId="2889FF25" w14:textId="368CDA10" w:rsidR="00143F71" w:rsidRDefault="00143F71" w:rsidP="006842EC">
      <w:pPr>
        <w:rPr>
          <w:rFonts w:cs="Arial"/>
          <w:b/>
          <w:bCs/>
          <w:szCs w:val="22"/>
          <w:lang w:eastAsia="en-JM"/>
        </w:rPr>
      </w:pPr>
      <w:r w:rsidRPr="00143F71">
        <w:rPr>
          <w:rFonts w:cs="Arial"/>
          <w:b/>
          <w:bCs/>
          <w:szCs w:val="22"/>
          <w:lang w:eastAsia="en-JM"/>
        </w:rPr>
        <w:t>Key Features</w:t>
      </w:r>
    </w:p>
    <w:p w14:paraId="2A4268F6" w14:textId="5A14482D" w:rsidR="00143F71" w:rsidRDefault="00C93CFD" w:rsidP="008E21FA">
      <w:pPr>
        <w:pStyle w:val="ListParagraph"/>
        <w:numPr>
          <w:ilvl w:val="0"/>
          <w:numId w:val="36"/>
        </w:numPr>
        <w:rPr>
          <w:rFonts w:cs="Arial"/>
          <w:lang w:eastAsia="en-JM"/>
        </w:rPr>
      </w:pPr>
      <w:r w:rsidRPr="000611C9">
        <w:rPr>
          <w:rFonts w:cs="Arial"/>
          <w:b/>
          <w:bCs/>
          <w:lang w:eastAsia="en-JM"/>
        </w:rPr>
        <w:t>Regulation and Contingency Reserves</w:t>
      </w:r>
      <w:r w:rsidR="000611C9" w:rsidRPr="000611C9">
        <w:rPr>
          <w:rFonts w:cs="Arial"/>
          <w:b/>
          <w:bCs/>
          <w:lang w:eastAsia="en-JM"/>
        </w:rPr>
        <w:t xml:space="preserve">: </w:t>
      </w:r>
      <w:r w:rsidR="000611C9" w:rsidRPr="000611C9">
        <w:rPr>
          <w:rFonts w:cs="Arial"/>
          <w:lang w:eastAsia="en-JM"/>
        </w:rPr>
        <w:t>Power markets like those in the U.S. and Australia run energy auctions every five minutes, but grid balancing often requires faster responses, within seconds. To manage unexpected changes in generation or demand between market intervals, system operators procure standby services, such as "raise" or "lower" services in Australia, which are auctioned every five minutes alongside the main market. Generators can choose to bid for energy dispatch or standby services.</w:t>
      </w:r>
      <w:r w:rsidR="00A15520">
        <w:rPr>
          <w:rFonts w:cs="Arial"/>
          <w:lang w:eastAsia="en-JM"/>
        </w:rPr>
        <w:t xml:space="preserve"> </w:t>
      </w:r>
      <w:r w:rsidR="000611C9" w:rsidRPr="00A15520">
        <w:rPr>
          <w:rFonts w:cs="Arial"/>
          <w:lang w:eastAsia="en-JM"/>
        </w:rPr>
        <w:t>Different reserves, like primary (responding within 15 seconds), secondary (30 seconds), and tertiary (15 minutes), cater to varying balancing needs, as seen in European markets. The rise of intermittent renewables like solar and wind, which lack inertia, increases the demand for fast-response reserves. Specialized submarkets for quick-response services, supported by hydro reservoirs and batteries, are becoming crucial to maintaining grid stability.</w:t>
      </w:r>
    </w:p>
    <w:p w14:paraId="45217FBF" w14:textId="03F6D43F" w:rsidR="00A15520" w:rsidRDefault="00F12CAF" w:rsidP="008E21FA">
      <w:pPr>
        <w:pStyle w:val="ListParagraph"/>
        <w:numPr>
          <w:ilvl w:val="0"/>
          <w:numId w:val="36"/>
        </w:numPr>
        <w:rPr>
          <w:rFonts w:cs="Arial"/>
          <w:lang w:eastAsia="en-JM"/>
        </w:rPr>
      </w:pPr>
      <w:r>
        <w:rPr>
          <w:rFonts w:cs="Arial"/>
          <w:b/>
          <w:bCs/>
          <w:lang w:eastAsia="en-JM"/>
        </w:rPr>
        <w:t>System Stability</w:t>
      </w:r>
      <w:r w:rsidR="001F198B" w:rsidRPr="000611C9">
        <w:rPr>
          <w:rFonts w:cs="Arial"/>
          <w:b/>
          <w:bCs/>
          <w:lang w:eastAsia="en-JM"/>
        </w:rPr>
        <w:t xml:space="preserve">: </w:t>
      </w:r>
      <w:r w:rsidRPr="00F12CAF">
        <w:rPr>
          <w:rFonts w:cs="Arial"/>
          <w:lang w:eastAsia="en-JM"/>
        </w:rPr>
        <w:t>System operators are responsible for ensuring system stability, which is crucial for preventing grid collapse. They may rely on components like capacitors and inductors to control reactive power, which helps maintain voltage stability and prevent phase differences that could lead to failures. Operators may also call on generators to offset sudden outages or demand surges to avoid cascading collapses. As long as the system remains stable, electricity prices reflect the efficient dispatch of generation. However, during a collapse, there is no price for electricity.</w:t>
      </w:r>
      <w:r>
        <w:rPr>
          <w:rFonts w:cs="Arial"/>
          <w:lang w:eastAsia="en-JM"/>
        </w:rPr>
        <w:t xml:space="preserve"> </w:t>
      </w:r>
      <w:r w:rsidRPr="00F12CAF">
        <w:rPr>
          <w:rFonts w:cs="Arial"/>
          <w:lang w:eastAsia="en-JM"/>
        </w:rPr>
        <w:t xml:space="preserve">The provision of stability services is often competitively contracted, funded by levies on market participants, which may be implicit. System operators can direct generators to provide these services without direct payment, making it a cost of doing </w:t>
      </w:r>
      <w:proofErr w:type="gramStart"/>
      <w:r w:rsidRPr="00F12CAF">
        <w:rPr>
          <w:rFonts w:cs="Arial"/>
          <w:lang w:eastAsia="en-JM"/>
        </w:rPr>
        <w:t>business,</w:t>
      </w:r>
      <w:proofErr w:type="gramEnd"/>
      <w:r w:rsidRPr="00F12CAF">
        <w:rPr>
          <w:rFonts w:cs="Arial"/>
          <w:lang w:eastAsia="en-JM"/>
        </w:rPr>
        <w:t xml:space="preserve"> ultimately borne by end users.</w:t>
      </w:r>
    </w:p>
    <w:p w14:paraId="1D5311BF" w14:textId="233613C0" w:rsidR="001F178D" w:rsidRDefault="002B6E24" w:rsidP="008E21FA">
      <w:pPr>
        <w:pStyle w:val="ListParagraph"/>
        <w:numPr>
          <w:ilvl w:val="0"/>
          <w:numId w:val="36"/>
        </w:numPr>
        <w:rPr>
          <w:rFonts w:cs="Arial"/>
          <w:lang w:eastAsia="en-JM"/>
        </w:rPr>
      </w:pPr>
      <w:r w:rsidRPr="002B6E24">
        <w:rPr>
          <w:rFonts w:cs="Arial"/>
          <w:b/>
          <w:bCs/>
          <w:lang w:eastAsia="en-JM"/>
        </w:rPr>
        <w:t>Procurement of Ancillary Services and Co-Optimization</w:t>
      </w:r>
      <w:r w:rsidR="00920BA8" w:rsidRPr="000611C9">
        <w:rPr>
          <w:rFonts w:cs="Arial"/>
          <w:b/>
          <w:bCs/>
          <w:lang w:eastAsia="en-JM"/>
        </w:rPr>
        <w:t xml:space="preserve">: </w:t>
      </w:r>
      <w:r w:rsidR="002A2405" w:rsidRPr="002A2405">
        <w:rPr>
          <w:rFonts w:cs="Arial"/>
          <w:lang w:eastAsia="en-JM"/>
        </w:rPr>
        <w:t>In power markets, generators are compensated not only for energy or capacity but also for ancillary services. When evaluating investment decisions, it is essential for market participants to consider all payment streams, including those from ancillary services. These services can be procured through auctions, negotiated agreements, or independent purchases, such as strategic reserves held by system operators. While ancillary services are ultimately funded by consumers through levies, regulation and contingency services should ideally be procured in a way that allows for co-optimization with energy market decisions. For example, simultaneous auctions for standby capacity and energy, as practiced in Australia, help integrate ancillary services efficiently into the broader market, enhancing system reliability and operational efficiency in regional power markets.</w:t>
      </w:r>
    </w:p>
    <w:p w14:paraId="49F3F64D" w14:textId="549BDACD" w:rsidR="00E34B22" w:rsidRDefault="009F61E0" w:rsidP="00E34B22">
      <w:pPr>
        <w:rPr>
          <w:rFonts w:cs="Arial"/>
          <w:b/>
          <w:bCs/>
          <w:lang w:eastAsia="en-JM"/>
        </w:rPr>
      </w:pPr>
      <w:r>
        <w:rPr>
          <w:rFonts w:cs="Arial"/>
          <w:b/>
          <w:bCs/>
          <w:lang w:eastAsia="en-JM"/>
        </w:rPr>
        <w:t xml:space="preserve">New </w:t>
      </w:r>
      <w:r w:rsidR="008F76FB" w:rsidRPr="008F76FB">
        <w:rPr>
          <w:rFonts w:cs="Arial"/>
          <w:b/>
          <w:bCs/>
          <w:lang w:eastAsia="en-JM"/>
        </w:rPr>
        <w:t>Ancillary Services</w:t>
      </w:r>
      <w:r>
        <w:rPr>
          <w:rFonts w:cs="Arial"/>
          <w:b/>
          <w:bCs/>
          <w:lang w:eastAsia="en-JM"/>
        </w:rPr>
        <w:t>/ Products</w:t>
      </w:r>
    </w:p>
    <w:p w14:paraId="317B58D6" w14:textId="6460D5B5" w:rsidR="008F76FB" w:rsidRPr="004D5177" w:rsidRDefault="0056785E" w:rsidP="008E21FA">
      <w:pPr>
        <w:pStyle w:val="ListParagraph"/>
        <w:numPr>
          <w:ilvl w:val="0"/>
          <w:numId w:val="37"/>
        </w:numPr>
        <w:rPr>
          <w:rFonts w:cs="Arial"/>
          <w:b/>
          <w:bCs/>
          <w:lang w:eastAsia="en-JM"/>
        </w:rPr>
      </w:pPr>
      <w:r w:rsidRPr="0056785E">
        <w:rPr>
          <w:rFonts w:cs="Arial"/>
          <w:b/>
          <w:bCs/>
          <w:lang w:eastAsia="en-JM"/>
        </w:rPr>
        <w:t>Ramping products</w:t>
      </w:r>
      <w:r>
        <w:rPr>
          <w:rFonts w:cs="Arial"/>
          <w:b/>
          <w:bCs/>
          <w:lang w:eastAsia="en-JM"/>
        </w:rPr>
        <w:t xml:space="preserve"> - </w:t>
      </w:r>
      <w:r w:rsidR="009F61E0" w:rsidRPr="009F61E0">
        <w:rPr>
          <w:rFonts w:cs="Arial"/>
          <w:lang w:eastAsia="en-JM"/>
        </w:rPr>
        <w:t>The rise in Variable Renewable Energy (VRE) generation causes increased volatility in the net load curve, creating a need for fast ramping capabilities to maintain system stability. Conventional generation, typically used to manage these ramping requirements, may be displaced by VRE and is increasingly relied upon for backup power. When ramping is procured through energy markets without being identified as a separate ancillary service, it can lead to price distortions, as steep ramping requirements drive up market prices. To mitigate this, balancing markets can introduce specific ramping or flexibility products. For instance, the California Independent System Operator (CAISO) implemented Flexible Ramp Up and Flexible Ramp Down products to procure ramping capabilities in 5- and 15-minute intervals. These products allow any resource capable of providing the required ramping to participate, and compensation is based on the opportunity cost of not providing other services. This approach helps reduce price spikes associated with ramping shortfalls, increases the availability of fast ramping capacity, and ensures a more efficient balancing of the system.</w:t>
      </w:r>
    </w:p>
    <w:p w14:paraId="54FD3E7D" w14:textId="2D4ECA5B" w:rsidR="004D5177" w:rsidRPr="002B56FC" w:rsidRDefault="003D1F5D" w:rsidP="008E21FA">
      <w:pPr>
        <w:pStyle w:val="ListParagraph"/>
        <w:numPr>
          <w:ilvl w:val="0"/>
          <w:numId w:val="37"/>
        </w:numPr>
        <w:rPr>
          <w:rFonts w:cs="Arial"/>
          <w:b/>
          <w:bCs/>
          <w:lang w:eastAsia="en-JM"/>
        </w:rPr>
      </w:pPr>
      <w:r w:rsidRPr="003D1F5D">
        <w:rPr>
          <w:rFonts w:cs="Arial"/>
          <w:b/>
          <w:bCs/>
          <w:lang w:eastAsia="en-JM"/>
        </w:rPr>
        <w:t>Fast frequency response provided by batteries</w:t>
      </w:r>
      <w:r>
        <w:rPr>
          <w:rFonts w:cs="Arial"/>
          <w:b/>
          <w:bCs/>
          <w:lang w:eastAsia="en-JM"/>
        </w:rPr>
        <w:t xml:space="preserve"> - </w:t>
      </w:r>
      <w:r w:rsidR="00DF1EFA" w:rsidRPr="00DF1EFA">
        <w:rPr>
          <w:rFonts w:cs="Arial"/>
          <w:lang w:eastAsia="en-JM"/>
        </w:rPr>
        <w:t xml:space="preserve">Grid frequency stability is essential for secure system operation, and sudden fluctuations in demand and supply can cause frequency deviations, threatening system reliability. Traditionally, conventional generators provided quick frequency response through autonomous governor control, but with the increasing share of VRE, this response may not suffice. Batteries, due to their rapid response times, are now increasingly used to provide fast frequency response and balancing services. As battery storage technology costs decrease, it is becoming more common for system operators to deploy batteries for frequency regulation. For example, National Grid in the UK created an ancillary service product to procure fast frequency reserves, contracting battery storage facilities for sub-second response services. In South Australia, the </w:t>
      </w:r>
      <w:proofErr w:type="spellStart"/>
      <w:r w:rsidR="00DF1EFA" w:rsidRPr="00DF1EFA">
        <w:rPr>
          <w:rFonts w:cs="Arial"/>
          <w:lang w:eastAsia="en-JM"/>
        </w:rPr>
        <w:t>Hornsdale</w:t>
      </w:r>
      <w:proofErr w:type="spellEnd"/>
      <w:r w:rsidR="00DF1EFA" w:rsidRPr="00DF1EFA">
        <w:rPr>
          <w:rFonts w:cs="Arial"/>
          <w:lang w:eastAsia="en-JM"/>
        </w:rPr>
        <w:t xml:space="preserve"> Power Reserve, a 100 MW/129 MWh lithium-ion battery, has significantly reduced the cost of frequency ancillary services. In Japan, large solar PV projects like the 38 MW </w:t>
      </w:r>
      <w:proofErr w:type="spellStart"/>
      <w:r w:rsidR="00DF1EFA" w:rsidRPr="00DF1EFA">
        <w:rPr>
          <w:rFonts w:cs="Arial"/>
          <w:lang w:eastAsia="en-JM"/>
        </w:rPr>
        <w:t>Tomakomai</w:t>
      </w:r>
      <w:proofErr w:type="spellEnd"/>
      <w:r w:rsidR="00DF1EFA" w:rsidRPr="00DF1EFA">
        <w:rPr>
          <w:rFonts w:cs="Arial"/>
          <w:lang w:eastAsia="en-JM"/>
        </w:rPr>
        <w:t xml:space="preserve"> project have incorporated battery storage to meet local frequency requirements. These developments highlight the growing role of batteries in ensuring grid stability while reducing costs associated with traditional frequency response mechanisms</w:t>
      </w:r>
      <w:r w:rsidR="00B918A5">
        <w:rPr>
          <w:rStyle w:val="FootnoteReference"/>
          <w:lang w:eastAsia="en-JM"/>
        </w:rPr>
        <w:footnoteReference w:id="33"/>
      </w:r>
      <w:r w:rsidR="00DF1EFA" w:rsidRPr="00DF1EFA">
        <w:rPr>
          <w:rFonts w:cs="Arial"/>
          <w:lang w:eastAsia="en-JM"/>
        </w:rPr>
        <w:t>.</w:t>
      </w:r>
    </w:p>
    <w:p w14:paraId="735397A3" w14:textId="5235581D" w:rsidR="002B56FC" w:rsidRDefault="00BE0E30" w:rsidP="00BE0E30">
      <w:pPr>
        <w:rPr>
          <w:rFonts w:cs="Arial"/>
          <w:b/>
          <w:bCs/>
          <w:lang w:eastAsia="en-JM"/>
        </w:rPr>
      </w:pPr>
      <w:r w:rsidRPr="00BE0E30">
        <w:rPr>
          <w:rFonts w:cs="Arial"/>
          <w:b/>
          <w:bCs/>
          <w:lang w:eastAsia="en-JM"/>
        </w:rPr>
        <w:t>New market participants providing ancillary services</w:t>
      </w:r>
    </w:p>
    <w:p w14:paraId="134D1A4D" w14:textId="79D4108C" w:rsidR="00BE0E30" w:rsidRDefault="00BE40A5" w:rsidP="008E21FA">
      <w:pPr>
        <w:pStyle w:val="ListParagraph"/>
        <w:numPr>
          <w:ilvl w:val="0"/>
          <w:numId w:val="38"/>
        </w:numPr>
        <w:rPr>
          <w:rFonts w:cs="Arial"/>
          <w:lang w:eastAsia="en-JM"/>
        </w:rPr>
      </w:pPr>
      <w:r w:rsidRPr="00BE40A5">
        <w:rPr>
          <w:rFonts w:cs="Arial"/>
          <w:b/>
          <w:bCs/>
          <w:lang w:eastAsia="en-JM"/>
        </w:rPr>
        <w:t>Wind turbines providing inertial response</w:t>
      </w:r>
      <w:r>
        <w:rPr>
          <w:rFonts w:cs="Arial"/>
          <w:b/>
          <w:bCs/>
          <w:lang w:eastAsia="en-JM"/>
        </w:rPr>
        <w:t xml:space="preserve"> - </w:t>
      </w:r>
      <w:r w:rsidR="00654594" w:rsidRPr="00654594">
        <w:rPr>
          <w:rFonts w:cs="Arial"/>
          <w:lang w:eastAsia="en-JM"/>
        </w:rPr>
        <w:t xml:space="preserve">Inertial response traditionally comes from large thermal generators and hydropower plants, where synchronous generators adjust their speed to overcome frequency disturbances. This rapid response is a key element for maintaining grid stability. However, with the increasing integration of Variable Renewable Energy (VRE), such as wind and solar, these resources have generally been </w:t>
      </w:r>
      <w:proofErr w:type="gramStart"/>
      <w:r w:rsidR="00654594" w:rsidRPr="00654594">
        <w:rPr>
          <w:rFonts w:cs="Arial"/>
          <w:lang w:eastAsia="en-JM"/>
        </w:rPr>
        <w:t>exempt</w:t>
      </w:r>
      <w:proofErr w:type="gramEnd"/>
      <w:r w:rsidR="00654594" w:rsidRPr="00654594">
        <w:rPr>
          <w:rFonts w:cs="Arial"/>
          <w:lang w:eastAsia="en-JM"/>
        </w:rPr>
        <w:t xml:space="preserve"> from balancing responsibilities. Wind turbines, particularly those connected via power electronic converters, can provide "synthetic inertia" to help stabilize frequency during disturbances. During frequency surges, turbines can reduce generation, while during frequency drops, they can utilize their kinetic energy to increase output. This response is achieved by adjusting turbine blade angles or applying retarding torque. For instance, Hydro-Québec </w:t>
      </w:r>
      <w:proofErr w:type="spellStart"/>
      <w:r w:rsidR="00654594" w:rsidRPr="00654594">
        <w:rPr>
          <w:rFonts w:cs="Arial"/>
          <w:lang w:eastAsia="en-JM"/>
        </w:rPr>
        <w:t>TransÉnergie</w:t>
      </w:r>
      <w:proofErr w:type="spellEnd"/>
      <w:r w:rsidR="00654594" w:rsidRPr="00654594">
        <w:rPr>
          <w:rFonts w:cs="Arial"/>
          <w:lang w:eastAsia="en-JM"/>
        </w:rPr>
        <w:t xml:space="preserve"> in Canada required wind turbines to provide inertia emulation in its 2,000 MW wind energy procurement tender. The ability of wind turbines to deliver inertial response provides an opportunity to enhance grid stability, though it requires policy adjustments and system upgrades, such as specific grid codes and service procurement mechanisms, to fully leverage this potential</w:t>
      </w:r>
    </w:p>
    <w:p w14:paraId="7E27E71C" w14:textId="6C1EECD2" w:rsidR="0022152A" w:rsidRDefault="00BC15F7" w:rsidP="008E21FA">
      <w:pPr>
        <w:pStyle w:val="ListParagraph"/>
        <w:numPr>
          <w:ilvl w:val="0"/>
          <w:numId w:val="38"/>
        </w:numPr>
        <w:rPr>
          <w:rFonts w:cs="Arial"/>
          <w:lang w:eastAsia="en-JM"/>
        </w:rPr>
      </w:pPr>
      <w:r w:rsidRPr="00BC15F7">
        <w:rPr>
          <w:rFonts w:cs="Arial"/>
          <w:b/>
          <w:bCs/>
          <w:lang w:eastAsia="en-JM"/>
        </w:rPr>
        <w:t xml:space="preserve">Solar PV power plants and utility-scale storage </w:t>
      </w:r>
      <w:proofErr w:type="gramStart"/>
      <w:r w:rsidRPr="00BC15F7">
        <w:rPr>
          <w:rFonts w:cs="Arial"/>
          <w:b/>
          <w:bCs/>
          <w:lang w:eastAsia="en-JM"/>
        </w:rPr>
        <w:t>providing</w:t>
      </w:r>
      <w:proofErr w:type="gramEnd"/>
      <w:r w:rsidRPr="00BC15F7">
        <w:rPr>
          <w:rFonts w:cs="Arial"/>
          <w:b/>
          <w:bCs/>
          <w:lang w:eastAsia="en-JM"/>
        </w:rPr>
        <w:t xml:space="preserve"> reactive power</w:t>
      </w:r>
      <w:r w:rsidR="0022152A">
        <w:rPr>
          <w:rFonts w:cs="Arial"/>
          <w:b/>
          <w:bCs/>
          <w:lang w:eastAsia="en-JM"/>
        </w:rPr>
        <w:t xml:space="preserve"> -</w:t>
      </w:r>
      <w:r w:rsidR="0022152A">
        <w:rPr>
          <w:rFonts w:cs="Arial"/>
          <w:lang w:eastAsia="en-JM"/>
        </w:rPr>
        <w:t xml:space="preserve"> </w:t>
      </w:r>
      <w:r w:rsidR="0022152A" w:rsidRPr="0022152A">
        <w:rPr>
          <w:rFonts w:cs="Arial"/>
          <w:lang w:eastAsia="en-JM"/>
        </w:rPr>
        <w:t>Reactive power is essential for maintaining voltage levels within prescribed limits in the power system. However, transmitting reactive power over long distances can lead to issues such as voltage fluctuations and increased losses, necessitating its provision from nearby sources. Traditionally, this has posed challenges for market mechanisms due to limited local sources. However, solar PV power plants and utility-scale storage, which connect to the grid via inverters, can offer reactive power support. This capability is particularly valuable in areas where renewable energy sources like solar and wind are located far from load centers, often linked to weak networks. To ensure these assets contribute effectively to reactive power control, appropriate grid codes and connection requirements must be in place. These measures may involve slight increases in capital expenditure for generators but can guide investment decisions. Additionally, separate procurement mechanisms for reactive power, though less common, could help incentivize its provision and enhance system stability.</w:t>
      </w:r>
    </w:p>
    <w:p w14:paraId="7A121929" w14:textId="371A2316" w:rsidR="00D87628" w:rsidRDefault="00D87628" w:rsidP="008E21FA">
      <w:pPr>
        <w:pStyle w:val="ListParagraph"/>
        <w:numPr>
          <w:ilvl w:val="0"/>
          <w:numId w:val="38"/>
        </w:numPr>
        <w:rPr>
          <w:rFonts w:cs="Arial"/>
          <w:lang w:eastAsia="en-JM"/>
        </w:rPr>
      </w:pPr>
      <w:r w:rsidRPr="00205C53">
        <w:rPr>
          <w:rFonts w:cs="Arial"/>
          <w:b/>
          <w:bCs/>
          <w:lang w:eastAsia="en-JM"/>
        </w:rPr>
        <w:t>Distributed Energy Resources</w:t>
      </w:r>
      <w:r w:rsidRPr="00205C53">
        <w:rPr>
          <w:rFonts w:cs="Arial"/>
          <w:b/>
          <w:bCs/>
          <w:lang w:eastAsia="en-JM"/>
        </w:rPr>
        <w:t xml:space="preserve"> -</w:t>
      </w:r>
      <w:r>
        <w:rPr>
          <w:rFonts w:cs="Arial"/>
          <w:lang w:eastAsia="en-JM"/>
        </w:rPr>
        <w:t xml:space="preserve"> </w:t>
      </w:r>
      <w:r w:rsidR="00205C53" w:rsidRPr="00205C53">
        <w:rPr>
          <w:rFonts w:cs="Arial"/>
          <w:lang w:eastAsia="en-JM"/>
        </w:rPr>
        <w:t>Distributed Energy Resources (DERs), such as rooftop solar, behind-the-meter battery storage, plug-in electric vehicles, and commercial or industrial loads, can provide ancillary services to system operators through price-based incentives, also known as "explicit demand response." By increasing market liquidity and competition, DERs can help reduce ancillary service procurement costs. Depending on the market design, DERs may participate independently or through aggregators or retailers. For example, the New York Independent System Operator (NYISO) has proposed allowing DERs to participate in wholesale and ancillary service markets, including capacity reserve and regulation service markets. Additionally, DERs can engage in local flexibility markets, which help system operators address grid congestion and other issues. While DERs offer significant benefits, their integration into the distribution network may raise concerns regarding stability and reliability. As a result, decentralized management by Distribution System Operators (DSOs) is becoming more appealing, especially to address challenges such as voltage regulation, power quality, and network congestion caused by increased distributed generation.</w:t>
      </w:r>
    </w:p>
    <w:tbl>
      <w:tblPr>
        <w:tblStyle w:val="TableGrid"/>
        <w:tblW w:w="0" w:type="auto"/>
        <w:shd w:val="clear" w:color="auto" w:fill="E2F3FA" w:themeFill="accent5" w:themeFillTint="33"/>
        <w:tblLook w:val="04A0" w:firstRow="1" w:lastRow="0" w:firstColumn="1" w:lastColumn="0" w:noHBand="0" w:noVBand="1"/>
      </w:tblPr>
      <w:tblGrid>
        <w:gridCol w:w="9350"/>
      </w:tblGrid>
      <w:tr w:rsidR="00825D9B" w14:paraId="52DE6E2E" w14:textId="77777777" w:rsidTr="00B80AC0">
        <w:tc>
          <w:tcPr>
            <w:tcW w:w="9350" w:type="dxa"/>
            <w:shd w:val="clear" w:color="auto" w:fill="E2F3FA" w:themeFill="accent5" w:themeFillTint="33"/>
          </w:tcPr>
          <w:p w14:paraId="1D8A37C4" w14:textId="77777777" w:rsidR="00825D9B" w:rsidRPr="00B80AC0" w:rsidRDefault="00825D9B" w:rsidP="00825D9B">
            <w:pPr>
              <w:rPr>
                <w:rFonts w:cs="Arial"/>
                <w:b/>
                <w:bCs/>
                <w:lang w:eastAsia="en-JM"/>
              </w:rPr>
            </w:pPr>
            <w:r w:rsidRPr="00B80AC0">
              <w:rPr>
                <w:rFonts w:cs="Arial"/>
                <w:b/>
                <w:bCs/>
                <w:lang w:eastAsia="en-JM"/>
              </w:rPr>
              <w:t>Use Cases:</w:t>
            </w:r>
          </w:p>
          <w:p w14:paraId="2D5FE4EF" w14:textId="2611A9C6" w:rsidR="00825D9B" w:rsidRDefault="00B80AC0" w:rsidP="00825D9B">
            <w:pPr>
              <w:rPr>
                <w:rFonts w:cs="Arial"/>
                <w:lang w:eastAsia="en-JM"/>
              </w:rPr>
            </w:pPr>
            <w:r w:rsidRPr="00B80AC0">
              <w:rPr>
                <w:rFonts w:cs="Arial"/>
                <w:lang w:eastAsia="en-JM"/>
              </w:rPr>
              <w:t xml:space="preserve">Ancillary services are critical in ensuring the stability and reliability of power systems, especially as renewable energy sources like wind and solar increase their share in the energy mix. In the European Union, the European Network of Transmission System Operators for Electricity (ENTSO-E) enables the procurement of various ancillary services, such as primary, secondary, and tertiary reserves, through its integrated electricity market. These services are crucial for frequency control across interconnected grids, allowing for efficient renewable energy integration. In the United States, the California Independent System Operator (CAISO) introduced the Flexible Ramp Up and Flexible Ramp Down Uncertainty Awards in 2016, targeting fast response services from batteries due to rapid fluctuations in net load caused by variable renewables. Similarly, Australia’s National Electricity Market (NEM) runs auctions for regulation and contingency reserves, where power plants bid for standby services, enhancing system flexibility and enabling better integration of renewables. The United Kingdom has implemented the Enhanced Frequency Response (EFR) product, allowing battery storage systems to provide sub-second response services for frequency regulation, significantly lowering service costs. In Japan, projects like the </w:t>
            </w:r>
            <w:proofErr w:type="spellStart"/>
            <w:r w:rsidRPr="00B80AC0">
              <w:rPr>
                <w:rFonts w:cs="Arial"/>
                <w:lang w:eastAsia="en-JM"/>
              </w:rPr>
              <w:t>Tomakomai</w:t>
            </w:r>
            <w:proofErr w:type="spellEnd"/>
            <w:r w:rsidRPr="00B80AC0">
              <w:rPr>
                <w:rFonts w:cs="Arial"/>
                <w:lang w:eastAsia="en-JM"/>
              </w:rPr>
              <w:t xml:space="preserve"> Solar PV system with battery storage contribute to grid stability by providing reactive power and frequency regulation. Meanwhile, in New York, the New York Independent System Operator (NYISO) has developed a market framework to allow Distributed Energy Resources (DERs) such as rooftop solar, battery storage, and demand response to participate in ancillary service markets, increasing competition and lowering procurement costs. Lastly, in the Nordic electricity market, hydropower plants and wind turbines play a key role in offering frequency and voltage regulation services, with wind turbines providing synthetic inertia to maintain system stability.</w:t>
            </w:r>
          </w:p>
        </w:tc>
      </w:tr>
    </w:tbl>
    <w:p w14:paraId="3655DF34" w14:textId="77777777" w:rsidR="00825D9B" w:rsidRDefault="00825D9B" w:rsidP="00825D9B">
      <w:pPr>
        <w:rPr>
          <w:rFonts w:cs="Arial"/>
          <w:lang w:eastAsia="en-JM"/>
        </w:rPr>
      </w:pPr>
    </w:p>
    <w:p w14:paraId="5D7421E6" w14:textId="413912A4" w:rsidR="006A0F8B" w:rsidRPr="0019192F" w:rsidRDefault="006A0F8B" w:rsidP="006A0F8B">
      <w:pPr>
        <w:pStyle w:val="Heading3"/>
      </w:pPr>
      <w:r>
        <w:t>Derivatives</w:t>
      </w:r>
    </w:p>
    <w:p w14:paraId="13707CE5" w14:textId="1FC0652A" w:rsidR="006A0F8B" w:rsidRDefault="0016459F" w:rsidP="00C45798">
      <w:pPr>
        <w:spacing w:after="0"/>
        <w:rPr>
          <w:rFonts w:cs="Arial"/>
          <w:szCs w:val="22"/>
          <w:lang w:eastAsia="en-JM"/>
        </w:rPr>
      </w:pPr>
      <w:r w:rsidRPr="0016459F">
        <w:rPr>
          <w:rFonts w:cs="Arial"/>
          <w:szCs w:val="22"/>
          <w:lang w:eastAsia="en-JM"/>
        </w:rPr>
        <w:t>Derivative trading in the energy market is a vital tool for managing price volatility, which can result from factors such as weather conditions, fuel price fluctuations, system outages, and variability in renewable energy generation. Electricity derivatives, financial instruments tied to underlying electricity prices, enable market participants to hedge against these risks. These instruments not only provide a means to mitigate the effects of price instability but also offer opportunities for both risk management and speculative trading. The European Energy Exchange (EEX) exemplifies a model where electricity derivatives are traded alongside physical electricity, allowing participants to optimize their exposure to price fluctuations. In contrast, markets like the Intercontinental Exchange (ICE) and Singapore Exchange (SGX) operate separate platforms for electricity and derivatives, each providing distinct advantages for price discovery and risk management. These market structures enhance the overall efficiency and stability of global electricity markets. A derivatives exchange focuses on the future delivery of electricity, with companies using it to hedge against price-related risks. Contracts typically involve an agreed-upon amount of electricity at a set price for a specific period, ranging from months to years, without the physical transfer of electricity</w:t>
      </w:r>
      <w:r w:rsidR="005969AB">
        <w:rPr>
          <w:rFonts w:cs="Arial"/>
          <w:szCs w:val="22"/>
          <w:lang w:eastAsia="en-JM"/>
        </w:rPr>
        <w:t xml:space="preserve">, but only through </w:t>
      </w:r>
      <w:r w:rsidRPr="0016459F">
        <w:rPr>
          <w:rFonts w:cs="Arial"/>
          <w:szCs w:val="22"/>
          <w:lang w:eastAsia="en-JM"/>
        </w:rPr>
        <w:t>financial settlements. The NASDAQ Commodities exchange is the leading derivatives exchange in the Nordic region.</w:t>
      </w:r>
    </w:p>
    <w:p w14:paraId="1320346A" w14:textId="77777777" w:rsidR="005969AB" w:rsidRDefault="005969AB" w:rsidP="00C45798">
      <w:pPr>
        <w:spacing w:after="0"/>
        <w:rPr>
          <w:rFonts w:cs="Arial"/>
          <w:szCs w:val="22"/>
          <w:lang w:eastAsia="en-JM"/>
        </w:rPr>
      </w:pPr>
    </w:p>
    <w:p w14:paraId="64D7745D" w14:textId="794276B4" w:rsidR="005969AB" w:rsidRDefault="005969AB" w:rsidP="005969AB">
      <w:pPr>
        <w:rPr>
          <w:rFonts w:cs="Arial"/>
          <w:b/>
          <w:bCs/>
          <w:lang w:eastAsia="en-JM"/>
        </w:rPr>
      </w:pPr>
      <w:r>
        <w:rPr>
          <w:rFonts w:cs="Arial"/>
          <w:b/>
          <w:bCs/>
          <w:lang w:eastAsia="en-JM"/>
        </w:rPr>
        <w:t>Working Principle</w:t>
      </w:r>
      <w:r w:rsidR="0069531B">
        <w:rPr>
          <w:rFonts w:cs="Arial"/>
          <w:b/>
          <w:bCs/>
          <w:lang w:eastAsia="en-JM"/>
        </w:rPr>
        <w:t>s</w:t>
      </w:r>
    </w:p>
    <w:p w14:paraId="3F625F57" w14:textId="0948162C" w:rsidR="00AB33F6" w:rsidRPr="00AB33F6" w:rsidRDefault="00AB33F6" w:rsidP="00AB33F6">
      <w:pPr>
        <w:spacing w:after="0"/>
        <w:rPr>
          <w:rFonts w:cs="Arial"/>
          <w:lang w:eastAsia="en-JM"/>
        </w:rPr>
      </w:pPr>
      <w:r w:rsidRPr="00AB33F6">
        <w:rPr>
          <w:rFonts w:cs="Arial"/>
          <w:lang w:eastAsia="en-JM"/>
        </w:rPr>
        <w:t>An electricity derivatives market enables consumers and producers to manage future electricity price risks by locking in prices for upcoming months or years. The market operates as a continuous auction, where buyers and sellers meet to establish the market price through bids and offers. This process ensures price transparency and helps participants gauge the future price level.</w:t>
      </w:r>
      <w:r>
        <w:rPr>
          <w:rFonts w:cs="Arial"/>
          <w:lang w:eastAsia="en-JM"/>
        </w:rPr>
        <w:t xml:space="preserve"> </w:t>
      </w:r>
      <w:r w:rsidRPr="00AB33F6">
        <w:rPr>
          <w:rFonts w:cs="Arial"/>
          <w:lang w:eastAsia="en-JM"/>
        </w:rPr>
        <w:t>One of the main challenges of derivative trading is the financial commitment involved. To participate, companies must have sufficient capital (cash or collateral) from the outset and the capacity to handle daily reporting and financial transactions. As a result, exchange members typically include major companies, banks, and firms specializing in exchange trading.</w:t>
      </w:r>
    </w:p>
    <w:p w14:paraId="3BF06C24" w14:textId="77777777" w:rsidR="00AB33F6" w:rsidRPr="00AB33F6" w:rsidRDefault="00AB33F6" w:rsidP="00AB33F6">
      <w:pPr>
        <w:spacing w:after="0"/>
        <w:rPr>
          <w:rFonts w:cs="Arial"/>
          <w:lang w:eastAsia="en-JM"/>
        </w:rPr>
      </w:pPr>
    </w:p>
    <w:p w14:paraId="7C6261FB" w14:textId="11716B43" w:rsidR="005969AB" w:rsidRDefault="00AB33F6" w:rsidP="00AB33F6">
      <w:pPr>
        <w:spacing w:after="0"/>
        <w:rPr>
          <w:rFonts w:ascii="Arial Bold" w:hAnsi="Arial Bold" w:cs="Arial"/>
          <w:b/>
          <w:color w:val="002776" w:themeColor="accent1"/>
          <w:sz w:val="28"/>
        </w:rPr>
      </w:pPr>
      <w:r w:rsidRPr="00AB33F6">
        <w:rPr>
          <w:rFonts w:cs="Arial"/>
          <w:lang w:eastAsia="en-JM"/>
        </w:rPr>
        <w:t>Exchanges are designed to minimize risks and facilitate efficient transactions. They address counterparty risks by ensuring that all participants can fulfill their obligations. This is achieved through requirements for collateral or guarantees from participants. To begin trading, participants must deposit collateral into a clearing account, with additional collateral added daily to meet margin requirements based on ongoing transaction obligations.</w:t>
      </w:r>
    </w:p>
    <w:p w14:paraId="5DEE7B87" w14:textId="77777777" w:rsidR="00941116" w:rsidRDefault="00941116" w:rsidP="001679D6">
      <w:pPr>
        <w:spacing w:after="0"/>
        <w:jc w:val="left"/>
        <w:rPr>
          <w:rFonts w:ascii="Arial Bold" w:hAnsi="Arial Bold" w:cs="Arial"/>
          <w:b/>
          <w:color w:val="002776" w:themeColor="accent1"/>
          <w:sz w:val="28"/>
        </w:rPr>
      </w:pPr>
    </w:p>
    <w:p w14:paraId="437C8420" w14:textId="49D2A525" w:rsidR="008D21E9" w:rsidRDefault="008D21E9" w:rsidP="008D21E9">
      <w:pPr>
        <w:rPr>
          <w:rFonts w:cs="Arial"/>
          <w:b/>
          <w:bCs/>
          <w:lang w:eastAsia="en-JM"/>
        </w:rPr>
      </w:pPr>
      <w:bookmarkStart w:id="134" w:name="_Toc60305752"/>
      <w:bookmarkStart w:id="135" w:name="_Toc67585067"/>
      <w:r>
        <w:rPr>
          <w:rFonts w:cs="Arial"/>
          <w:b/>
          <w:bCs/>
          <w:lang w:eastAsia="en-JM"/>
        </w:rPr>
        <w:t>Collateral Requirements</w:t>
      </w:r>
    </w:p>
    <w:p w14:paraId="68B49204" w14:textId="77777777" w:rsidR="00B82C36" w:rsidRPr="00B82C36" w:rsidRDefault="00B82C36" w:rsidP="00B82C36">
      <w:pPr>
        <w:spacing w:after="0"/>
        <w:rPr>
          <w:rFonts w:cs="Arial"/>
          <w:lang w:eastAsia="en-JM"/>
        </w:rPr>
      </w:pPr>
      <w:r w:rsidRPr="00B82C36">
        <w:rPr>
          <w:rFonts w:cs="Arial"/>
          <w:lang w:eastAsia="en-JM"/>
        </w:rPr>
        <w:t xml:space="preserve">Collateral requirements are essential components of derivative transactions, consisting of various elements such as initial margin and variation margin. These requirements fluctuate in response to market price changes, meaning that even without </w:t>
      </w:r>
      <w:proofErr w:type="gramStart"/>
      <w:r w:rsidRPr="00B82C36">
        <w:rPr>
          <w:rFonts w:cs="Arial"/>
          <w:lang w:eastAsia="en-JM"/>
        </w:rPr>
        <w:t>entering into</w:t>
      </w:r>
      <w:proofErr w:type="gramEnd"/>
      <w:r w:rsidRPr="00B82C36">
        <w:rPr>
          <w:rFonts w:cs="Arial"/>
          <w:lang w:eastAsia="en-JM"/>
        </w:rPr>
        <w:t xml:space="preserve"> new derivatives contracts, shifts in market prices can lead to an increase or decrease in the collateral needed. For instance, if a seller has committed to a contract at a low price and market prices rise, the seller must deposit additional collateral with the exchange. Conversely, if prices fall, the collateral is returned. Once the product is delivered, the collateral associated with that specific trade is fully refunded.</w:t>
      </w:r>
    </w:p>
    <w:p w14:paraId="72529EDB" w14:textId="77777777" w:rsidR="00B82C36" w:rsidRPr="00B82C36" w:rsidRDefault="00B82C36" w:rsidP="00B82C36">
      <w:pPr>
        <w:spacing w:after="0"/>
        <w:rPr>
          <w:rFonts w:cs="Arial"/>
          <w:lang w:eastAsia="en-JM"/>
        </w:rPr>
      </w:pPr>
    </w:p>
    <w:p w14:paraId="6585D847" w14:textId="66A53DFA" w:rsidR="006A0F8B" w:rsidRDefault="00B82C36" w:rsidP="00B82C36">
      <w:pPr>
        <w:spacing w:after="0"/>
        <w:rPr>
          <w:rFonts w:cs="Arial"/>
          <w:lang w:eastAsia="en-JM"/>
        </w:rPr>
      </w:pPr>
      <w:r w:rsidRPr="00B82C36">
        <w:rPr>
          <w:rFonts w:cs="Arial"/>
          <w:lang w:eastAsia="en-JM"/>
        </w:rPr>
        <w:t xml:space="preserve">The primary purpose of collateral is to ensure that other participants in the market are compensated </w:t>
      </w:r>
      <w:proofErr w:type="gramStart"/>
      <w:r w:rsidRPr="00B82C36">
        <w:rPr>
          <w:rFonts w:cs="Arial"/>
          <w:lang w:eastAsia="en-JM"/>
        </w:rPr>
        <w:t>in the event that</w:t>
      </w:r>
      <w:proofErr w:type="gramEnd"/>
      <w:r w:rsidRPr="00B82C36">
        <w:rPr>
          <w:rFonts w:cs="Arial"/>
          <w:lang w:eastAsia="en-JM"/>
        </w:rPr>
        <w:t xml:space="preserve"> a market participant fails to meet its obligations—such as in cases of default or bankruptcy. Recent spikes in energy commodity prices, particularly from late 2021 onward, have led to a substantial increase in collateral requirements for exchange trading. Electricity market participants, including sellers and buyers, have been securing future production and consumption contracts, which were in place even before the price surge. As a result, companies are required to deposit collateral to reflect the current price levels, increasing the financial burden. The escalation of collateral requirements has resulted in higher indirect costs and liquidity challenges for companies, as significant amounts of capital are tied up in collateral, impacting overall financial flexibility.</w:t>
      </w:r>
    </w:p>
    <w:p w14:paraId="64CF58CF" w14:textId="77777777" w:rsidR="00E438A4" w:rsidRDefault="00E438A4" w:rsidP="00B82C36">
      <w:pPr>
        <w:spacing w:after="0"/>
        <w:rPr>
          <w:rFonts w:cs="Arial"/>
          <w:lang w:eastAsia="en-JM"/>
        </w:rPr>
      </w:pPr>
    </w:p>
    <w:p w14:paraId="73AA6982" w14:textId="3000514E" w:rsidR="00E438A4" w:rsidRDefault="00E438A4" w:rsidP="00E438A4">
      <w:pPr>
        <w:rPr>
          <w:rFonts w:cs="Arial"/>
          <w:b/>
          <w:bCs/>
          <w:lang w:eastAsia="en-JM"/>
        </w:rPr>
      </w:pPr>
      <w:r>
        <w:rPr>
          <w:rFonts w:cs="Arial"/>
          <w:b/>
          <w:bCs/>
          <w:lang w:eastAsia="en-JM"/>
        </w:rPr>
        <w:t>Types of Products in Derivatives Market</w:t>
      </w:r>
    </w:p>
    <w:p w14:paraId="204B1CB0" w14:textId="1B9814C1" w:rsidR="006A0F8B" w:rsidRDefault="0082050C" w:rsidP="008E21FA">
      <w:pPr>
        <w:pStyle w:val="ListParagraph"/>
        <w:numPr>
          <w:ilvl w:val="0"/>
          <w:numId w:val="39"/>
        </w:numPr>
        <w:spacing w:after="0"/>
        <w:rPr>
          <w:rFonts w:cs="Arial"/>
          <w:lang w:eastAsia="en-JM"/>
        </w:rPr>
      </w:pPr>
      <w:r w:rsidRPr="00DB2398">
        <w:rPr>
          <w:rFonts w:cs="Arial"/>
          <w:b/>
          <w:bCs/>
          <w:lang w:eastAsia="en-JM"/>
        </w:rPr>
        <w:t>Forwards (OTC, Physical or Financial) -</w:t>
      </w:r>
      <w:r>
        <w:rPr>
          <w:rFonts w:cs="Arial"/>
          <w:lang w:eastAsia="en-JM"/>
        </w:rPr>
        <w:t xml:space="preserve"> </w:t>
      </w:r>
      <w:r w:rsidR="0037269F" w:rsidRPr="0037269F">
        <w:rPr>
          <w:rFonts w:cs="Arial"/>
          <w:lang w:eastAsia="en-JM"/>
        </w:rPr>
        <w:t>This involves the agreement to buy or sell electricity at a pre-specified contract price for delivery at a future date. The buyer is obligated to take delivery of a fixed amount of electricity, and the seller is obligated to supply it at the agreed forward price, at the specified maturity or expiration time. These contracts are typically customized supply agreements between a buyer and a seller.</w:t>
      </w:r>
      <w:r w:rsidR="00DB2398">
        <w:rPr>
          <w:rFonts w:cs="Arial"/>
          <w:lang w:eastAsia="en-JM"/>
        </w:rPr>
        <w:t xml:space="preserve"> </w:t>
      </w:r>
      <w:r w:rsidR="0037269F" w:rsidRPr="00DB2398">
        <w:rPr>
          <w:rFonts w:cs="Arial"/>
          <w:lang w:eastAsia="en-JM"/>
        </w:rPr>
        <w:t>Electricity forward prices are determined based on long-term expectations and typically exhibit stable behavior. Long-term forwards generally experience lower volatility, whereas short-term forwards may face higher volatility. These prices are often correlated with fuel prices</w:t>
      </w:r>
      <w:r w:rsidR="00DB2398">
        <w:rPr>
          <w:rFonts w:cs="Arial"/>
          <w:lang w:eastAsia="en-JM"/>
        </w:rPr>
        <w:t>.</w:t>
      </w:r>
    </w:p>
    <w:p w14:paraId="0466C543" w14:textId="33937498" w:rsidR="00DB2398" w:rsidRPr="009B7053" w:rsidRDefault="00905948" w:rsidP="008E21FA">
      <w:pPr>
        <w:pStyle w:val="ListParagraph"/>
        <w:numPr>
          <w:ilvl w:val="0"/>
          <w:numId w:val="39"/>
        </w:numPr>
        <w:spacing w:after="0"/>
        <w:rPr>
          <w:rFonts w:cs="Arial"/>
          <w:lang w:eastAsia="en-JM"/>
        </w:rPr>
      </w:pPr>
      <w:r w:rsidRPr="00905948">
        <w:rPr>
          <w:rFonts w:cs="Arial"/>
          <w:b/>
          <w:bCs/>
          <w:lang w:eastAsia="en-JM"/>
        </w:rPr>
        <w:t>Futures (Exchange, Financial)</w:t>
      </w:r>
      <w:r w:rsidR="00DB2398" w:rsidRPr="00DB2398">
        <w:rPr>
          <w:rFonts w:cs="Arial"/>
          <w:b/>
          <w:bCs/>
          <w:lang w:eastAsia="en-JM"/>
        </w:rPr>
        <w:t xml:space="preserve"> -</w:t>
      </w:r>
      <w:r w:rsidR="00DB2398">
        <w:rPr>
          <w:rFonts w:cs="Arial"/>
          <w:lang w:eastAsia="en-JM"/>
        </w:rPr>
        <w:t xml:space="preserve"> </w:t>
      </w:r>
      <w:r w:rsidR="009B7053" w:rsidRPr="009B7053">
        <w:rPr>
          <w:rFonts w:cs="Arial"/>
          <w:lang w:eastAsia="en-JM"/>
        </w:rPr>
        <w:t>Electricity futures contracts are primarily settled through financial payments, or cash settlement, which lowers transaction costs compared to physical delivery. These contracts are highly standardized, with fixed contract specifications, defined trading locations, specific transaction requirements, and standardized settlement procedures. The key difference between futures and forwards is the quantity of power to be delivered, with futures contracts typically specifying smaller delivery quantities than forward contracts.</w:t>
      </w:r>
      <w:r w:rsidR="009B7053">
        <w:rPr>
          <w:rFonts w:cs="Arial"/>
          <w:lang w:eastAsia="en-JM"/>
        </w:rPr>
        <w:t xml:space="preserve"> </w:t>
      </w:r>
      <w:r w:rsidR="009B7053" w:rsidRPr="009B7053">
        <w:rPr>
          <w:rFonts w:cs="Arial"/>
          <w:lang w:eastAsia="en-JM"/>
        </w:rPr>
        <w:t>The advantages of electricity futures include market consensus, price transparency, and trading liquidity, which help reduce transaction and monitoring costs. However, the main disadvantage is the lack of customization, as only standardized contracts can be traded, offering less flexibility compared to forward contracts.</w:t>
      </w:r>
    </w:p>
    <w:p w14:paraId="5F9A20FA" w14:textId="324DD9A5" w:rsidR="00DB2398" w:rsidRPr="005015A2" w:rsidRDefault="00905948" w:rsidP="008E21FA">
      <w:pPr>
        <w:pStyle w:val="ListParagraph"/>
        <w:numPr>
          <w:ilvl w:val="0"/>
          <w:numId w:val="39"/>
        </w:numPr>
        <w:spacing w:after="0"/>
        <w:rPr>
          <w:rFonts w:cs="Arial"/>
          <w:lang w:eastAsia="en-JM"/>
        </w:rPr>
      </w:pPr>
      <w:r w:rsidRPr="00905948">
        <w:rPr>
          <w:rFonts w:cs="Arial"/>
          <w:b/>
          <w:bCs/>
          <w:lang w:eastAsia="en-JM"/>
        </w:rPr>
        <w:t xml:space="preserve">Swaps or </w:t>
      </w:r>
      <w:proofErr w:type="spellStart"/>
      <w:r w:rsidRPr="00905948">
        <w:rPr>
          <w:rFonts w:cs="Arial"/>
          <w:b/>
          <w:bCs/>
          <w:lang w:eastAsia="en-JM"/>
        </w:rPr>
        <w:t>CfD</w:t>
      </w:r>
      <w:proofErr w:type="spellEnd"/>
      <w:r w:rsidRPr="00905948">
        <w:rPr>
          <w:rFonts w:cs="Arial"/>
          <w:b/>
          <w:bCs/>
          <w:lang w:eastAsia="en-JM"/>
        </w:rPr>
        <w:t xml:space="preserve"> (OTC, Financial)</w:t>
      </w:r>
      <w:r w:rsidR="00DB2398" w:rsidRPr="00DB2398">
        <w:rPr>
          <w:rFonts w:cs="Arial"/>
          <w:b/>
          <w:bCs/>
          <w:lang w:eastAsia="en-JM"/>
        </w:rPr>
        <w:t xml:space="preserve"> -</w:t>
      </w:r>
      <w:r w:rsidR="00DB2398">
        <w:rPr>
          <w:rFonts w:cs="Arial"/>
          <w:lang w:eastAsia="en-JM"/>
        </w:rPr>
        <w:t xml:space="preserve"> </w:t>
      </w:r>
      <w:r w:rsidR="005015A2" w:rsidRPr="005015A2">
        <w:rPr>
          <w:rFonts w:cs="Arial"/>
          <w:lang w:eastAsia="en-JM"/>
        </w:rPr>
        <w:t>Swaps, or Contracts for Difference (</w:t>
      </w:r>
      <w:proofErr w:type="spellStart"/>
      <w:r w:rsidR="005015A2" w:rsidRPr="005015A2">
        <w:rPr>
          <w:rFonts w:cs="Arial"/>
          <w:lang w:eastAsia="en-JM"/>
        </w:rPr>
        <w:t>CfD</w:t>
      </w:r>
      <w:proofErr w:type="spellEnd"/>
      <w:r w:rsidR="005015A2" w:rsidRPr="005015A2">
        <w:rPr>
          <w:rFonts w:cs="Arial"/>
          <w:lang w:eastAsia="en-JM"/>
        </w:rPr>
        <w:t>), are financial contracts where the holder exchanges a fixed price for electricity against the market's variable price over a contracted period. These contracts are settled based on the market price, with the fixed cash flow exchanged for a variable cash flow stream. Essentially, the holder pays a fixed price for electricity, regardless of the fluctuating market price, or vice versa, depending on the terms of the contract.</w:t>
      </w:r>
      <w:r w:rsidR="005015A2">
        <w:rPr>
          <w:rFonts w:cs="Arial"/>
          <w:lang w:eastAsia="en-JM"/>
        </w:rPr>
        <w:t xml:space="preserve"> </w:t>
      </w:r>
      <w:r w:rsidR="005015A2" w:rsidRPr="005015A2">
        <w:rPr>
          <w:rFonts w:cs="Arial"/>
          <w:lang w:eastAsia="en-JM"/>
        </w:rPr>
        <w:t>Swaps are typically established for a fixed quantity of power, referenced to a variable spot price, which may be linked to either a generator's or a consumer's location. These contracts are commonly used for short- to medium-term price certainty, providing stability for periods up to a couple of years. A swap can be seen as a strip of electricity forwards with multiple settlement dates, each having an identical forward price, providing flexibility in managing price risks across multiple periods.</w:t>
      </w:r>
    </w:p>
    <w:p w14:paraId="564AD3E6" w14:textId="26FA97D0" w:rsidR="00DB2398" w:rsidRPr="00901012" w:rsidRDefault="00901012" w:rsidP="008E21FA">
      <w:pPr>
        <w:pStyle w:val="ListParagraph"/>
        <w:numPr>
          <w:ilvl w:val="0"/>
          <w:numId w:val="39"/>
        </w:numPr>
        <w:spacing w:after="0"/>
        <w:rPr>
          <w:rFonts w:cs="Arial"/>
          <w:lang w:eastAsia="en-JM"/>
        </w:rPr>
      </w:pPr>
      <w:r w:rsidRPr="00901012">
        <w:rPr>
          <w:rFonts w:cs="Arial"/>
          <w:b/>
          <w:bCs/>
          <w:lang w:eastAsia="en-JM"/>
        </w:rPr>
        <w:t>Options (Exchange, Physical or Financial)</w:t>
      </w:r>
      <w:r w:rsidR="00DB2398" w:rsidRPr="00DB2398">
        <w:rPr>
          <w:rFonts w:cs="Arial"/>
          <w:b/>
          <w:bCs/>
          <w:lang w:eastAsia="en-JM"/>
        </w:rPr>
        <w:t xml:space="preserve"> -</w:t>
      </w:r>
      <w:r w:rsidR="00DB2398">
        <w:rPr>
          <w:rFonts w:cs="Arial"/>
          <w:lang w:eastAsia="en-JM"/>
        </w:rPr>
        <w:t xml:space="preserve"> </w:t>
      </w:r>
      <w:r w:rsidR="000F7652" w:rsidRPr="000F7652">
        <w:rPr>
          <w:rFonts w:cs="Arial"/>
          <w:lang w:eastAsia="en-JM"/>
        </w:rPr>
        <w:t xml:space="preserve">Options provide buyers with the right, but not the obligation, to buy or sell electricity at a predetermined price, in exchange for a premium paid upfront. The buyer has the flexibility to choose whether to exercise the option, while the seller is obligated to deliver or take the asset if the option is exercised. This structure is </w:t>
      </w:r>
      <w:proofErr w:type="gramStart"/>
      <w:r w:rsidR="000F7652" w:rsidRPr="000F7652">
        <w:rPr>
          <w:rFonts w:cs="Arial"/>
          <w:lang w:eastAsia="en-JM"/>
        </w:rPr>
        <w:t>similar to</w:t>
      </w:r>
      <w:proofErr w:type="gramEnd"/>
      <w:r w:rsidR="000F7652" w:rsidRPr="000F7652">
        <w:rPr>
          <w:rFonts w:cs="Arial"/>
          <w:lang w:eastAsia="en-JM"/>
        </w:rPr>
        <w:t xml:space="preserve"> insurance, where the buyer pays an annual premium, and the seller compensates for any potential damages. There are two main types of options: Call options, which give the holder the right to buy electricity at a specified strike price, and Put options, which grant the right to sell at a predetermined price. The strike price is the price at which the underlying commodity (electricity) can be bought or sold. The value of the option contract is determined by how close the market price is to the strike price, influencing whether the option holder exercises the right to buy or sell.</w:t>
      </w:r>
    </w:p>
    <w:p w14:paraId="77F674FA" w14:textId="77777777" w:rsidR="006A0F8B" w:rsidRDefault="006A0F8B">
      <w:pPr>
        <w:spacing w:after="0"/>
        <w:jc w:val="left"/>
      </w:pPr>
    </w:p>
    <w:p w14:paraId="359A9D7B" w14:textId="38C14239" w:rsidR="000169E2" w:rsidRDefault="000169E2">
      <w:pPr>
        <w:spacing w:after="0"/>
        <w:jc w:val="left"/>
        <w:rPr>
          <w:b/>
          <w:bCs/>
        </w:rPr>
      </w:pPr>
      <w:r>
        <w:t xml:space="preserve">Examples of </w:t>
      </w:r>
      <w:proofErr w:type="gramStart"/>
      <w:r>
        <w:t>above mentioned</w:t>
      </w:r>
      <w:proofErr w:type="gramEnd"/>
      <w:r>
        <w:t xml:space="preserve"> products are mentioned in </w:t>
      </w:r>
      <w:r w:rsidRPr="000169E2">
        <w:rPr>
          <w:b/>
          <w:bCs/>
        </w:rPr>
        <w:t>Appendix B</w:t>
      </w:r>
      <w:r>
        <w:rPr>
          <w:b/>
          <w:bCs/>
        </w:rPr>
        <w:t>.</w:t>
      </w:r>
    </w:p>
    <w:p w14:paraId="166D3E1E" w14:textId="77777777" w:rsidR="000169E2" w:rsidRDefault="000169E2">
      <w:pPr>
        <w:spacing w:after="0"/>
        <w:jc w:val="left"/>
        <w:rPr>
          <w:b/>
          <w:bCs/>
        </w:rPr>
      </w:pPr>
    </w:p>
    <w:tbl>
      <w:tblPr>
        <w:tblStyle w:val="TableGrid"/>
        <w:tblW w:w="0" w:type="auto"/>
        <w:tblLook w:val="04A0" w:firstRow="1" w:lastRow="0" w:firstColumn="1" w:lastColumn="0" w:noHBand="0" w:noVBand="1"/>
      </w:tblPr>
      <w:tblGrid>
        <w:gridCol w:w="9350"/>
      </w:tblGrid>
      <w:tr w:rsidR="00B857A5" w14:paraId="0831CDFD" w14:textId="77777777" w:rsidTr="00B857A5">
        <w:tc>
          <w:tcPr>
            <w:tcW w:w="9350" w:type="dxa"/>
            <w:shd w:val="clear" w:color="auto" w:fill="E2F3FA" w:themeFill="accent5" w:themeFillTint="33"/>
          </w:tcPr>
          <w:p w14:paraId="4D45C9D1" w14:textId="77777777" w:rsidR="00B857A5" w:rsidRPr="00B857A5" w:rsidRDefault="00B857A5">
            <w:pPr>
              <w:spacing w:after="0"/>
              <w:jc w:val="left"/>
              <w:rPr>
                <w:b/>
                <w:bCs/>
              </w:rPr>
            </w:pPr>
            <w:r w:rsidRPr="00B857A5">
              <w:rPr>
                <w:b/>
                <w:bCs/>
              </w:rPr>
              <w:t>Use Cases:</w:t>
            </w:r>
          </w:p>
          <w:p w14:paraId="62DB5844" w14:textId="77777777" w:rsidR="00B857A5" w:rsidRDefault="00B857A5" w:rsidP="00B857A5">
            <w:pPr>
              <w:spacing w:after="0"/>
              <w:jc w:val="left"/>
            </w:pPr>
          </w:p>
          <w:p w14:paraId="1E459551" w14:textId="518E8043" w:rsidR="00B857A5" w:rsidRDefault="00B857A5" w:rsidP="00B857A5">
            <w:pPr>
              <w:spacing w:after="0"/>
            </w:pPr>
            <w:r>
              <w:t>Derivatives markets play a pivotal role in electricity trading by allowing market participants to manage risks associated with price volatility and market uncertainties. For example, the European Energy Exchange (EEX) offers a model where electricity derivatives, such as Futures and Options, are traded alongside physical electricity. This integrated platform allows traders to optimize their exposure to price fluctuations, with electricity futures and options providing the tools necessary for hedging against the volatility caused by factors like demand-supply imbalances, weather variations, and fuel price changes. This model is particularly effective for entities seeking both price discovery and risk management, as participants can trade both financial products and physical electricity within the same exchange.</w:t>
            </w:r>
          </w:p>
          <w:p w14:paraId="6E7E132C" w14:textId="77777777" w:rsidR="00B857A5" w:rsidRDefault="00B857A5" w:rsidP="00B857A5">
            <w:pPr>
              <w:spacing w:after="0"/>
            </w:pPr>
          </w:p>
          <w:p w14:paraId="1E60F208" w14:textId="6B82987F" w:rsidR="00B857A5" w:rsidRDefault="00B857A5" w:rsidP="00B857A5">
            <w:pPr>
              <w:spacing w:after="0"/>
            </w:pPr>
            <w:r>
              <w:t>On the other hand, exchanges like the NASDAQ OMX Commodities Exchange, NYMEX, and ICE Futures US specialize in Futures contracts, enabling participants to buy or sell electricity at a fixed price for future delivery. These exchanges, primarily dealing in Futures, provide a structured environment for hedging against price volatility, allowing companies and traders to lock in prices in advance and stabilize their operations. For instance, companies in the United States utilize NYMEX’s electricity futures contracts to hedge against regional price fluctuations, while participants in Europe use EEX products to navigate broader market volatility.</w:t>
            </w:r>
            <w:r>
              <w:t xml:space="preserve"> </w:t>
            </w:r>
            <w:r>
              <w:t xml:space="preserve">Meanwhile, platforms like the Intercontinental Exchange (ICE) and the Singapore Exchange (SGX) separate electricity and derivatives trading onto distinct platforms. This separation enhances price discovery and risk management by allowing participants to focus specifically on either the physical or the financial aspects of the market. For example, ICE Futures US provides futures contracts for electricity trading, while SGX offers electricity futures to manage risks in the Asia-Pacific region. </w:t>
            </w:r>
          </w:p>
        </w:tc>
      </w:tr>
    </w:tbl>
    <w:p w14:paraId="0368E002" w14:textId="77777777" w:rsidR="000169E2" w:rsidRDefault="000169E2">
      <w:pPr>
        <w:spacing w:after="0"/>
        <w:jc w:val="left"/>
      </w:pPr>
    </w:p>
    <w:p w14:paraId="2B237C11" w14:textId="77777777" w:rsidR="006A0F8B" w:rsidRDefault="006A0F8B">
      <w:pPr>
        <w:spacing w:after="0"/>
        <w:jc w:val="left"/>
      </w:pPr>
    </w:p>
    <w:p w14:paraId="0810AD13" w14:textId="0DF4064C" w:rsidR="006A0F8B" w:rsidRDefault="00586C30" w:rsidP="008E21FA">
      <w:pPr>
        <w:spacing w:after="0"/>
      </w:pPr>
      <w:r w:rsidRPr="00586C30">
        <w:t xml:space="preserve">From an institutional standpoint, the establishment of a Regional Power Exchange, offering key market products such as spot, day-ahead markets, ancillary services, and derivatives, is crucial for ensuring market efficiency, price stability, and risk management. These market products not only facilitate seamless trading but also support the integration of renewable energy, improve system reliability, and ensure the flexibility needed to address unforeseen market fluctuations. </w:t>
      </w:r>
      <w:r w:rsidR="001642C3">
        <w:t>As already mentioned earlier</w:t>
      </w:r>
      <w:r w:rsidR="008E21FA">
        <w:t xml:space="preserve">, </w:t>
      </w:r>
      <w:r w:rsidR="008E21FA" w:rsidRPr="008E21FA">
        <w:t>the integration of regional power markets requires a comprehensive approach that addresses the political, technical, and institutional prerequisites for effective cooperation. Politically, alignment of national policies and a commitment to cross-border collaboration are vital to create a unified framework for market operation. Technically, the development of a robust grid infrastructure, including interconnectors and advanced systems for balancing supply and demand, is essential to ensure efficient market functioning.</w:t>
      </w:r>
      <w:r w:rsidR="008E21FA" w:rsidRPr="008E21FA">
        <w:t xml:space="preserve"> </w:t>
      </w:r>
      <w:r w:rsidRPr="00586C30">
        <w:t>By addressing these foundational requirements, regional power markets can become more resilient, efficient, and sustainable, ultimately fostering greater energy security and economic cooperation across borders.</w:t>
      </w:r>
    </w:p>
    <w:p w14:paraId="74E73C97" w14:textId="77777777" w:rsidR="006A0F8B" w:rsidRDefault="006A0F8B">
      <w:pPr>
        <w:spacing w:after="0"/>
        <w:jc w:val="left"/>
      </w:pPr>
    </w:p>
    <w:p w14:paraId="04DDAB6B" w14:textId="77777777" w:rsidR="006A0F8B" w:rsidRDefault="006A0F8B">
      <w:pPr>
        <w:spacing w:after="0"/>
        <w:jc w:val="left"/>
      </w:pPr>
    </w:p>
    <w:p w14:paraId="4926BB33" w14:textId="77777777" w:rsidR="006A0F8B" w:rsidRDefault="006A0F8B">
      <w:pPr>
        <w:spacing w:after="0"/>
        <w:jc w:val="left"/>
      </w:pPr>
    </w:p>
    <w:p w14:paraId="081A67F0" w14:textId="77777777" w:rsidR="006A0F8B" w:rsidRDefault="006A0F8B">
      <w:pPr>
        <w:spacing w:after="0"/>
        <w:jc w:val="left"/>
      </w:pPr>
    </w:p>
    <w:p w14:paraId="68407327" w14:textId="77777777" w:rsidR="006A0F8B" w:rsidRDefault="006A0F8B">
      <w:pPr>
        <w:spacing w:after="0"/>
        <w:jc w:val="left"/>
      </w:pPr>
    </w:p>
    <w:p w14:paraId="7717ED1D" w14:textId="77777777" w:rsidR="006A0F8B" w:rsidRDefault="006A0F8B">
      <w:pPr>
        <w:spacing w:after="0"/>
        <w:jc w:val="left"/>
      </w:pPr>
    </w:p>
    <w:p w14:paraId="0361E4BD" w14:textId="77777777" w:rsidR="006A0F8B" w:rsidRDefault="006A0F8B">
      <w:pPr>
        <w:spacing w:after="0"/>
        <w:jc w:val="left"/>
      </w:pPr>
    </w:p>
    <w:p w14:paraId="170219ED" w14:textId="77777777" w:rsidR="006A0F8B" w:rsidRDefault="006A0F8B">
      <w:pPr>
        <w:spacing w:after="0"/>
        <w:jc w:val="left"/>
      </w:pPr>
    </w:p>
    <w:p w14:paraId="6B04D161" w14:textId="77777777" w:rsidR="006A0F8B" w:rsidRDefault="006A0F8B">
      <w:pPr>
        <w:spacing w:after="0"/>
        <w:jc w:val="left"/>
      </w:pPr>
    </w:p>
    <w:p w14:paraId="0ABE0A83" w14:textId="77777777" w:rsidR="006A0F8B" w:rsidRDefault="006A0F8B">
      <w:pPr>
        <w:spacing w:after="0"/>
        <w:jc w:val="left"/>
      </w:pPr>
    </w:p>
    <w:p w14:paraId="77C45929" w14:textId="77777777" w:rsidR="006A0F8B" w:rsidRDefault="006A0F8B">
      <w:pPr>
        <w:spacing w:after="0"/>
        <w:jc w:val="left"/>
      </w:pPr>
    </w:p>
    <w:p w14:paraId="2C7C18C3" w14:textId="77777777" w:rsidR="006A0F8B" w:rsidRDefault="006A0F8B">
      <w:pPr>
        <w:spacing w:after="0"/>
        <w:jc w:val="left"/>
      </w:pPr>
    </w:p>
    <w:p w14:paraId="0A71D576" w14:textId="77777777" w:rsidR="005314D6" w:rsidRDefault="005314D6">
      <w:pPr>
        <w:spacing w:after="0"/>
        <w:jc w:val="left"/>
        <w:sectPr w:rsidR="005314D6" w:rsidSect="008457CA">
          <w:pgSz w:w="12240" w:h="15840" w:code="1"/>
          <w:pgMar w:top="1440" w:right="1440" w:bottom="1440" w:left="1440" w:header="720" w:footer="439" w:gutter="0"/>
          <w:cols w:space="720"/>
          <w:noEndnote/>
          <w:docGrid w:linePitch="299"/>
        </w:sectPr>
      </w:pPr>
    </w:p>
    <w:p w14:paraId="2105E2AE" w14:textId="7BB5C7D0" w:rsidR="00941116" w:rsidRDefault="00941116" w:rsidP="005E5987">
      <w:pPr>
        <w:pStyle w:val="Heading1"/>
        <w:numPr>
          <w:ilvl w:val="0"/>
          <w:numId w:val="14"/>
        </w:numPr>
        <w:spacing w:before="120"/>
        <w:rPr>
          <w:rFonts w:ascii="Arial" w:hAnsi="Arial"/>
        </w:rPr>
      </w:pPr>
      <w:bookmarkStart w:id="136" w:name="_Toc146033790"/>
      <w:bookmarkStart w:id="137" w:name="_Toc185235902"/>
      <w:r w:rsidRPr="00624080">
        <w:rPr>
          <w:rFonts w:ascii="Arial" w:hAnsi="Arial"/>
        </w:rPr>
        <w:t>A</w:t>
      </w:r>
      <w:r w:rsidR="00D9373C" w:rsidRPr="00624080">
        <w:rPr>
          <w:rFonts w:ascii="Arial" w:hAnsi="Arial"/>
        </w:rPr>
        <w:t xml:space="preserve">ppendix </w:t>
      </w:r>
      <w:bookmarkEnd w:id="134"/>
      <w:bookmarkEnd w:id="135"/>
      <w:r w:rsidR="00D9373C" w:rsidRPr="00624080">
        <w:rPr>
          <w:rFonts w:ascii="Arial" w:hAnsi="Arial"/>
        </w:rPr>
        <w:t xml:space="preserve">A: </w:t>
      </w:r>
      <w:bookmarkEnd w:id="136"/>
      <w:r w:rsidR="00547C30">
        <w:rPr>
          <w:rFonts w:ascii="Arial" w:hAnsi="Arial"/>
        </w:rPr>
        <w:t>CBET Transmission Line Details</w:t>
      </w:r>
      <w:bookmarkEnd w:id="137"/>
    </w:p>
    <w:p w14:paraId="4C88C444" w14:textId="36FBA3B8" w:rsidR="006F15CA" w:rsidRDefault="006F15CA" w:rsidP="006F15CA">
      <w:r>
        <w:t xml:space="preserve">Details of cross-border transmission lines in BBINS region: </w:t>
      </w:r>
    </w:p>
    <w:p w14:paraId="35DE4D3B" w14:textId="77777777" w:rsidR="006F15CA" w:rsidRPr="002C11DF" w:rsidRDefault="006F15CA" w:rsidP="006F15CA">
      <w:pPr>
        <w:rPr>
          <w:i/>
          <w:iCs/>
        </w:rPr>
      </w:pPr>
      <w:r w:rsidRPr="002C11DF">
        <w:rPr>
          <w:i/>
          <w:iCs/>
        </w:rPr>
        <w:t>A. Interconnection between India and Nepal</w:t>
      </w:r>
      <w:r w:rsidRPr="002C11DF">
        <w:rPr>
          <w:rStyle w:val="FootnoteReference"/>
          <w:i/>
          <w:iCs/>
        </w:rPr>
        <w:footnoteReference w:id="34"/>
      </w:r>
    </w:p>
    <w:p w14:paraId="2C4592D2" w14:textId="77777777" w:rsidR="006F15CA" w:rsidRDefault="006F15CA" w:rsidP="006F15CA">
      <w:pPr>
        <w:pStyle w:val="ListParagraph"/>
        <w:numPr>
          <w:ilvl w:val="0"/>
          <w:numId w:val="18"/>
        </w:numPr>
        <w:spacing w:before="0" w:after="0"/>
      </w:pPr>
      <w:r>
        <w:t>Existing/ operational lines:</w:t>
      </w:r>
    </w:p>
    <w:p w14:paraId="041E5996" w14:textId="77777777" w:rsidR="006F15CA" w:rsidRDefault="006F15CA" w:rsidP="006F15CA">
      <w:pPr>
        <w:pStyle w:val="ListParagraph"/>
        <w:numPr>
          <w:ilvl w:val="1"/>
          <w:numId w:val="18"/>
        </w:numPr>
        <w:spacing w:before="0" w:after="0"/>
      </w:pPr>
      <w:r>
        <w:t xml:space="preserve">400 kV D/C: </w:t>
      </w:r>
      <w:proofErr w:type="spellStart"/>
      <w:r>
        <w:t>Dhalkebar</w:t>
      </w:r>
      <w:proofErr w:type="spellEnd"/>
      <w:r>
        <w:t xml:space="preserve"> – Muzaffarpur Line</w:t>
      </w:r>
    </w:p>
    <w:p w14:paraId="1B5F740F" w14:textId="77777777" w:rsidR="006F15CA" w:rsidRDefault="006F15CA" w:rsidP="006F15CA">
      <w:pPr>
        <w:pStyle w:val="ListParagraph"/>
        <w:numPr>
          <w:ilvl w:val="1"/>
          <w:numId w:val="18"/>
        </w:numPr>
        <w:spacing w:before="0" w:after="0"/>
      </w:pPr>
      <w:r>
        <w:t xml:space="preserve">220 kV: </w:t>
      </w:r>
      <w:proofErr w:type="spellStart"/>
      <w:r>
        <w:t>Hetauda</w:t>
      </w:r>
      <w:proofErr w:type="spellEnd"/>
      <w:r>
        <w:t xml:space="preserve"> – </w:t>
      </w:r>
      <w:proofErr w:type="spellStart"/>
      <w:r>
        <w:t>Bharatpur</w:t>
      </w:r>
      <w:proofErr w:type="spellEnd"/>
      <w:r>
        <w:t xml:space="preserve"> Transmission Line (operated at 132 kV)</w:t>
      </w:r>
    </w:p>
    <w:p w14:paraId="37F42F81" w14:textId="77777777" w:rsidR="006F15CA" w:rsidRDefault="006F15CA" w:rsidP="006F15CA">
      <w:pPr>
        <w:pStyle w:val="ListParagraph"/>
        <w:numPr>
          <w:ilvl w:val="1"/>
          <w:numId w:val="18"/>
        </w:numPr>
        <w:spacing w:before="0" w:after="0"/>
      </w:pPr>
      <w:r>
        <w:t xml:space="preserve">132 kV: </w:t>
      </w:r>
      <w:proofErr w:type="spellStart"/>
      <w:r>
        <w:t>Mainahiya</w:t>
      </w:r>
      <w:proofErr w:type="spellEnd"/>
      <w:r>
        <w:t xml:space="preserve"> – </w:t>
      </w:r>
      <w:proofErr w:type="spellStart"/>
      <w:r>
        <w:t>Sampatiya</w:t>
      </w:r>
      <w:proofErr w:type="spellEnd"/>
      <w:r>
        <w:t xml:space="preserve"> Line</w:t>
      </w:r>
    </w:p>
    <w:p w14:paraId="2DCF295A" w14:textId="77777777" w:rsidR="006F15CA" w:rsidRDefault="006F15CA" w:rsidP="006F15CA">
      <w:pPr>
        <w:pStyle w:val="ListParagraph"/>
        <w:numPr>
          <w:ilvl w:val="1"/>
          <w:numId w:val="18"/>
        </w:numPr>
        <w:spacing w:before="0" w:after="0"/>
      </w:pPr>
      <w:r>
        <w:t xml:space="preserve">132 kV D/C: </w:t>
      </w:r>
      <w:proofErr w:type="spellStart"/>
      <w:r>
        <w:t>Kusaha</w:t>
      </w:r>
      <w:proofErr w:type="spellEnd"/>
      <w:r>
        <w:t xml:space="preserve"> – </w:t>
      </w:r>
      <w:proofErr w:type="spellStart"/>
      <w:r>
        <w:t>Kataiya</w:t>
      </w:r>
      <w:proofErr w:type="spellEnd"/>
      <w:r>
        <w:t xml:space="preserve"> Line</w:t>
      </w:r>
    </w:p>
    <w:p w14:paraId="7F723217" w14:textId="77777777" w:rsidR="006F15CA" w:rsidRDefault="006F15CA" w:rsidP="006F15CA">
      <w:pPr>
        <w:pStyle w:val="ListParagraph"/>
        <w:numPr>
          <w:ilvl w:val="1"/>
          <w:numId w:val="18"/>
        </w:numPr>
        <w:spacing w:before="0" w:after="0"/>
      </w:pPr>
      <w:r>
        <w:t xml:space="preserve">132 kV: </w:t>
      </w:r>
      <w:proofErr w:type="spellStart"/>
      <w:r>
        <w:t>Kusaha</w:t>
      </w:r>
      <w:proofErr w:type="spellEnd"/>
      <w:r>
        <w:t xml:space="preserve"> – </w:t>
      </w:r>
      <w:proofErr w:type="spellStart"/>
      <w:r>
        <w:t>Kataiya</w:t>
      </w:r>
      <w:proofErr w:type="spellEnd"/>
      <w:r>
        <w:t xml:space="preserve"> Line (Second Circuit)</w:t>
      </w:r>
    </w:p>
    <w:p w14:paraId="5AF898BC" w14:textId="77777777" w:rsidR="006F15CA" w:rsidRDefault="006F15CA" w:rsidP="006F15CA">
      <w:pPr>
        <w:pStyle w:val="ListParagraph"/>
        <w:numPr>
          <w:ilvl w:val="1"/>
          <w:numId w:val="18"/>
        </w:numPr>
        <w:spacing w:before="0" w:after="0"/>
      </w:pPr>
      <w:r>
        <w:t xml:space="preserve">132 kV S/C: </w:t>
      </w:r>
      <w:proofErr w:type="spellStart"/>
      <w:r>
        <w:t>Ramnagar</w:t>
      </w:r>
      <w:proofErr w:type="spellEnd"/>
      <w:r>
        <w:t xml:space="preserve"> – Gandak (</w:t>
      </w:r>
      <w:proofErr w:type="spellStart"/>
      <w:r>
        <w:t>Surajpura</w:t>
      </w:r>
      <w:proofErr w:type="spellEnd"/>
      <w:r>
        <w:t>) Line</w:t>
      </w:r>
    </w:p>
    <w:p w14:paraId="0E085238" w14:textId="77777777" w:rsidR="006F15CA" w:rsidRDefault="006F15CA" w:rsidP="006F15CA">
      <w:pPr>
        <w:pStyle w:val="ListParagraph"/>
        <w:numPr>
          <w:ilvl w:val="1"/>
          <w:numId w:val="18"/>
        </w:numPr>
        <w:spacing w:before="0" w:after="0"/>
      </w:pPr>
      <w:r>
        <w:t xml:space="preserve">132 kV S/C: </w:t>
      </w:r>
      <w:proofErr w:type="spellStart"/>
      <w:r>
        <w:t>Mahendranagar</w:t>
      </w:r>
      <w:proofErr w:type="spellEnd"/>
      <w:r>
        <w:t xml:space="preserve"> – </w:t>
      </w:r>
      <w:proofErr w:type="spellStart"/>
      <w:r>
        <w:t>Tanakpur</w:t>
      </w:r>
      <w:proofErr w:type="spellEnd"/>
      <w:r>
        <w:t xml:space="preserve"> Line</w:t>
      </w:r>
    </w:p>
    <w:p w14:paraId="7046F3BA" w14:textId="77777777" w:rsidR="006F15CA" w:rsidRDefault="006F15CA" w:rsidP="006F15CA">
      <w:pPr>
        <w:pStyle w:val="ListParagraph"/>
        <w:numPr>
          <w:ilvl w:val="1"/>
          <w:numId w:val="18"/>
        </w:numPr>
        <w:spacing w:before="0" w:after="0"/>
      </w:pPr>
      <w:r>
        <w:t xml:space="preserve">132 kV S/C: </w:t>
      </w:r>
      <w:proofErr w:type="spellStart"/>
      <w:r>
        <w:t>Raxaul</w:t>
      </w:r>
      <w:proofErr w:type="spellEnd"/>
      <w:r>
        <w:t xml:space="preserve"> – </w:t>
      </w:r>
      <w:proofErr w:type="spellStart"/>
      <w:r>
        <w:t>Parwanipur</w:t>
      </w:r>
      <w:proofErr w:type="spellEnd"/>
      <w:r>
        <w:t xml:space="preserve"> Line</w:t>
      </w:r>
    </w:p>
    <w:p w14:paraId="6D01080D" w14:textId="77777777" w:rsidR="006F15CA" w:rsidRDefault="006F15CA" w:rsidP="006F15CA">
      <w:pPr>
        <w:pStyle w:val="ListParagraph"/>
        <w:numPr>
          <w:ilvl w:val="1"/>
          <w:numId w:val="18"/>
        </w:numPr>
        <w:spacing w:before="0" w:after="0"/>
      </w:pPr>
      <w:r>
        <w:t xml:space="preserve">132 kV: </w:t>
      </w:r>
      <w:proofErr w:type="spellStart"/>
      <w:r>
        <w:t>Raxaul</w:t>
      </w:r>
      <w:proofErr w:type="spellEnd"/>
      <w:r>
        <w:t xml:space="preserve"> – </w:t>
      </w:r>
      <w:proofErr w:type="spellStart"/>
      <w:r>
        <w:t>Parwanipur</w:t>
      </w:r>
      <w:proofErr w:type="spellEnd"/>
      <w:r>
        <w:t xml:space="preserve"> (Second Circuit) Line</w:t>
      </w:r>
    </w:p>
    <w:p w14:paraId="5B9EC0B3" w14:textId="77777777" w:rsidR="006F15CA" w:rsidRDefault="006F15CA" w:rsidP="006F15CA">
      <w:pPr>
        <w:pStyle w:val="ListParagraph"/>
        <w:numPr>
          <w:ilvl w:val="1"/>
          <w:numId w:val="18"/>
        </w:numPr>
        <w:spacing w:before="0" w:after="0"/>
      </w:pPr>
      <w:r>
        <w:t xml:space="preserve">33 kV S/C: </w:t>
      </w:r>
      <w:proofErr w:type="spellStart"/>
      <w:r>
        <w:t>Birganj</w:t>
      </w:r>
      <w:proofErr w:type="spellEnd"/>
      <w:r>
        <w:t xml:space="preserve"> – </w:t>
      </w:r>
      <w:proofErr w:type="spellStart"/>
      <w:r>
        <w:t>Raxaul</w:t>
      </w:r>
      <w:proofErr w:type="spellEnd"/>
      <w:r>
        <w:t xml:space="preserve"> Line</w:t>
      </w:r>
    </w:p>
    <w:p w14:paraId="7453751B" w14:textId="77777777" w:rsidR="006F15CA" w:rsidRDefault="006F15CA" w:rsidP="006F15CA">
      <w:pPr>
        <w:pStyle w:val="ListParagraph"/>
        <w:numPr>
          <w:ilvl w:val="1"/>
          <w:numId w:val="18"/>
        </w:numPr>
        <w:spacing w:before="0" w:after="0"/>
      </w:pPr>
      <w:r>
        <w:t xml:space="preserve">33 kV S/C: </w:t>
      </w:r>
      <w:proofErr w:type="spellStart"/>
      <w:r>
        <w:t>Jaleshwar</w:t>
      </w:r>
      <w:proofErr w:type="spellEnd"/>
      <w:r>
        <w:t xml:space="preserve"> – Sitamarhi Line</w:t>
      </w:r>
    </w:p>
    <w:p w14:paraId="40C08418" w14:textId="77777777" w:rsidR="006F15CA" w:rsidRDefault="006F15CA" w:rsidP="006F15CA">
      <w:pPr>
        <w:pStyle w:val="ListParagraph"/>
        <w:numPr>
          <w:ilvl w:val="1"/>
          <w:numId w:val="18"/>
        </w:numPr>
        <w:spacing w:before="0" w:after="0"/>
      </w:pPr>
      <w:r>
        <w:t xml:space="preserve">33 kV S/C: </w:t>
      </w:r>
      <w:proofErr w:type="spellStart"/>
      <w:r>
        <w:t>Sirha</w:t>
      </w:r>
      <w:proofErr w:type="spellEnd"/>
      <w:r>
        <w:t xml:space="preserve"> – </w:t>
      </w:r>
      <w:proofErr w:type="spellStart"/>
      <w:r>
        <w:t>Jaynagar</w:t>
      </w:r>
      <w:proofErr w:type="spellEnd"/>
      <w:r>
        <w:t xml:space="preserve"> Line</w:t>
      </w:r>
    </w:p>
    <w:p w14:paraId="34986D27" w14:textId="77777777" w:rsidR="006F15CA" w:rsidRDefault="006F15CA" w:rsidP="006F15CA">
      <w:pPr>
        <w:pStyle w:val="ListParagraph"/>
        <w:numPr>
          <w:ilvl w:val="1"/>
          <w:numId w:val="18"/>
        </w:numPr>
        <w:spacing w:before="0" w:after="0"/>
      </w:pPr>
      <w:r>
        <w:t xml:space="preserve">33 kV S/C: </w:t>
      </w:r>
      <w:proofErr w:type="spellStart"/>
      <w:r>
        <w:t>Rajbiraj</w:t>
      </w:r>
      <w:proofErr w:type="spellEnd"/>
      <w:r>
        <w:t xml:space="preserve"> – </w:t>
      </w:r>
      <w:proofErr w:type="spellStart"/>
      <w:r>
        <w:t>Kataiya</w:t>
      </w:r>
      <w:proofErr w:type="spellEnd"/>
      <w:r>
        <w:t xml:space="preserve"> Line</w:t>
      </w:r>
    </w:p>
    <w:p w14:paraId="56A0423D" w14:textId="77777777" w:rsidR="006F15CA" w:rsidRDefault="006F15CA" w:rsidP="006F15CA">
      <w:pPr>
        <w:pStyle w:val="ListParagraph"/>
        <w:numPr>
          <w:ilvl w:val="1"/>
          <w:numId w:val="18"/>
        </w:numPr>
        <w:spacing w:before="0" w:after="0"/>
      </w:pPr>
      <w:r>
        <w:t xml:space="preserve">33 kV S/C: Biratnagar – </w:t>
      </w:r>
      <w:proofErr w:type="spellStart"/>
      <w:r>
        <w:t>Kataiya</w:t>
      </w:r>
      <w:proofErr w:type="spellEnd"/>
      <w:r>
        <w:t xml:space="preserve"> Line</w:t>
      </w:r>
    </w:p>
    <w:p w14:paraId="5D1A0C87" w14:textId="77777777" w:rsidR="006F15CA" w:rsidRDefault="006F15CA" w:rsidP="006F15CA">
      <w:pPr>
        <w:pStyle w:val="ListParagraph"/>
        <w:numPr>
          <w:ilvl w:val="1"/>
          <w:numId w:val="18"/>
        </w:numPr>
        <w:spacing w:before="0" w:after="0"/>
      </w:pPr>
      <w:r>
        <w:t xml:space="preserve">33 kV S/C: Nepalgunj – </w:t>
      </w:r>
      <w:proofErr w:type="spellStart"/>
      <w:r>
        <w:t>Nanpara</w:t>
      </w:r>
      <w:proofErr w:type="spellEnd"/>
      <w:r>
        <w:t xml:space="preserve"> Line</w:t>
      </w:r>
    </w:p>
    <w:p w14:paraId="4B5F863C" w14:textId="77777777" w:rsidR="006F15CA" w:rsidRDefault="006F15CA" w:rsidP="006F15CA">
      <w:pPr>
        <w:pStyle w:val="ListParagraph"/>
        <w:numPr>
          <w:ilvl w:val="1"/>
          <w:numId w:val="18"/>
        </w:numPr>
        <w:spacing w:before="0" w:after="0"/>
      </w:pPr>
      <w:r>
        <w:t xml:space="preserve">33 kV S/C: </w:t>
      </w:r>
      <w:proofErr w:type="spellStart"/>
      <w:r>
        <w:t>Mahendranagar</w:t>
      </w:r>
      <w:proofErr w:type="spellEnd"/>
      <w:r>
        <w:t xml:space="preserve"> – Lohia Line</w:t>
      </w:r>
    </w:p>
    <w:p w14:paraId="2AAD9AEB" w14:textId="77777777" w:rsidR="006F15CA" w:rsidRDefault="006F15CA" w:rsidP="006F15CA">
      <w:pPr>
        <w:pStyle w:val="ListParagraph"/>
        <w:numPr>
          <w:ilvl w:val="1"/>
          <w:numId w:val="18"/>
        </w:numPr>
        <w:spacing w:before="0" w:after="0"/>
      </w:pPr>
      <w:r>
        <w:t>11 kV: Baitadi – Pithoragarh Line</w:t>
      </w:r>
    </w:p>
    <w:p w14:paraId="611CEB28" w14:textId="77777777" w:rsidR="006F15CA" w:rsidRDefault="006F15CA" w:rsidP="006F15CA">
      <w:pPr>
        <w:pStyle w:val="ListParagraph"/>
        <w:numPr>
          <w:ilvl w:val="1"/>
          <w:numId w:val="18"/>
        </w:numPr>
        <w:spacing w:before="0" w:after="0"/>
      </w:pPr>
      <w:r>
        <w:t xml:space="preserve">11 kV: </w:t>
      </w:r>
      <w:proofErr w:type="spellStart"/>
      <w:r>
        <w:t>Jaljibe</w:t>
      </w:r>
      <w:proofErr w:type="spellEnd"/>
      <w:r>
        <w:t xml:space="preserve"> – </w:t>
      </w:r>
      <w:proofErr w:type="spellStart"/>
      <w:r>
        <w:t>Dharchula</w:t>
      </w:r>
      <w:proofErr w:type="spellEnd"/>
      <w:r>
        <w:t xml:space="preserve"> Line</w:t>
      </w:r>
    </w:p>
    <w:p w14:paraId="2D7649CE" w14:textId="77777777" w:rsidR="006F15CA" w:rsidRDefault="006F15CA" w:rsidP="006F15CA">
      <w:pPr>
        <w:pStyle w:val="ListParagraph"/>
        <w:numPr>
          <w:ilvl w:val="1"/>
          <w:numId w:val="18"/>
        </w:numPr>
        <w:spacing w:before="0" w:after="0"/>
      </w:pPr>
      <w:r>
        <w:t xml:space="preserve">11 kV: </w:t>
      </w:r>
      <w:proofErr w:type="spellStart"/>
      <w:r>
        <w:t>Pipli</w:t>
      </w:r>
      <w:proofErr w:type="spellEnd"/>
      <w:r>
        <w:t xml:space="preserve"> – </w:t>
      </w:r>
      <w:proofErr w:type="spellStart"/>
      <w:r>
        <w:t>Dharchula</w:t>
      </w:r>
      <w:proofErr w:type="spellEnd"/>
      <w:r>
        <w:t xml:space="preserve"> Line</w:t>
      </w:r>
    </w:p>
    <w:p w14:paraId="2DFA295F" w14:textId="77777777" w:rsidR="006F15CA" w:rsidRDefault="006F15CA" w:rsidP="006F15CA">
      <w:pPr>
        <w:pStyle w:val="ListParagraph"/>
        <w:spacing w:before="0" w:after="0"/>
        <w:ind w:left="1440"/>
      </w:pPr>
    </w:p>
    <w:p w14:paraId="7111EA90" w14:textId="77777777" w:rsidR="006F15CA" w:rsidRDefault="006F15CA" w:rsidP="006F15CA">
      <w:pPr>
        <w:pStyle w:val="ListParagraph"/>
        <w:numPr>
          <w:ilvl w:val="0"/>
          <w:numId w:val="18"/>
        </w:numPr>
        <w:spacing w:before="0" w:after="0"/>
      </w:pPr>
      <w:r>
        <w:t xml:space="preserve">Proposed/ </w:t>
      </w:r>
      <w:proofErr w:type="spellStart"/>
      <w:r>
        <w:t>underconstruction</w:t>
      </w:r>
      <w:proofErr w:type="spellEnd"/>
      <w:r>
        <w:t xml:space="preserve"> lines:</w:t>
      </w:r>
    </w:p>
    <w:p w14:paraId="57609A56" w14:textId="77777777" w:rsidR="006F15CA" w:rsidRDefault="006F15CA" w:rsidP="006F15CA">
      <w:pPr>
        <w:pStyle w:val="ListParagraph"/>
        <w:numPr>
          <w:ilvl w:val="1"/>
          <w:numId w:val="18"/>
        </w:numPr>
        <w:spacing w:before="0" w:after="0"/>
      </w:pPr>
      <w:r>
        <w:t>400 kV D/C: Butwal – Gorakhpur Line</w:t>
      </w:r>
    </w:p>
    <w:p w14:paraId="300DB12E" w14:textId="77777777" w:rsidR="006F15CA" w:rsidRDefault="006F15CA" w:rsidP="006F15CA">
      <w:pPr>
        <w:pStyle w:val="ListParagraph"/>
        <w:numPr>
          <w:ilvl w:val="1"/>
          <w:numId w:val="18"/>
        </w:numPr>
        <w:spacing w:before="0" w:after="0"/>
      </w:pPr>
      <w:r>
        <w:t xml:space="preserve">400 kV D/C: Muzaffarpur – </w:t>
      </w:r>
      <w:proofErr w:type="spellStart"/>
      <w:r>
        <w:t>Dhalkebar</w:t>
      </w:r>
      <w:proofErr w:type="spellEnd"/>
      <w:r>
        <w:t xml:space="preserve"> (Second Line)</w:t>
      </w:r>
    </w:p>
    <w:p w14:paraId="185306AF" w14:textId="77777777" w:rsidR="006F15CA" w:rsidRDefault="006F15CA" w:rsidP="006F15CA">
      <w:pPr>
        <w:pStyle w:val="ListParagraph"/>
        <w:numPr>
          <w:ilvl w:val="1"/>
          <w:numId w:val="18"/>
        </w:numPr>
        <w:spacing w:before="0" w:after="0"/>
      </w:pPr>
      <w:r>
        <w:t>400 kV D/C: Lumki – Bareilly Line</w:t>
      </w:r>
    </w:p>
    <w:p w14:paraId="44341A4D" w14:textId="77777777" w:rsidR="006F15CA" w:rsidRDefault="006F15CA" w:rsidP="006F15CA">
      <w:pPr>
        <w:pStyle w:val="ListParagraph"/>
        <w:numPr>
          <w:ilvl w:val="1"/>
          <w:numId w:val="18"/>
        </w:numPr>
        <w:spacing w:before="0" w:after="0"/>
      </w:pPr>
      <w:r>
        <w:t xml:space="preserve">400 kV D/C: New </w:t>
      </w:r>
      <w:proofErr w:type="spellStart"/>
      <w:r>
        <w:t>Duhabi</w:t>
      </w:r>
      <w:proofErr w:type="spellEnd"/>
      <w:r>
        <w:t xml:space="preserve"> – New </w:t>
      </w:r>
      <w:proofErr w:type="spellStart"/>
      <w:r>
        <w:t>Purnea</w:t>
      </w:r>
      <w:proofErr w:type="spellEnd"/>
      <w:r>
        <w:t xml:space="preserve"> Line</w:t>
      </w:r>
    </w:p>
    <w:p w14:paraId="1DE1D4B1" w14:textId="77777777" w:rsidR="006F15CA" w:rsidRDefault="006F15CA" w:rsidP="006F15CA">
      <w:pPr>
        <w:pStyle w:val="ListParagraph"/>
        <w:numPr>
          <w:ilvl w:val="1"/>
          <w:numId w:val="18"/>
        </w:numPr>
        <w:spacing w:before="0" w:after="0"/>
      </w:pPr>
      <w:r>
        <w:t xml:space="preserve">400 kV D/C: Sitamarhi – </w:t>
      </w:r>
      <w:proofErr w:type="spellStart"/>
      <w:r>
        <w:t>Dhalkebar</w:t>
      </w:r>
      <w:proofErr w:type="spellEnd"/>
      <w:r>
        <w:t xml:space="preserve"> Line</w:t>
      </w:r>
    </w:p>
    <w:p w14:paraId="7BA9402C" w14:textId="77777777" w:rsidR="006F15CA" w:rsidRDefault="006F15CA" w:rsidP="006F15CA">
      <w:pPr>
        <w:pStyle w:val="ListParagraph"/>
        <w:numPr>
          <w:ilvl w:val="1"/>
          <w:numId w:val="18"/>
        </w:numPr>
        <w:spacing w:before="0" w:after="0"/>
      </w:pPr>
      <w:r>
        <w:t xml:space="preserve">400 kV D/C: </w:t>
      </w:r>
      <w:proofErr w:type="spellStart"/>
      <w:r>
        <w:t>Hetauda</w:t>
      </w:r>
      <w:proofErr w:type="spellEnd"/>
      <w:r>
        <w:t xml:space="preserve"> – </w:t>
      </w:r>
      <w:proofErr w:type="spellStart"/>
      <w:r>
        <w:t>Dhalkebar</w:t>
      </w:r>
      <w:proofErr w:type="spellEnd"/>
      <w:r>
        <w:t xml:space="preserve"> – </w:t>
      </w:r>
      <w:proofErr w:type="spellStart"/>
      <w:r>
        <w:t>Inaruwa</w:t>
      </w:r>
      <w:proofErr w:type="spellEnd"/>
      <w:r>
        <w:t xml:space="preserve"> Line</w:t>
      </w:r>
    </w:p>
    <w:p w14:paraId="270FC8D4" w14:textId="77777777" w:rsidR="006F15CA" w:rsidRDefault="006F15CA" w:rsidP="006F15CA">
      <w:pPr>
        <w:pStyle w:val="ListParagraph"/>
        <w:numPr>
          <w:ilvl w:val="1"/>
          <w:numId w:val="18"/>
        </w:numPr>
        <w:spacing w:before="0" w:after="0"/>
      </w:pPr>
      <w:r>
        <w:t xml:space="preserve">132 kV: Nepalgunj – </w:t>
      </w:r>
      <w:proofErr w:type="spellStart"/>
      <w:r>
        <w:t>Nanpara</w:t>
      </w:r>
      <w:proofErr w:type="spellEnd"/>
      <w:r>
        <w:t xml:space="preserve"> Cross-Border Line</w:t>
      </w:r>
    </w:p>
    <w:p w14:paraId="239835C6" w14:textId="77777777" w:rsidR="006F15CA" w:rsidRDefault="006F15CA" w:rsidP="006F15CA"/>
    <w:p w14:paraId="2153AEB8" w14:textId="77777777" w:rsidR="006F15CA" w:rsidRPr="002C11DF" w:rsidRDefault="006F15CA" w:rsidP="006F15CA">
      <w:pPr>
        <w:rPr>
          <w:i/>
          <w:iCs/>
        </w:rPr>
      </w:pPr>
      <w:r w:rsidRPr="002C11DF">
        <w:rPr>
          <w:i/>
          <w:iCs/>
        </w:rPr>
        <w:t>B. Interconnection between India and Bangladesh</w:t>
      </w:r>
      <w:r w:rsidRPr="002C11DF">
        <w:rPr>
          <w:rStyle w:val="FootnoteReference"/>
          <w:i/>
          <w:iCs/>
        </w:rPr>
        <w:footnoteReference w:id="35"/>
      </w:r>
    </w:p>
    <w:p w14:paraId="22628EC1" w14:textId="77777777" w:rsidR="006F15CA" w:rsidRDefault="006F15CA" w:rsidP="006F15CA">
      <w:pPr>
        <w:pStyle w:val="ListParagraph"/>
        <w:numPr>
          <w:ilvl w:val="0"/>
          <w:numId w:val="18"/>
        </w:numPr>
        <w:spacing w:before="0" w:after="0"/>
      </w:pPr>
      <w:r>
        <w:t>Existing/ operational lines:</w:t>
      </w:r>
    </w:p>
    <w:p w14:paraId="3A0B47A6" w14:textId="77777777" w:rsidR="006F15CA" w:rsidRPr="000E5828" w:rsidRDefault="006F15CA" w:rsidP="006F15CA">
      <w:pPr>
        <w:pStyle w:val="ListParagraph"/>
        <w:numPr>
          <w:ilvl w:val="1"/>
          <w:numId w:val="18"/>
        </w:numPr>
        <w:spacing w:before="0" w:after="0"/>
      </w:pPr>
      <w:r w:rsidRPr="000E5828">
        <w:t xml:space="preserve">400 kV D/C: </w:t>
      </w:r>
      <w:proofErr w:type="spellStart"/>
      <w:r w:rsidRPr="000E5828">
        <w:t>Baharampur</w:t>
      </w:r>
      <w:proofErr w:type="spellEnd"/>
      <w:r w:rsidRPr="000E5828">
        <w:t xml:space="preserve"> – </w:t>
      </w:r>
      <w:proofErr w:type="spellStart"/>
      <w:r w:rsidRPr="000E5828">
        <w:t>Bheramara</w:t>
      </w:r>
      <w:proofErr w:type="spellEnd"/>
      <w:r w:rsidRPr="000E5828">
        <w:t xml:space="preserve"> Line</w:t>
      </w:r>
    </w:p>
    <w:p w14:paraId="5DC8745C" w14:textId="77777777" w:rsidR="006F15CA" w:rsidRDefault="006F15CA" w:rsidP="006F15CA">
      <w:pPr>
        <w:pStyle w:val="ListParagraph"/>
        <w:numPr>
          <w:ilvl w:val="1"/>
          <w:numId w:val="18"/>
        </w:numPr>
        <w:spacing w:before="0" w:after="0"/>
      </w:pPr>
      <w:r w:rsidRPr="000E5828">
        <w:t xml:space="preserve">400 kV (operated at 132 kV): </w:t>
      </w:r>
      <w:proofErr w:type="spellStart"/>
      <w:r w:rsidRPr="000E5828">
        <w:t>Surjyamaninagar</w:t>
      </w:r>
      <w:proofErr w:type="spellEnd"/>
      <w:r w:rsidRPr="000E5828">
        <w:t xml:space="preserve"> – North </w:t>
      </w:r>
      <w:proofErr w:type="spellStart"/>
      <w:r w:rsidRPr="000E5828">
        <w:t>Comila</w:t>
      </w:r>
      <w:proofErr w:type="spellEnd"/>
      <w:r w:rsidRPr="000E5828">
        <w:t xml:space="preserve"> – South </w:t>
      </w:r>
      <w:proofErr w:type="spellStart"/>
      <w:r w:rsidRPr="000E5828">
        <w:t>Comila</w:t>
      </w:r>
      <w:proofErr w:type="spellEnd"/>
      <w:r w:rsidRPr="000E5828">
        <w:t xml:space="preserve"> Line</w:t>
      </w:r>
    </w:p>
    <w:p w14:paraId="6E24CB14" w14:textId="77777777" w:rsidR="006F15CA" w:rsidRDefault="006F15CA" w:rsidP="006F15CA">
      <w:pPr>
        <w:pStyle w:val="ListParagraph"/>
        <w:numPr>
          <w:ilvl w:val="1"/>
          <w:numId w:val="18"/>
        </w:numPr>
        <w:spacing w:before="0" w:after="0"/>
      </w:pPr>
      <w:r>
        <w:t xml:space="preserve">400 kV </w:t>
      </w:r>
      <w:proofErr w:type="spellStart"/>
      <w:r>
        <w:t>Godda</w:t>
      </w:r>
      <w:proofErr w:type="spellEnd"/>
      <w:r>
        <w:t xml:space="preserve"> </w:t>
      </w:r>
      <w:proofErr w:type="spellStart"/>
      <w:r>
        <w:t>Bogura</w:t>
      </w:r>
      <w:proofErr w:type="spellEnd"/>
      <w:r>
        <w:t xml:space="preserve"> D/C transmission line</w:t>
      </w:r>
    </w:p>
    <w:p w14:paraId="148FC06B" w14:textId="77777777" w:rsidR="006F15CA" w:rsidRDefault="006F15CA" w:rsidP="006F15CA">
      <w:pPr>
        <w:pStyle w:val="ListParagraph"/>
        <w:numPr>
          <w:ilvl w:val="0"/>
          <w:numId w:val="18"/>
        </w:numPr>
        <w:spacing w:before="0" w:after="0"/>
      </w:pPr>
      <w:r>
        <w:t xml:space="preserve">Proposed/ </w:t>
      </w:r>
      <w:proofErr w:type="spellStart"/>
      <w:r>
        <w:t>underconstruction</w:t>
      </w:r>
      <w:proofErr w:type="spellEnd"/>
      <w:r>
        <w:t xml:space="preserve"> lines:</w:t>
      </w:r>
    </w:p>
    <w:p w14:paraId="69D58FFA" w14:textId="77777777" w:rsidR="006F15CA" w:rsidRDefault="006F15CA" w:rsidP="006F15CA">
      <w:pPr>
        <w:pStyle w:val="ListParagraph"/>
        <w:numPr>
          <w:ilvl w:val="1"/>
          <w:numId w:val="18"/>
        </w:numPr>
        <w:spacing w:before="0" w:after="0"/>
      </w:pPr>
      <w:r w:rsidRPr="002E75AE">
        <w:t xml:space="preserve">765 kV D/C Katihar – </w:t>
      </w:r>
      <w:proofErr w:type="spellStart"/>
      <w:r w:rsidRPr="002E75AE">
        <w:t>Parbotipur</w:t>
      </w:r>
      <w:proofErr w:type="spellEnd"/>
      <w:r w:rsidRPr="002E75AE">
        <w:t xml:space="preserve"> – </w:t>
      </w:r>
      <w:proofErr w:type="spellStart"/>
      <w:r w:rsidRPr="002E75AE">
        <w:t>Bornagar</w:t>
      </w:r>
      <w:proofErr w:type="spellEnd"/>
      <w:r w:rsidRPr="002E75AE">
        <w:t xml:space="preserve"> Line</w:t>
      </w:r>
    </w:p>
    <w:p w14:paraId="4101521F" w14:textId="77777777" w:rsidR="006F15CA" w:rsidRDefault="006F15CA" w:rsidP="006F15CA">
      <w:pPr>
        <w:rPr>
          <w:b/>
          <w:bCs/>
          <w:i/>
          <w:iCs/>
        </w:rPr>
      </w:pPr>
    </w:p>
    <w:p w14:paraId="6AB8431B" w14:textId="77777777" w:rsidR="006F15CA" w:rsidRPr="002C11DF" w:rsidRDefault="006F15CA" w:rsidP="006F15CA">
      <w:pPr>
        <w:rPr>
          <w:i/>
          <w:iCs/>
        </w:rPr>
      </w:pPr>
      <w:r w:rsidRPr="002C11DF">
        <w:rPr>
          <w:i/>
          <w:iCs/>
        </w:rPr>
        <w:t>B. Interconnection between India and B</w:t>
      </w:r>
      <w:r>
        <w:rPr>
          <w:i/>
          <w:iCs/>
        </w:rPr>
        <w:t>hutan</w:t>
      </w:r>
      <w:r>
        <w:rPr>
          <w:rStyle w:val="FootnoteReference"/>
          <w:i/>
          <w:iCs/>
        </w:rPr>
        <w:footnoteReference w:id="36"/>
      </w:r>
    </w:p>
    <w:p w14:paraId="39F34677" w14:textId="77777777" w:rsidR="006F15CA" w:rsidRDefault="006F15CA" w:rsidP="006F15CA">
      <w:pPr>
        <w:pStyle w:val="ListParagraph"/>
        <w:numPr>
          <w:ilvl w:val="0"/>
          <w:numId w:val="18"/>
        </w:numPr>
        <w:spacing w:before="0" w:after="0"/>
      </w:pPr>
      <w:r>
        <w:t>Existing/ operational lines:</w:t>
      </w:r>
    </w:p>
    <w:p w14:paraId="44E30D09" w14:textId="77777777" w:rsidR="006F15CA" w:rsidRPr="0009025F" w:rsidRDefault="006F15CA" w:rsidP="006F15CA">
      <w:pPr>
        <w:pStyle w:val="ListParagraph"/>
        <w:numPr>
          <w:ilvl w:val="1"/>
          <w:numId w:val="18"/>
        </w:numPr>
        <w:spacing w:before="0" w:after="0"/>
      </w:pPr>
      <w:r w:rsidRPr="0009025F">
        <w:t xml:space="preserve">400 kV </w:t>
      </w:r>
      <w:proofErr w:type="spellStart"/>
      <w:proofErr w:type="gramStart"/>
      <w:r w:rsidRPr="0009025F">
        <w:t>Binaguri</w:t>
      </w:r>
      <w:proofErr w:type="spellEnd"/>
      <w:r w:rsidRPr="0009025F">
        <w:t>(</w:t>
      </w:r>
      <w:proofErr w:type="gramEnd"/>
      <w:r w:rsidRPr="0009025F">
        <w:t>ER,IN) – Tala I &amp; II(BH)</w:t>
      </w:r>
    </w:p>
    <w:p w14:paraId="5577E8E3" w14:textId="77777777" w:rsidR="006F15CA" w:rsidRPr="0009025F" w:rsidRDefault="006F15CA" w:rsidP="006F15CA">
      <w:pPr>
        <w:pStyle w:val="ListParagraph"/>
        <w:numPr>
          <w:ilvl w:val="1"/>
          <w:numId w:val="18"/>
        </w:numPr>
        <w:spacing w:before="0" w:after="0"/>
      </w:pPr>
      <w:r w:rsidRPr="0009025F">
        <w:t xml:space="preserve">400 kV </w:t>
      </w:r>
      <w:proofErr w:type="spellStart"/>
      <w:proofErr w:type="gramStart"/>
      <w:r w:rsidRPr="0009025F">
        <w:t>Binaguri</w:t>
      </w:r>
      <w:proofErr w:type="spellEnd"/>
      <w:r w:rsidRPr="0009025F">
        <w:t>(</w:t>
      </w:r>
      <w:proofErr w:type="gramEnd"/>
      <w:r w:rsidRPr="0009025F">
        <w:t>ER,IN)– Tala IV (BH)</w:t>
      </w:r>
    </w:p>
    <w:p w14:paraId="742E2567" w14:textId="77777777" w:rsidR="006F15CA" w:rsidRPr="0009025F" w:rsidRDefault="006F15CA" w:rsidP="006F15CA">
      <w:pPr>
        <w:pStyle w:val="ListParagraph"/>
        <w:numPr>
          <w:ilvl w:val="1"/>
          <w:numId w:val="18"/>
        </w:numPr>
        <w:spacing w:before="0" w:after="0"/>
      </w:pPr>
      <w:r w:rsidRPr="0009025F">
        <w:t xml:space="preserve">400 kV </w:t>
      </w:r>
      <w:proofErr w:type="spellStart"/>
      <w:proofErr w:type="gramStart"/>
      <w:r w:rsidRPr="0009025F">
        <w:t>Binaguri</w:t>
      </w:r>
      <w:proofErr w:type="spellEnd"/>
      <w:r w:rsidRPr="0009025F">
        <w:t>(</w:t>
      </w:r>
      <w:proofErr w:type="gramEnd"/>
      <w:r w:rsidRPr="0009025F">
        <w:t>ER,IN) –</w:t>
      </w:r>
      <w:proofErr w:type="spellStart"/>
      <w:r w:rsidRPr="0009025F">
        <w:t>Malbase</w:t>
      </w:r>
      <w:proofErr w:type="spellEnd"/>
      <w:r w:rsidRPr="0009025F">
        <w:t>(BH)</w:t>
      </w:r>
    </w:p>
    <w:p w14:paraId="295DD190" w14:textId="77777777" w:rsidR="006F15CA" w:rsidRPr="0009025F" w:rsidRDefault="006F15CA" w:rsidP="006F15CA">
      <w:pPr>
        <w:pStyle w:val="ListParagraph"/>
        <w:numPr>
          <w:ilvl w:val="1"/>
          <w:numId w:val="18"/>
        </w:numPr>
        <w:spacing w:before="0" w:after="0"/>
      </w:pPr>
      <w:r w:rsidRPr="0009025F">
        <w:t xml:space="preserve">400 kV </w:t>
      </w:r>
      <w:proofErr w:type="spellStart"/>
      <w:r w:rsidRPr="0009025F">
        <w:t>Alipurduar</w:t>
      </w:r>
      <w:proofErr w:type="spellEnd"/>
      <w:r w:rsidRPr="0009025F">
        <w:t xml:space="preserve"> (</w:t>
      </w:r>
      <w:proofErr w:type="gramStart"/>
      <w:r w:rsidRPr="0009025F">
        <w:t>ER,IN</w:t>
      </w:r>
      <w:proofErr w:type="gramEnd"/>
      <w:r w:rsidRPr="0009025F">
        <w:t>)–</w:t>
      </w:r>
      <w:proofErr w:type="spellStart"/>
      <w:r w:rsidRPr="0009025F">
        <w:t>Jigmeling</w:t>
      </w:r>
      <w:proofErr w:type="spellEnd"/>
      <w:r w:rsidRPr="0009025F">
        <w:t xml:space="preserve"> (through </w:t>
      </w:r>
      <w:proofErr w:type="spellStart"/>
      <w:r w:rsidRPr="0009025F">
        <w:t>Punatsangchhu</w:t>
      </w:r>
      <w:proofErr w:type="spellEnd"/>
      <w:r w:rsidRPr="0009025F">
        <w:t>)(BH)</w:t>
      </w:r>
    </w:p>
    <w:p w14:paraId="0F3D3F95" w14:textId="77777777" w:rsidR="006F15CA" w:rsidRPr="0009025F" w:rsidRDefault="006F15CA" w:rsidP="006F15CA">
      <w:pPr>
        <w:pStyle w:val="ListParagraph"/>
        <w:numPr>
          <w:ilvl w:val="1"/>
          <w:numId w:val="18"/>
        </w:numPr>
        <w:spacing w:before="0" w:after="0"/>
      </w:pPr>
      <w:r w:rsidRPr="0009025F">
        <w:t xml:space="preserve">220 kV </w:t>
      </w:r>
      <w:proofErr w:type="spellStart"/>
      <w:proofErr w:type="gramStart"/>
      <w:r w:rsidRPr="0009025F">
        <w:t>Birpara</w:t>
      </w:r>
      <w:proofErr w:type="spellEnd"/>
      <w:r w:rsidRPr="0009025F">
        <w:t>(</w:t>
      </w:r>
      <w:proofErr w:type="gramEnd"/>
      <w:r w:rsidRPr="0009025F">
        <w:t>ER,IN) –</w:t>
      </w:r>
      <w:proofErr w:type="spellStart"/>
      <w:r w:rsidRPr="0009025F">
        <w:t>Chukha</w:t>
      </w:r>
      <w:proofErr w:type="spellEnd"/>
      <w:r w:rsidRPr="0009025F">
        <w:t>(BH)</w:t>
      </w:r>
    </w:p>
    <w:p w14:paraId="3BBCE86F" w14:textId="77777777" w:rsidR="006F15CA" w:rsidRPr="0009025F" w:rsidRDefault="006F15CA" w:rsidP="006F15CA">
      <w:pPr>
        <w:pStyle w:val="ListParagraph"/>
        <w:numPr>
          <w:ilvl w:val="1"/>
          <w:numId w:val="18"/>
        </w:numPr>
        <w:spacing w:before="0" w:after="0"/>
      </w:pPr>
      <w:r w:rsidRPr="0009025F">
        <w:t xml:space="preserve">220 kV </w:t>
      </w:r>
      <w:proofErr w:type="spellStart"/>
      <w:proofErr w:type="gramStart"/>
      <w:r w:rsidRPr="0009025F">
        <w:t>Birpara</w:t>
      </w:r>
      <w:proofErr w:type="spellEnd"/>
      <w:r w:rsidRPr="0009025F">
        <w:t>(</w:t>
      </w:r>
      <w:proofErr w:type="gramEnd"/>
      <w:r w:rsidRPr="0009025F">
        <w:t>ER,IN) –</w:t>
      </w:r>
      <w:proofErr w:type="spellStart"/>
      <w:r w:rsidRPr="0009025F">
        <w:t>Malbase</w:t>
      </w:r>
      <w:proofErr w:type="spellEnd"/>
      <w:r w:rsidRPr="0009025F">
        <w:t>(BH)</w:t>
      </w:r>
    </w:p>
    <w:p w14:paraId="592DB1BB" w14:textId="77777777" w:rsidR="006F15CA" w:rsidRPr="0009025F" w:rsidRDefault="006F15CA" w:rsidP="006F15CA">
      <w:pPr>
        <w:pStyle w:val="ListParagraph"/>
        <w:numPr>
          <w:ilvl w:val="1"/>
          <w:numId w:val="18"/>
        </w:numPr>
        <w:spacing w:before="0" w:after="0"/>
      </w:pPr>
      <w:r w:rsidRPr="0009025F">
        <w:t xml:space="preserve">132 kV </w:t>
      </w:r>
      <w:proofErr w:type="spellStart"/>
      <w:proofErr w:type="gramStart"/>
      <w:r w:rsidRPr="0009025F">
        <w:t>Salakati</w:t>
      </w:r>
      <w:proofErr w:type="spellEnd"/>
      <w:r w:rsidRPr="0009025F">
        <w:t>(</w:t>
      </w:r>
      <w:proofErr w:type="gramEnd"/>
      <w:r w:rsidRPr="0009025F">
        <w:t>NER,IN) –</w:t>
      </w:r>
      <w:proofErr w:type="spellStart"/>
      <w:r w:rsidRPr="0009025F">
        <w:t>Gelephu</w:t>
      </w:r>
      <w:proofErr w:type="spellEnd"/>
      <w:r w:rsidRPr="0009025F">
        <w:t xml:space="preserve">(BH) </w:t>
      </w:r>
    </w:p>
    <w:p w14:paraId="490830BE" w14:textId="77777777" w:rsidR="006F15CA" w:rsidRPr="000E5828" w:rsidRDefault="006F15CA" w:rsidP="006F15CA">
      <w:pPr>
        <w:pStyle w:val="ListParagraph"/>
        <w:numPr>
          <w:ilvl w:val="1"/>
          <w:numId w:val="18"/>
        </w:numPr>
        <w:spacing w:before="0" w:after="0"/>
      </w:pPr>
      <w:r w:rsidRPr="0009025F">
        <w:t xml:space="preserve">132 kV </w:t>
      </w:r>
      <w:proofErr w:type="spellStart"/>
      <w:proofErr w:type="gramStart"/>
      <w:r w:rsidRPr="0009025F">
        <w:t>Rangia</w:t>
      </w:r>
      <w:proofErr w:type="spellEnd"/>
      <w:r w:rsidRPr="0009025F">
        <w:t>(</w:t>
      </w:r>
      <w:proofErr w:type="gramEnd"/>
      <w:r w:rsidRPr="0009025F">
        <w:t>NER,IN) –</w:t>
      </w:r>
      <w:proofErr w:type="spellStart"/>
      <w:r w:rsidRPr="0009025F">
        <w:t>Motonga</w:t>
      </w:r>
      <w:proofErr w:type="spellEnd"/>
      <w:r w:rsidRPr="0009025F">
        <w:t>(BH)</w:t>
      </w:r>
    </w:p>
    <w:p w14:paraId="5A42D2BF" w14:textId="77777777" w:rsidR="006F15CA" w:rsidRDefault="006F15CA" w:rsidP="006F15CA">
      <w:pPr>
        <w:spacing w:after="0"/>
        <w:ind w:left="1080"/>
      </w:pPr>
    </w:p>
    <w:p w14:paraId="509BCE8A" w14:textId="77777777" w:rsidR="006F15CA" w:rsidRDefault="006F15CA" w:rsidP="006F15CA">
      <w:pPr>
        <w:pStyle w:val="ListParagraph"/>
        <w:numPr>
          <w:ilvl w:val="0"/>
          <w:numId w:val="18"/>
        </w:numPr>
        <w:spacing w:before="0" w:after="0"/>
      </w:pPr>
      <w:r>
        <w:t>Feeder connection (between Bhutan and Indian DISCOM):</w:t>
      </w:r>
    </w:p>
    <w:p w14:paraId="044F6638" w14:textId="77777777" w:rsidR="006F15CA" w:rsidRPr="00421441" w:rsidRDefault="006F15CA" w:rsidP="006F15CA">
      <w:pPr>
        <w:pStyle w:val="ListParagraph"/>
        <w:numPr>
          <w:ilvl w:val="1"/>
          <w:numId w:val="18"/>
        </w:numPr>
        <w:spacing w:before="0" w:after="0"/>
      </w:pPr>
      <w:r w:rsidRPr="00421441">
        <w:t xml:space="preserve">33 kV </w:t>
      </w:r>
      <w:proofErr w:type="spellStart"/>
      <w:r w:rsidRPr="00421441">
        <w:t>Tamalpur</w:t>
      </w:r>
      <w:proofErr w:type="spellEnd"/>
      <w:r w:rsidRPr="00421441">
        <w:t xml:space="preserve"> - </w:t>
      </w:r>
      <w:proofErr w:type="spellStart"/>
      <w:r w:rsidRPr="00421441">
        <w:t>Sandrupkhonar</w:t>
      </w:r>
      <w:proofErr w:type="spellEnd"/>
      <w:r w:rsidRPr="00421441">
        <w:t xml:space="preserve"> (Assam-NER grid)</w:t>
      </w:r>
    </w:p>
    <w:p w14:paraId="75111CE6" w14:textId="77777777" w:rsidR="006F15CA" w:rsidRPr="0009025F" w:rsidRDefault="006F15CA" w:rsidP="006F15CA">
      <w:pPr>
        <w:pStyle w:val="ListParagraph"/>
        <w:numPr>
          <w:ilvl w:val="1"/>
          <w:numId w:val="18"/>
        </w:numPr>
        <w:spacing w:before="0" w:after="0"/>
      </w:pPr>
      <w:r w:rsidRPr="00421441">
        <w:t xml:space="preserve">11 kV Rauta - </w:t>
      </w:r>
      <w:proofErr w:type="spellStart"/>
      <w:r w:rsidRPr="00421441">
        <w:t>Diafem</w:t>
      </w:r>
      <w:proofErr w:type="spellEnd"/>
      <w:r w:rsidRPr="00421441">
        <w:t xml:space="preserve"> (Assam-NER grid)</w:t>
      </w:r>
    </w:p>
    <w:p w14:paraId="2C8EAA5A" w14:textId="77777777" w:rsidR="006F15CA" w:rsidRDefault="006F15CA" w:rsidP="006F15CA">
      <w:pPr>
        <w:rPr>
          <w:b/>
          <w:bCs/>
          <w:i/>
          <w:iCs/>
        </w:rPr>
      </w:pPr>
    </w:p>
    <w:p w14:paraId="782A0FD7" w14:textId="77777777" w:rsidR="006F15CA" w:rsidRPr="002C11DF" w:rsidRDefault="006F15CA" w:rsidP="006F15CA">
      <w:pPr>
        <w:rPr>
          <w:i/>
          <w:iCs/>
        </w:rPr>
      </w:pPr>
      <w:r>
        <w:rPr>
          <w:i/>
          <w:iCs/>
        </w:rPr>
        <w:t>D</w:t>
      </w:r>
      <w:r w:rsidRPr="002C11DF">
        <w:rPr>
          <w:i/>
          <w:iCs/>
        </w:rPr>
        <w:t>. Interconnection between India and Sri Lanka</w:t>
      </w:r>
    </w:p>
    <w:p w14:paraId="0E5BCADA" w14:textId="00AEA073" w:rsidR="006F15CA" w:rsidRDefault="006F15CA" w:rsidP="006F15CA">
      <w:r>
        <w:t xml:space="preserve">Proposed line: </w:t>
      </w:r>
      <w:r w:rsidRPr="0052656C">
        <w:t xml:space="preserve">1000 MW HVDC </w:t>
      </w:r>
      <w:proofErr w:type="spellStart"/>
      <w:r w:rsidRPr="0052656C">
        <w:t>bipole</w:t>
      </w:r>
      <w:proofErr w:type="spellEnd"/>
      <w:r w:rsidRPr="0052656C">
        <w:t xml:space="preserve"> line connecting New Madurai in India to Mannar in Sri Lanka</w:t>
      </w:r>
      <w:r>
        <w:t xml:space="preserve"> (DPR stage completed)</w:t>
      </w:r>
    </w:p>
    <w:p w14:paraId="77928F1A" w14:textId="77777777" w:rsidR="006F15CA" w:rsidRDefault="006F15CA" w:rsidP="004009F6"/>
    <w:p w14:paraId="6D79CB7C" w14:textId="3D86207B" w:rsidR="004009F6" w:rsidRPr="004009F6" w:rsidRDefault="006F15CA" w:rsidP="004009F6">
      <w:r>
        <w:t xml:space="preserve">Details of </w:t>
      </w:r>
      <w:r w:rsidR="00057FAD">
        <w:t>Interconnection between India and Bangladesh</w:t>
      </w:r>
    </w:p>
    <w:tbl>
      <w:tblPr>
        <w:tblStyle w:val="GridTable4-Accent5"/>
        <w:tblW w:w="4880" w:type="pct"/>
        <w:tblLook w:val="04A0" w:firstRow="1" w:lastRow="0" w:firstColumn="1" w:lastColumn="0" w:noHBand="0" w:noVBand="1"/>
      </w:tblPr>
      <w:tblGrid>
        <w:gridCol w:w="494"/>
        <w:gridCol w:w="1609"/>
        <w:gridCol w:w="1433"/>
        <w:gridCol w:w="993"/>
        <w:gridCol w:w="23"/>
        <w:gridCol w:w="1206"/>
        <w:gridCol w:w="990"/>
        <w:gridCol w:w="1228"/>
        <w:gridCol w:w="1528"/>
        <w:gridCol w:w="1032"/>
        <w:gridCol w:w="2414"/>
      </w:tblGrid>
      <w:tr w:rsidR="004009F6" w:rsidRPr="008B15A5" w14:paraId="6ABA1326" w14:textId="77777777" w:rsidTr="00EE1B4C">
        <w:trPr>
          <w:cnfStyle w:val="100000000000" w:firstRow="1" w:lastRow="0" w:firstColumn="0" w:lastColumn="0" w:oddVBand="0" w:evenVBand="0" w:oddHBand="0" w:evenHBand="0" w:firstRowFirstColumn="0" w:firstRowLastColumn="0" w:lastRowFirstColumn="0" w:lastRowLastColumn="0"/>
          <w:trHeight w:val="805"/>
          <w:tblHeader/>
        </w:trPr>
        <w:tc>
          <w:tcPr>
            <w:cnfStyle w:val="001000000000" w:firstRow="0" w:lastRow="0" w:firstColumn="1" w:lastColumn="0" w:oddVBand="0" w:evenVBand="0" w:oddHBand="0" w:evenHBand="0" w:firstRowFirstColumn="0" w:firstRowLastColumn="0" w:lastRowFirstColumn="0" w:lastRowLastColumn="0"/>
            <w:tcW w:w="187" w:type="pct"/>
          </w:tcPr>
          <w:p w14:paraId="77B2B3A3" w14:textId="77777777" w:rsidR="004009F6" w:rsidRPr="00515879" w:rsidRDefault="004009F6" w:rsidP="00A830B1">
            <w:pPr>
              <w:jc w:val="center"/>
              <w:rPr>
                <w:rFonts w:cstheme="minorHAnsi"/>
                <w:color w:val="000000" w:themeColor="text1"/>
                <w:sz w:val="20"/>
                <w:szCs w:val="20"/>
              </w:rPr>
            </w:pPr>
            <w:proofErr w:type="spellStart"/>
            <w:r w:rsidRPr="00515879">
              <w:rPr>
                <w:rFonts w:cstheme="minorHAnsi"/>
                <w:color w:val="000000" w:themeColor="text1"/>
                <w:sz w:val="20"/>
                <w:szCs w:val="20"/>
              </w:rPr>
              <w:t>Sl</w:t>
            </w:r>
            <w:proofErr w:type="spellEnd"/>
            <w:r w:rsidRPr="00515879">
              <w:rPr>
                <w:rFonts w:cstheme="minorHAnsi"/>
                <w:color w:val="000000" w:themeColor="text1"/>
                <w:sz w:val="20"/>
                <w:szCs w:val="20"/>
              </w:rPr>
              <w:t xml:space="preserve"> no.</w:t>
            </w:r>
          </w:p>
        </w:tc>
        <w:tc>
          <w:tcPr>
            <w:tcW w:w="623" w:type="pct"/>
          </w:tcPr>
          <w:p w14:paraId="1DA27C49"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515879">
              <w:rPr>
                <w:rFonts w:cstheme="minorHAnsi"/>
                <w:color w:val="000000" w:themeColor="text1"/>
                <w:sz w:val="20"/>
                <w:szCs w:val="20"/>
              </w:rPr>
              <w:t>Interconnection Project</w:t>
            </w:r>
          </w:p>
        </w:tc>
        <w:tc>
          <w:tcPr>
            <w:tcW w:w="554" w:type="pct"/>
          </w:tcPr>
          <w:p w14:paraId="7D86D0F6"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Pr>
                <w:rFonts w:cstheme="minorHAnsi"/>
                <w:color w:val="000000" w:themeColor="text1"/>
                <w:sz w:val="20"/>
                <w:szCs w:val="20"/>
              </w:rPr>
              <w:t>Voltage and Configuration</w:t>
            </w:r>
            <w:r w:rsidRPr="00515879">
              <w:rPr>
                <w:rFonts w:cstheme="minorHAnsi"/>
                <w:color w:val="000000" w:themeColor="text1"/>
                <w:sz w:val="20"/>
                <w:szCs w:val="20"/>
              </w:rPr>
              <w:t xml:space="preserve"> </w:t>
            </w:r>
          </w:p>
        </w:tc>
        <w:tc>
          <w:tcPr>
            <w:tcW w:w="385" w:type="pct"/>
            <w:gridSpan w:val="2"/>
          </w:tcPr>
          <w:p w14:paraId="380B6268"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proofErr w:type="spellStart"/>
            <w:r w:rsidRPr="00515879">
              <w:rPr>
                <w:rFonts w:cstheme="minorHAnsi"/>
                <w:color w:val="000000" w:themeColor="text1"/>
                <w:sz w:val="20"/>
                <w:szCs w:val="20"/>
              </w:rPr>
              <w:t>Intercon</w:t>
            </w:r>
            <w:proofErr w:type="spellEnd"/>
            <w:r w:rsidRPr="00515879">
              <w:rPr>
                <w:rFonts w:cstheme="minorHAnsi"/>
                <w:color w:val="000000" w:themeColor="text1"/>
                <w:sz w:val="20"/>
                <w:szCs w:val="20"/>
              </w:rPr>
              <w:t>. Type</w:t>
            </w:r>
          </w:p>
        </w:tc>
        <w:tc>
          <w:tcPr>
            <w:tcW w:w="466" w:type="pct"/>
          </w:tcPr>
          <w:p w14:paraId="27CAFF22"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515879">
              <w:rPr>
                <w:rFonts w:cstheme="minorHAnsi"/>
                <w:color w:val="000000" w:themeColor="text1"/>
                <w:sz w:val="20"/>
                <w:szCs w:val="20"/>
              </w:rPr>
              <w:t xml:space="preserve">Evacuation Capacity (MW) </w:t>
            </w:r>
          </w:p>
        </w:tc>
        <w:tc>
          <w:tcPr>
            <w:tcW w:w="381" w:type="pct"/>
          </w:tcPr>
          <w:p w14:paraId="31AA7C8A"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515879">
              <w:rPr>
                <w:rFonts w:cstheme="minorHAnsi"/>
                <w:color w:val="000000" w:themeColor="text1"/>
                <w:sz w:val="20"/>
                <w:szCs w:val="20"/>
              </w:rPr>
              <w:t>Traded Capacity (MW)</w:t>
            </w:r>
          </w:p>
        </w:tc>
        <w:tc>
          <w:tcPr>
            <w:tcW w:w="474" w:type="pct"/>
          </w:tcPr>
          <w:p w14:paraId="74789505"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proofErr w:type="spellStart"/>
            <w:r w:rsidRPr="00515879">
              <w:rPr>
                <w:rFonts w:cstheme="minorHAnsi"/>
                <w:color w:val="000000" w:themeColor="text1"/>
                <w:sz w:val="20"/>
                <w:szCs w:val="20"/>
              </w:rPr>
              <w:t>Interconn</w:t>
            </w:r>
            <w:proofErr w:type="spellEnd"/>
            <w:r w:rsidRPr="00515879">
              <w:rPr>
                <w:rFonts w:cstheme="minorHAnsi"/>
                <w:color w:val="000000" w:themeColor="text1"/>
                <w:sz w:val="20"/>
                <w:szCs w:val="20"/>
              </w:rPr>
              <w:t>. Point in India</w:t>
            </w:r>
          </w:p>
        </w:tc>
        <w:tc>
          <w:tcPr>
            <w:tcW w:w="591" w:type="pct"/>
          </w:tcPr>
          <w:p w14:paraId="50F9C751"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proofErr w:type="spellStart"/>
            <w:r w:rsidRPr="00515879">
              <w:rPr>
                <w:rFonts w:cstheme="minorHAnsi"/>
                <w:color w:val="000000" w:themeColor="text1"/>
                <w:sz w:val="20"/>
                <w:szCs w:val="20"/>
              </w:rPr>
              <w:t>Interconn</w:t>
            </w:r>
            <w:proofErr w:type="spellEnd"/>
            <w:r w:rsidRPr="00515879">
              <w:rPr>
                <w:rFonts w:cstheme="minorHAnsi"/>
                <w:color w:val="000000" w:themeColor="text1"/>
                <w:sz w:val="20"/>
                <w:szCs w:val="20"/>
              </w:rPr>
              <w:t>. Point in Nepal</w:t>
            </w:r>
          </w:p>
        </w:tc>
        <w:tc>
          <w:tcPr>
            <w:tcW w:w="398" w:type="pct"/>
          </w:tcPr>
          <w:p w14:paraId="19605ADA"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515879">
              <w:rPr>
                <w:rFonts w:cstheme="minorHAnsi"/>
                <w:color w:val="000000" w:themeColor="text1"/>
                <w:sz w:val="20"/>
                <w:szCs w:val="20"/>
              </w:rPr>
              <w:t>Tentative Comm Date</w:t>
            </w:r>
          </w:p>
        </w:tc>
        <w:tc>
          <w:tcPr>
            <w:tcW w:w="938" w:type="pct"/>
          </w:tcPr>
          <w:p w14:paraId="208A0A4E" w14:textId="77777777" w:rsidR="004009F6" w:rsidRPr="00515879" w:rsidRDefault="004009F6" w:rsidP="00A830B1">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515879">
              <w:rPr>
                <w:rFonts w:cstheme="minorHAnsi"/>
                <w:color w:val="000000" w:themeColor="text1"/>
                <w:sz w:val="20"/>
                <w:szCs w:val="20"/>
              </w:rPr>
              <w:t>Remarks</w:t>
            </w:r>
          </w:p>
        </w:tc>
      </w:tr>
      <w:tr w:rsidR="00EE1B4C" w:rsidRPr="008B15A5" w14:paraId="58625D10" w14:textId="77777777" w:rsidTr="00EE1B4C">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664" w:type="pct"/>
            <w:gridSpan w:val="9"/>
          </w:tcPr>
          <w:p w14:paraId="7F7D7736" w14:textId="77777777" w:rsidR="004009F6" w:rsidRPr="008B15A5" w:rsidRDefault="004009F6" w:rsidP="00A830B1">
            <w:pPr>
              <w:rPr>
                <w:rFonts w:cstheme="minorHAnsi"/>
                <w:sz w:val="20"/>
                <w:szCs w:val="20"/>
              </w:rPr>
            </w:pPr>
            <w:r w:rsidRPr="008B15A5">
              <w:rPr>
                <w:rFonts w:cstheme="minorHAnsi"/>
                <w:sz w:val="20"/>
                <w:szCs w:val="20"/>
              </w:rPr>
              <w:t xml:space="preserve">Status – Existing Projects </w:t>
            </w:r>
          </w:p>
        </w:tc>
        <w:tc>
          <w:tcPr>
            <w:tcW w:w="398" w:type="pct"/>
          </w:tcPr>
          <w:p w14:paraId="0B534DBA"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tcPr>
          <w:p w14:paraId="15D99CD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E1B4C" w:rsidRPr="008B15A5" w14:paraId="1FB6E964" w14:textId="77777777" w:rsidTr="00EE1B4C">
        <w:trPr>
          <w:trHeight w:val="1043"/>
        </w:trPr>
        <w:tc>
          <w:tcPr>
            <w:cnfStyle w:val="001000000000" w:firstRow="0" w:lastRow="0" w:firstColumn="1" w:lastColumn="0" w:oddVBand="0" w:evenVBand="0" w:oddHBand="0" w:evenHBand="0" w:firstRowFirstColumn="0" w:firstRowLastColumn="0" w:lastRowFirstColumn="0" w:lastRowLastColumn="0"/>
            <w:tcW w:w="187" w:type="pct"/>
          </w:tcPr>
          <w:p w14:paraId="509905CE"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19808542"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Dhalkebar</w:t>
            </w:r>
            <w:proofErr w:type="spellEnd"/>
            <w:r w:rsidRPr="008B15A5">
              <w:rPr>
                <w:rFonts w:cstheme="minorHAnsi"/>
                <w:sz w:val="20"/>
                <w:szCs w:val="20"/>
              </w:rPr>
              <w:t xml:space="preserve"> – Muzaffarpur Line</w:t>
            </w:r>
          </w:p>
        </w:tc>
        <w:tc>
          <w:tcPr>
            <w:tcW w:w="554" w:type="pct"/>
          </w:tcPr>
          <w:p w14:paraId="7284EB2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400 </w:t>
            </w:r>
            <w:r>
              <w:rPr>
                <w:rFonts w:cstheme="minorHAnsi"/>
                <w:sz w:val="20"/>
                <w:szCs w:val="20"/>
              </w:rPr>
              <w:t>k</w:t>
            </w:r>
            <w:r w:rsidRPr="008B15A5">
              <w:rPr>
                <w:rFonts w:cstheme="minorHAnsi"/>
                <w:sz w:val="20"/>
                <w:szCs w:val="20"/>
              </w:rPr>
              <w:t>V</w:t>
            </w:r>
            <w:r>
              <w:rPr>
                <w:rFonts w:cstheme="minorHAnsi"/>
                <w:sz w:val="20"/>
                <w:szCs w:val="20"/>
              </w:rPr>
              <w:t xml:space="preserve"> D/C</w:t>
            </w:r>
          </w:p>
        </w:tc>
        <w:tc>
          <w:tcPr>
            <w:tcW w:w="385" w:type="pct"/>
            <w:gridSpan w:val="2"/>
          </w:tcPr>
          <w:p w14:paraId="703DF727"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AC</w:t>
            </w:r>
          </w:p>
        </w:tc>
        <w:tc>
          <w:tcPr>
            <w:tcW w:w="466" w:type="pct"/>
          </w:tcPr>
          <w:p w14:paraId="143F982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1000</w:t>
            </w:r>
          </w:p>
        </w:tc>
        <w:tc>
          <w:tcPr>
            <w:tcW w:w="381" w:type="pct"/>
          </w:tcPr>
          <w:p w14:paraId="66BD6CF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400-500</w:t>
            </w:r>
          </w:p>
        </w:tc>
        <w:tc>
          <w:tcPr>
            <w:tcW w:w="474" w:type="pct"/>
          </w:tcPr>
          <w:p w14:paraId="0C0ABE57"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Bihar </w:t>
            </w:r>
          </w:p>
        </w:tc>
        <w:tc>
          <w:tcPr>
            <w:tcW w:w="591" w:type="pct"/>
          </w:tcPr>
          <w:p w14:paraId="1334CB54"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Dhanusa District</w:t>
            </w:r>
          </w:p>
        </w:tc>
        <w:tc>
          <w:tcPr>
            <w:tcW w:w="398" w:type="pct"/>
          </w:tcPr>
          <w:p w14:paraId="6B690013"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tcPr>
          <w:p w14:paraId="3634B95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Owned by a JV company of PGCIL, SJVN and NEA on Indian side and JV of NEA/PGCIL/HIDCL/IEDCL</w:t>
            </w:r>
          </w:p>
        </w:tc>
      </w:tr>
      <w:tr w:rsidR="004009F6" w:rsidRPr="008B15A5" w14:paraId="6198D290" w14:textId="77777777" w:rsidTr="00EE1B4C">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87" w:type="pct"/>
          </w:tcPr>
          <w:p w14:paraId="4724704D"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5BF5250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24921">
              <w:rPr>
                <w:sz w:val="20"/>
                <w:szCs w:val="20"/>
              </w:rPr>
              <w:t>Hetauda-Bharatpur</w:t>
            </w:r>
            <w:proofErr w:type="spellEnd"/>
            <w:r w:rsidRPr="00424921">
              <w:rPr>
                <w:sz w:val="20"/>
                <w:szCs w:val="20"/>
              </w:rPr>
              <w:t xml:space="preserve"> Transmission Line</w:t>
            </w:r>
          </w:p>
        </w:tc>
        <w:tc>
          <w:tcPr>
            <w:tcW w:w="554" w:type="pct"/>
          </w:tcPr>
          <w:p w14:paraId="669B067D"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220 kV</w:t>
            </w:r>
          </w:p>
          <w:p w14:paraId="6454CE0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85" w:type="pct"/>
            <w:gridSpan w:val="2"/>
          </w:tcPr>
          <w:p w14:paraId="24712D4D" w14:textId="77777777" w:rsidR="004009F6" w:rsidRPr="00D055ED"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AC</w:t>
            </w:r>
          </w:p>
        </w:tc>
        <w:tc>
          <w:tcPr>
            <w:tcW w:w="466" w:type="pct"/>
          </w:tcPr>
          <w:p w14:paraId="24E3AA62"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81" w:type="pct"/>
          </w:tcPr>
          <w:p w14:paraId="4D0C290C"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74" w:type="pct"/>
          </w:tcPr>
          <w:p w14:paraId="668F9B1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Rajasthan</w:t>
            </w:r>
          </w:p>
        </w:tc>
        <w:tc>
          <w:tcPr>
            <w:tcW w:w="591" w:type="pct"/>
          </w:tcPr>
          <w:p w14:paraId="2E3D59C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Pr>
                <w:rFonts w:cs="Arial"/>
                <w:color w:val="474747"/>
                <w:sz w:val="21"/>
                <w:szCs w:val="21"/>
                <w:shd w:val="clear" w:color="auto" w:fill="FFFFFF"/>
              </w:rPr>
              <w:t>Makwanpur</w:t>
            </w:r>
            <w:proofErr w:type="spellEnd"/>
            <w:r>
              <w:rPr>
                <w:rFonts w:cs="Arial"/>
                <w:color w:val="474747"/>
                <w:sz w:val="21"/>
                <w:szCs w:val="21"/>
                <w:shd w:val="clear" w:color="auto" w:fill="FFFFFF"/>
              </w:rPr>
              <w:t xml:space="preserve"> district</w:t>
            </w:r>
          </w:p>
        </w:tc>
        <w:tc>
          <w:tcPr>
            <w:tcW w:w="398" w:type="pct"/>
          </w:tcPr>
          <w:p w14:paraId="02AA2FBE"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2023</w:t>
            </w:r>
          </w:p>
        </w:tc>
        <w:tc>
          <w:tcPr>
            <w:tcW w:w="938" w:type="pct"/>
          </w:tcPr>
          <w:p w14:paraId="55F63695"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Currently charged at 132 kV</w:t>
            </w:r>
          </w:p>
        </w:tc>
      </w:tr>
      <w:tr w:rsidR="004009F6" w:rsidRPr="008B15A5" w14:paraId="7621E6FF" w14:textId="77777777" w:rsidTr="00EE1B4C">
        <w:trPr>
          <w:trHeight w:val="581"/>
        </w:trPr>
        <w:tc>
          <w:tcPr>
            <w:cnfStyle w:val="001000000000" w:firstRow="0" w:lastRow="0" w:firstColumn="1" w:lastColumn="0" w:oddVBand="0" w:evenVBand="0" w:oddHBand="0" w:evenHBand="0" w:firstRowFirstColumn="0" w:firstRowLastColumn="0" w:lastRowFirstColumn="0" w:lastRowLastColumn="0"/>
            <w:tcW w:w="187" w:type="pct"/>
          </w:tcPr>
          <w:p w14:paraId="3ED2C663"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3711A945"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sz w:val="20"/>
                <w:szCs w:val="20"/>
              </w:rPr>
              <w:t>Mainahiya</w:t>
            </w:r>
            <w:proofErr w:type="spellEnd"/>
            <w:r w:rsidRPr="008B15A5">
              <w:rPr>
                <w:sz w:val="20"/>
                <w:szCs w:val="20"/>
              </w:rPr>
              <w:t xml:space="preserve"> – </w:t>
            </w:r>
            <w:proofErr w:type="spellStart"/>
            <w:r w:rsidRPr="008B15A5">
              <w:rPr>
                <w:sz w:val="20"/>
                <w:szCs w:val="20"/>
              </w:rPr>
              <w:t>Sampatiya</w:t>
            </w:r>
            <w:proofErr w:type="spellEnd"/>
            <w:r w:rsidRPr="008B15A5">
              <w:rPr>
                <w:sz w:val="20"/>
                <w:szCs w:val="20"/>
              </w:rPr>
              <w:t xml:space="preserve"> Line</w:t>
            </w:r>
          </w:p>
        </w:tc>
        <w:tc>
          <w:tcPr>
            <w:tcW w:w="554" w:type="pct"/>
          </w:tcPr>
          <w:p w14:paraId="3B9785B9"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132 </w:t>
            </w:r>
            <w:r>
              <w:rPr>
                <w:rFonts w:cstheme="minorHAnsi"/>
                <w:sz w:val="20"/>
                <w:szCs w:val="20"/>
              </w:rPr>
              <w:t>kV</w:t>
            </w:r>
          </w:p>
        </w:tc>
        <w:tc>
          <w:tcPr>
            <w:tcW w:w="385" w:type="pct"/>
            <w:gridSpan w:val="2"/>
          </w:tcPr>
          <w:p w14:paraId="3EF1D2E3" w14:textId="77777777" w:rsidR="004009F6"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055ED">
              <w:rPr>
                <w:rFonts w:cstheme="minorHAnsi"/>
                <w:sz w:val="20"/>
                <w:szCs w:val="20"/>
              </w:rPr>
              <w:t>AC</w:t>
            </w:r>
          </w:p>
        </w:tc>
        <w:tc>
          <w:tcPr>
            <w:tcW w:w="466" w:type="pct"/>
          </w:tcPr>
          <w:p w14:paraId="5E342FA5"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c>
          <w:tcPr>
            <w:tcW w:w="381" w:type="pct"/>
          </w:tcPr>
          <w:p w14:paraId="1314BD56" w14:textId="77777777" w:rsidR="004009F6"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474" w:type="pct"/>
          </w:tcPr>
          <w:p w14:paraId="1DB05167"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Uttar Pradesh </w:t>
            </w:r>
          </w:p>
        </w:tc>
        <w:tc>
          <w:tcPr>
            <w:tcW w:w="591" w:type="pct"/>
          </w:tcPr>
          <w:p w14:paraId="102FA8FF"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Rupandehi</w:t>
            </w:r>
            <w:proofErr w:type="spellEnd"/>
            <w:r w:rsidRPr="008B15A5">
              <w:rPr>
                <w:rFonts w:cstheme="minorHAnsi"/>
                <w:sz w:val="20"/>
                <w:szCs w:val="20"/>
              </w:rPr>
              <w:t xml:space="preserve"> District</w:t>
            </w:r>
          </w:p>
        </w:tc>
        <w:tc>
          <w:tcPr>
            <w:tcW w:w="398" w:type="pct"/>
          </w:tcPr>
          <w:p w14:paraId="0F730A8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tcPr>
          <w:p w14:paraId="4B682A0C" w14:textId="77777777" w:rsidR="004009F6"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completed in 2023</w:t>
            </w:r>
          </w:p>
        </w:tc>
      </w:tr>
      <w:tr w:rsidR="004009F6" w:rsidRPr="008B15A5" w14:paraId="44AA8E40" w14:textId="77777777" w:rsidTr="00EE1B4C">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87" w:type="pct"/>
          </w:tcPr>
          <w:p w14:paraId="0DA7C046"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7787E5D0"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Kusaha</w:t>
            </w:r>
            <w:proofErr w:type="spellEnd"/>
            <w:r w:rsidRPr="008B15A5">
              <w:rPr>
                <w:rFonts w:cstheme="minorHAnsi"/>
                <w:sz w:val="20"/>
                <w:szCs w:val="20"/>
              </w:rPr>
              <w:t xml:space="preserve"> - </w:t>
            </w:r>
            <w:proofErr w:type="spellStart"/>
            <w:r w:rsidRPr="008B15A5">
              <w:rPr>
                <w:rFonts w:cstheme="minorHAnsi"/>
                <w:sz w:val="20"/>
                <w:szCs w:val="20"/>
              </w:rPr>
              <w:t>Kataiya</w:t>
            </w:r>
            <w:proofErr w:type="spellEnd"/>
            <w:r w:rsidRPr="008B15A5">
              <w:rPr>
                <w:rFonts w:cstheme="minorHAnsi"/>
                <w:sz w:val="20"/>
                <w:szCs w:val="20"/>
              </w:rPr>
              <w:t xml:space="preserve"> Line</w:t>
            </w:r>
          </w:p>
        </w:tc>
        <w:tc>
          <w:tcPr>
            <w:tcW w:w="554" w:type="pct"/>
          </w:tcPr>
          <w:p w14:paraId="3388591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132 </w:t>
            </w:r>
            <w:r>
              <w:rPr>
                <w:rFonts w:cstheme="minorHAnsi"/>
                <w:sz w:val="20"/>
                <w:szCs w:val="20"/>
              </w:rPr>
              <w:t>kV D/C</w:t>
            </w:r>
          </w:p>
        </w:tc>
        <w:tc>
          <w:tcPr>
            <w:tcW w:w="385" w:type="pct"/>
            <w:gridSpan w:val="2"/>
          </w:tcPr>
          <w:p w14:paraId="10CEC35D"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672991D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130</w:t>
            </w:r>
          </w:p>
        </w:tc>
        <w:tc>
          <w:tcPr>
            <w:tcW w:w="381" w:type="pct"/>
          </w:tcPr>
          <w:p w14:paraId="40CDA54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80</w:t>
            </w:r>
          </w:p>
        </w:tc>
        <w:tc>
          <w:tcPr>
            <w:tcW w:w="474" w:type="pct"/>
          </w:tcPr>
          <w:p w14:paraId="2C4A4E0A"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39A0A6C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Duhabi</w:t>
            </w:r>
            <w:proofErr w:type="spellEnd"/>
          </w:p>
        </w:tc>
        <w:tc>
          <w:tcPr>
            <w:tcW w:w="398" w:type="pct"/>
          </w:tcPr>
          <w:p w14:paraId="632B15A1"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val="restart"/>
          </w:tcPr>
          <w:p w14:paraId="06E9AC91"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p w14:paraId="4D8DD971"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p w14:paraId="55DBA8AE"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On the Indian side owned by the respective state transmission utilities/distribution utilities</w:t>
            </w:r>
          </w:p>
          <w:p w14:paraId="66E2F2E0"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p w14:paraId="2B8C692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On the Nepal side owned by NEA</w:t>
            </w:r>
          </w:p>
        </w:tc>
      </w:tr>
      <w:tr w:rsidR="004009F6" w:rsidRPr="008B15A5" w14:paraId="08F06C50" w14:textId="77777777" w:rsidTr="00EE1B4C">
        <w:trPr>
          <w:trHeight w:val="819"/>
        </w:trPr>
        <w:tc>
          <w:tcPr>
            <w:cnfStyle w:val="001000000000" w:firstRow="0" w:lastRow="0" w:firstColumn="1" w:lastColumn="0" w:oddVBand="0" w:evenVBand="0" w:oddHBand="0" w:evenHBand="0" w:firstRowFirstColumn="0" w:firstRowLastColumn="0" w:lastRowFirstColumn="0" w:lastRowLastColumn="0"/>
            <w:tcW w:w="187" w:type="pct"/>
          </w:tcPr>
          <w:p w14:paraId="5E2016F9"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101E339D"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sz w:val="20"/>
                <w:szCs w:val="20"/>
              </w:rPr>
              <w:t>Kushaha</w:t>
            </w:r>
            <w:proofErr w:type="spellEnd"/>
            <w:r w:rsidRPr="008B15A5">
              <w:rPr>
                <w:sz w:val="20"/>
                <w:szCs w:val="20"/>
              </w:rPr>
              <w:t xml:space="preserve"> – </w:t>
            </w:r>
            <w:proofErr w:type="spellStart"/>
            <w:r w:rsidRPr="008B15A5">
              <w:rPr>
                <w:sz w:val="20"/>
                <w:szCs w:val="20"/>
              </w:rPr>
              <w:t>Kataiya</w:t>
            </w:r>
            <w:proofErr w:type="spellEnd"/>
            <w:r w:rsidRPr="008B15A5">
              <w:rPr>
                <w:sz w:val="20"/>
                <w:szCs w:val="20"/>
              </w:rPr>
              <w:t xml:space="preserve"> Line (Second Circuit) </w:t>
            </w:r>
          </w:p>
        </w:tc>
        <w:tc>
          <w:tcPr>
            <w:tcW w:w="554" w:type="pct"/>
          </w:tcPr>
          <w:p w14:paraId="71AEC9C0"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132</w:t>
            </w:r>
            <w:r>
              <w:rPr>
                <w:rFonts w:cstheme="minorHAnsi"/>
                <w:sz w:val="20"/>
                <w:szCs w:val="20"/>
              </w:rPr>
              <w:t>kV</w:t>
            </w:r>
          </w:p>
        </w:tc>
        <w:tc>
          <w:tcPr>
            <w:tcW w:w="385" w:type="pct"/>
            <w:gridSpan w:val="2"/>
          </w:tcPr>
          <w:p w14:paraId="597EC209" w14:textId="77777777" w:rsidR="004009F6" w:rsidRPr="007A0DAD"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055ED">
              <w:rPr>
                <w:rFonts w:cstheme="minorHAnsi"/>
                <w:sz w:val="20"/>
                <w:szCs w:val="20"/>
              </w:rPr>
              <w:t>AC</w:t>
            </w:r>
          </w:p>
        </w:tc>
        <w:tc>
          <w:tcPr>
            <w:tcW w:w="466" w:type="pct"/>
          </w:tcPr>
          <w:p w14:paraId="6EE6B3B3"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c>
          <w:tcPr>
            <w:tcW w:w="381" w:type="pct"/>
          </w:tcPr>
          <w:p w14:paraId="2388D177"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474" w:type="pct"/>
          </w:tcPr>
          <w:p w14:paraId="52D88A63"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5841CEB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Duhabi</w:t>
            </w:r>
            <w:proofErr w:type="spellEnd"/>
            <w:r w:rsidRPr="008B15A5">
              <w:rPr>
                <w:rFonts w:cstheme="minorHAnsi"/>
                <w:sz w:val="20"/>
                <w:szCs w:val="20"/>
              </w:rPr>
              <w:t xml:space="preserve"> </w:t>
            </w:r>
          </w:p>
        </w:tc>
        <w:tc>
          <w:tcPr>
            <w:tcW w:w="398" w:type="pct"/>
          </w:tcPr>
          <w:p w14:paraId="6FA4C2CF"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vMerge/>
          </w:tcPr>
          <w:p w14:paraId="1ED2681A" w14:textId="77777777" w:rsidR="004009F6"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31A2B90E" w14:textId="77777777" w:rsidTr="00EE1B4C">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187" w:type="pct"/>
          </w:tcPr>
          <w:p w14:paraId="0A77FBC1"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3801C18D"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Pr>
                <w:rFonts w:cstheme="minorHAnsi"/>
                <w:sz w:val="20"/>
                <w:szCs w:val="20"/>
              </w:rPr>
              <w:t>Ramnagar</w:t>
            </w:r>
            <w:proofErr w:type="spellEnd"/>
            <w:r>
              <w:rPr>
                <w:rFonts w:cstheme="minorHAnsi"/>
                <w:sz w:val="20"/>
                <w:szCs w:val="20"/>
              </w:rPr>
              <w:t xml:space="preserve">- </w:t>
            </w:r>
            <w:r w:rsidRPr="008B15A5">
              <w:rPr>
                <w:rFonts w:cstheme="minorHAnsi"/>
                <w:sz w:val="20"/>
                <w:szCs w:val="20"/>
              </w:rPr>
              <w:t>Gandak</w:t>
            </w:r>
            <w:r>
              <w:rPr>
                <w:rFonts w:cstheme="minorHAnsi"/>
                <w:sz w:val="20"/>
                <w:szCs w:val="20"/>
              </w:rPr>
              <w:t xml:space="preserve"> (</w:t>
            </w:r>
            <w:proofErr w:type="spellStart"/>
            <w:r>
              <w:rPr>
                <w:rFonts w:cstheme="minorHAnsi"/>
                <w:sz w:val="20"/>
                <w:szCs w:val="20"/>
              </w:rPr>
              <w:t>Surajpura</w:t>
            </w:r>
            <w:proofErr w:type="spellEnd"/>
            <w:r>
              <w:rPr>
                <w:rFonts w:cstheme="minorHAnsi"/>
                <w:sz w:val="20"/>
                <w:szCs w:val="20"/>
              </w:rPr>
              <w:t>)</w:t>
            </w:r>
            <w:r w:rsidRPr="008B15A5">
              <w:rPr>
                <w:rFonts w:cstheme="minorHAnsi"/>
                <w:sz w:val="20"/>
                <w:szCs w:val="20"/>
              </w:rPr>
              <w:t xml:space="preserve"> </w:t>
            </w:r>
          </w:p>
        </w:tc>
        <w:tc>
          <w:tcPr>
            <w:tcW w:w="554" w:type="pct"/>
          </w:tcPr>
          <w:p w14:paraId="366B1F0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132 </w:t>
            </w:r>
            <w:r>
              <w:rPr>
                <w:rFonts w:cstheme="minorHAnsi"/>
                <w:sz w:val="20"/>
                <w:szCs w:val="20"/>
              </w:rPr>
              <w:t>kV S/C</w:t>
            </w:r>
          </w:p>
        </w:tc>
        <w:tc>
          <w:tcPr>
            <w:tcW w:w="385" w:type="pct"/>
            <w:gridSpan w:val="2"/>
          </w:tcPr>
          <w:p w14:paraId="46924375"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7432B944"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50</w:t>
            </w:r>
          </w:p>
        </w:tc>
        <w:tc>
          <w:tcPr>
            <w:tcW w:w="381" w:type="pct"/>
          </w:tcPr>
          <w:p w14:paraId="58FA56C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25</w:t>
            </w:r>
          </w:p>
        </w:tc>
        <w:tc>
          <w:tcPr>
            <w:tcW w:w="474" w:type="pct"/>
          </w:tcPr>
          <w:p w14:paraId="16DFA12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1C3629FD"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Surajpura</w:t>
            </w:r>
            <w:proofErr w:type="spellEnd"/>
          </w:p>
        </w:tc>
        <w:tc>
          <w:tcPr>
            <w:tcW w:w="398" w:type="pct"/>
          </w:tcPr>
          <w:p w14:paraId="64F59A10"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tcPr>
          <w:p w14:paraId="3D2438C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009F6" w:rsidRPr="008B15A5" w14:paraId="7A5F14A8" w14:textId="77777777" w:rsidTr="00EE1B4C">
        <w:trPr>
          <w:trHeight w:val="581"/>
        </w:trPr>
        <w:tc>
          <w:tcPr>
            <w:cnfStyle w:val="001000000000" w:firstRow="0" w:lastRow="0" w:firstColumn="1" w:lastColumn="0" w:oddVBand="0" w:evenVBand="0" w:oddHBand="0" w:evenHBand="0" w:firstRowFirstColumn="0" w:firstRowLastColumn="0" w:lastRowFirstColumn="0" w:lastRowLastColumn="0"/>
            <w:tcW w:w="187" w:type="pct"/>
          </w:tcPr>
          <w:p w14:paraId="4AA21F9C"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48A36F20"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Mahendranagar</w:t>
            </w:r>
            <w:proofErr w:type="spellEnd"/>
            <w:r w:rsidRPr="008B15A5">
              <w:rPr>
                <w:rFonts w:cstheme="minorHAnsi"/>
                <w:sz w:val="20"/>
                <w:szCs w:val="20"/>
              </w:rPr>
              <w:t xml:space="preserve"> – </w:t>
            </w:r>
            <w:proofErr w:type="spellStart"/>
            <w:r w:rsidRPr="008B15A5">
              <w:rPr>
                <w:rFonts w:cstheme="minorHAnsi"/>
                <w:sz w:val="20"/>
                <w:szCs w:val="20"/>
              </w:rPr>
              <w:t>Tanakpur</w:t>
            </w:r>
            <w:proofErr w:type="spellEnd"/>
            <w:r w:rsidRPr="008B15A5">
              <w:rPr>
                <w:rFonts w:cstheme="minorHAnsi"/>
                <w:sz w:val="20"/>
                <w:szCs w:val="20"/>
              </w:rPr>
              <w:t xml:space="preserve"> </w:t>
            </w:r>
          </w:p>
        </w:tc>
        <w:tc>
          <w:tcPr>
            <w:tcW w:w="554" w:type="pct"/>
          </w:tcPr>
          <w:p w14:paraId="40EAF51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132 </w:t>
            </w:r>
            <w:r>
              <w:rPr>
                <w:rFonts w:cstheme="minorHAnsi"/>
                <w:sz w:val="20"/>
                <w:szCs w:val="20"/>
              </w:rPr>
              <w:t>kV S/C</w:t>
            </w:r>
          </w:p>
        </w:tc>
        <w:tc>
          <w:tcPr>
            <w:tcW w:w="385" w:type="pct"/>
            <w:gridSpan w:val="2"/>
          </w:tcPr>
          <w:p w14:paraId="10C964BA"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1929E03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8</w:t>
            </w:r>
            <w:r w:rsidRPr="008B15A5">
              <w:rPr>
                <w:rFonts w:cstheme="minorHAnsi"/>
                <w:sz w:val="20"/>
                <w:szCs w:val="20"/>
              </w:rPr>
              <w:t>0</w:t>
            </w:r>
          </w:p>
        </w:tc>
        <w:tc>
          <w:tcPr>
            <w:tcW w:w="381" w:type="pct"/>
          </w:tcPr>
          <w:p w14:paraId="768BF4C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40-70</w:t>
            </w:r>
          </w:p>
        </w:tc>
        <w:tc>
          <w:tcPr>
            <w:tcW w:w="474" w:type="pct"/>
          </w:tcPr>
          <w:p w14:paraId="723B2D3E"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Uttarakhand</w:t>
            </w:r>
          </w:p>
        </w:tc>
        <w:tc>
          <w:tcPr>
            <w:tcW w:w="591" w:type="pct"/>
          </w:tcPr>
          <w:p w14:paraId="63439C8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Mahendranagar</w:t>
            </w:r>
            <w:proofErr w:type="spellEnd"/>
          </w:p>
        </w:tc>
        <w:tc>
          <w:tcPr>
            <w:tcW w:w="398" w:type="pct"/>
          </w:tcPr>
          <w:p w14:paraId="33D8F4B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vMerge/>
          </w:tcPr>
          <w:p w14:paraId="2531964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77DFAFBB" w14:textId="77777777" w:rsidTr="00EE1B4C">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87" w:type="pct"/>
          </w:tcPr>
          <w:p w14:paraId="2CA85C54"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51EAE08D"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Raxual</w:t>
            </w:r>
            <w:proofErr w:type="spellEnd"/>
            <w:r w:rsidRPr="008B15A5">
              <w:rPr>
                <w:rFonts w:cstheme="minorHAnsi"/>
                <w:sz w:val="20"/>
                <w:szCs w:val="20"/>
              </w:rPr>
              <w:t xml:space="preserve"> -</w:t>
            </w:r>
            <w:proofErr w:type="spellStart"/>
            <w:r w:rsidRPr="008B15A5">
              <w:rPr>
                <w:rFonts w:cstheme="minorHAnsi"/>
                <w:sz w:val="20"/>
                <w:szCs w:val="20"/>
              </w:rPr>
              <w:t>Parwanipur</w:t>
            </w:r>
            <w:proofErr w:type="spellEnd"/>
          </w:p>
        </w:tc>
        <w:tc>
          <w:tcPr>
            <w:tcW w:w="554" w:type="pct"/>
          </w:tcPr>
          <w:p w14:paraId="3AB5597D"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132 </w:t>
            </w:r>
            <w:r>
              <w:rPr>
                <w:rFonts w:cstheme="minorHAnsi"/>
                <w:sz w:val="20"/>
                <w:szCs w:val="20"/>
              </w:rPr>
              <w:t>kV S/C</w:t>
            </w:r>
          </w:p>
        </w:tc>
        <w:tc>
          <w:tcPr>
            <w:tcW w:w="385" w:type="pct"/>
            <w:gridSpan w:val="2"/>
          </w:tcPr>
          <w:p w14:paraId="5A36E933"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079D2CB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70</w:t>
            </w:r>
          </w:p>
        </w:tc>
        <w:tc>
          <w:tcPr>
            <w:tcW w:w="381" w:type="pct"/>
          </w:tcPr>
          <w:p w14:paraId="33C9EEA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50</w:t>
            </w:r>
          </w:p>
        </w:tc>
        <w:tc>
          <w:tcPr>
            <w:tcW w:w="474" w:type="pct"/>
          </w:tcPr>
          <w:p w14:paraId="64D56C02"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6A9D85C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Bara District </w:t>
            </w:r>
          </w:p>
        </w:tc>
        <w:tc>
          <w:tcPr>
            <w:tcW w:w="398" w:type="pct"/>
          </w:tcPr>
          <w:p w14:paraId="38222991"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tcPr>
          <w:p w14:paraId="11A1665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009F6" w:rsidRPr="008B15A5" w14:paraId="40C20822" w14:textId="77777777" w:rsidTr="00EE1B4C">
        <w:trPr>
          <w:trHeight w:val="1043"/>
        </w:trPr>
        <w:tc>
          <w:tcPr>
            <w:cnfStyle w:val="001000000000" w:firstRow="0" w:lastRow="0" w:firstColumn="1" w:lastColumn="0" w:oddVBand="0" w:evenVBand="0" w:oddHBand="0" w:evenHBand="0" w:firstRowFirstColumn="0" w:firstRowLastColumn="0" w:lastRowFirstColumn="0" w:lastRowLastColumn="0"/>
            <w:tcW w:w="187" w:type="pct"/>
          </w:tcPr>
          <w:p w14:paraId="5B658581"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60BF875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sz w:val="20"/>
                <w:szCs w:val="20"/>
              </w:rPr>
              <w:t>Raxual</w:t>
            </w:r>
            <w:proofErr w:type="spellEnd"/>
            <w:r w:rsidRPr="008B15A5">
              <w:rPr>
                <w:sz w:val="20"/>
                <w:szCs w:val="20"/>
              </w:rPr>
              <w:t xml:space="preserve"> – </w:t>
            </w:r>
            <w:proofErr w:type="spellStart"/>
            <w:r w:rsidRPr="008B15A5">
              <w:rPr>
                <w:sz w:val="20"/>
                <w:szCs w:val="20"/>
              </w:rPr>
              <w:t>Parwanipur</w:t>
            </w:r>
            <w:proofErr w:type="spellEnd"/>
            <w:r w:rsidRPr="008B15A5">
              <w:rPr>
                <w:sz w:val="20"/>
                <w:szCs w:val="20"/>
              </w:rPr>
              <w:t xml:space="preserve"> (Second Circuit)</w:t>
            </w:r>
          </w:p>
        </w:tc>
        <w:tc>
          <w:tcPr>
            <w:tcW w:w="554" w:type="pct"/>
          </w:tcPr>
          <w:p w14:paraId="2EB820DF"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132 </w:t>
            </w:r>
            <w:r>
              <w:rPr>
                <w:rFonts w:cstheme="minorHAnsi"/>
                <w:sz w:val="20"/>
                <w:szCs w:val="20"/>
              </w:rPr>
              <w:t>kV</w:t>
            </w:r>
          </w:p>
        </w:tc>
        <w:tc>
          <w:tcPr>
            <w:tcW w:w="385" w:type="pct"/>
            <w:gridSpan w:val="2"/>
          </w:tcPr>
          <w:p w14:paraId="68D1E60C" w14:textId="77777777" w:rsidR="004009F6" w:rsidRPr="007A0DAD"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055ED">
              <w:rPr>
                <w:rFonts w:cstheme="minorHAnsi"/>
                <w:sz w:val="20"/>
                <w:szCs w:val="20"/>
              </w:rPr>
              <w:t>AC</w:t>
            </w:r>
          </w:p>
        </w:tc>
        <w:tc>
          <w:tcPr>
            <w:tcW w:w="466" w:type="pct"/>
          </w:tcPr>
          <w:p w14:paraId="57734EC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c>
          <w:tcPr>
            <w:tcW w:w="381" w:type="pct"/>
          </w:tcPr>
          <w:p w14:paraId="7DA2CC49"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474" w:type="pct"/>
          </w:tcPr>
          <w:p w14:paraId="6984071A"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09115095"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Bara District </w:t>
            </w:r>
          </w:p>
        </w:tc>
        <w:tc>
          <w:tcPr>
            <w:tcW w:w="398" w:type="pct"/>
          </w:tcPr>
          <w:p w14:paraId="784D1953"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Charged on January 2024</w:t>
            </w:r>
          </w:p>
        </w:tc>
        <w:tc>
          <w:tcPr>
            <w:tcW w:w="938" w:type="pct"/>
            <w:vMerge/>
          </w:tcPr>
          <w:p w14:paraId="40D18402"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72CA4C00" w14:textId="77777777" w:rsidTr="00EE1B4C">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87" w:type="pct"/>
          </w:tcPr>
          <w:p w14:paraId="6EBEDE29"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2B5DB49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sz w:val="20"/>
                <w:szCs w:val="20"/>
              </w:rPr>
              <w:t>Birganj</w:t>
            </w:r>
            <w:proofErr w:type="spellEnd"/>
            <w:r w:rsidRPr="008B15A5">
              <w:rPr>
                <w:sz w:val="20"/>
                <w:szCs w:val="20"/>
              </w:rPr>
              <w:t xml:space="preserve"> – </w:t>
            </w:r>
            <w:proofErr w:type="spellStart"/>
            <w:r w:rsidRPr="008B15A5">
              <w:rPr>
                <w:sz w:val="20"/>
                <w:szCs w:val="20"/>
              </w:rPr>
              <w:t>Raxaul</w:t>
            </w:r>
            <w:proofErr w:type="spellEnd"/>
            <w:r w:rsidRPr="008B15A5">
              <w:rPr>
                <w:sz w:val="20"/>
                <w:szCs w:val="20"/>
              </w:rPr>
              <w:t xml:space="preserve"> </w:t>
            </w:r>
          </w:p>
        </w:tc>
        <w:tc>
          <w:tcPr>
            <w:tcW w:w="554" w:type="pct"/>
          </w:tcPr>
          <w:p w14:paraId="44E6F6A0"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33 </w:t>
            </w:r>
            <w:r>
              <w:rPr>
                <w:rFonts w:cstheme="minorHAnsi"/>
                <w:sz w:val="20"/>
                <w:szCs w:val="20"/>
              </w:rPr>
              <w:t>kV S/C</w:t>
            </w:r>
          </w:p>
        </w:tc>
        <w:tc>
          <w:tcPr>
            <w:tcW w:w="385" w:type="pct"/>
            <w:gridSpan w:val="2"/>
          </w:tcPr>
          <w:p w14:paraId="6B90412C"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18212827"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10</w:t>
            </w:r>
          </w:p>
        </w:tc>
        <w:tc>
          <w:tcPr>
            <w:tcW w:w="381" w:type="pct"/>
          </w:tcPr>
          <w:p w14:paraId="4B0E1AB0"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10</w:t>
            </w:r>
          </w:p>
        </w:tc>
        <w:tc>
          <w:tcPr>
            <w:tcW w:w="474" w:type="pct"/>
          </w:tcPr>
          <w:p w14:paraId="7722A674"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Bihar </w:t>
            </w:r>
          </w:p>
        </w:tc>
        <w:tc>
          <w:tcPr>
            <w:tcW w:w="591" w:type="pct"/>
          </w:tcPr>
          <w:p w14:paraId="0758AC27"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Sudurpaschim</w:t>
            </w:r>
            <w:proofErr w:type="spellEnd"/>
            <w:r w:rsidRPr="008B15A5">
              <w:rPr>
                <w:rFonts w:cstheme="minorHAnsi"/>
                <w:sz w:val="20"/>
                <w:szCs w:val="20"/>
              </w:rPr>
              <w:t xml:space="preserve"> Province</w:t>
            </w:r>
          </w:p>
        </w:tc>
        <w:tc>
          <w:tcPr>
            <w:tcW w:w="398" w:type="pct"/>
          </w:tcPr>
          <w:p w14:paraId="6FD0F8F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tcPr>
          <w:p w14:paraId="3EEBAFF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009F6" w:rsidRPr="008B15A5" w14:paraId="28ED64A7" w14:textId="77777777" w:rsidTr="00EE1B4C">
        <w:trPr>
          <w:trHeight w:val="566"/>
        </w:trPr>
        <w:tc>
          <w:tcPr>
            <w:cnfStyle w:val="001000000000" w:firstRow="0" w:lastRow="0" w:firstColumn="1" w:lastColumn="0" w:oddVBand="0" w:evenVBand="0" w:oddHBand="0" w:evenHBand="0" w:firstRowFirstColumn="0" w:firstRowLastColumn="0" w:lastRowFirstColumn="0" w:lastRowLastColumn="0"/>
            <w:tcW w:w="187" w:type="pct"/>
          </w:tcPr>
          <w:p w14:paraId="55D2A1D2"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0C96DF04"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sz w:val="20"/>
                <w:szCs w:val="20"/>
              </w:rPr>
              <w:t>Jaleshwar</w:t>
            </w:r>
            <w:proofErr w:type="spellEnd"/>
            <w:r w:rsidRPr="008B15A5">
              <w:rPr>
                <w:sz w:val="20"/>
                <w:szCs w:val="20"/>
              </w:rPr>
              <w:t xml:space="preserve"> - Sitamarhi </w:t>
            </w:r>
          </w:p>
        </w:tc>
        <w:tc>
          <w:tcPr>
            <w:tcW w:w="554" w:type="pct"/>
          </w:tcPr>
          <w:p w14:paraId="12F65B3F"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33 </w:t>
            </w:r>
            <w:r>
              <w:rPr>
                <w:rFonts w:cstheme="minorHAnsi"/>
                <w:sz w:val="20"/>
                <w:szCs w:val="20"/>
              </w:rPr>
              <w:t>kV S/C</w:t>
            </w:r>
          </w:p>
        </w:tc>
        <w:tc>
          <w:tcPr>
            <w:tcW w:w="385" w:type="pct"/>
            <w:gridSpan w:val="2"/>
          </w:tcPr>
          <w:p w14:paraId="10173B9C"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66567A3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1</w:t>
            </w:r>
            <w:r>
              <w:rPr>
                <w:rFonts w:cstheme="minorHAnsi"/>
                <w:sz w:val="20"/>
                <w:szCs w:val="20"/>
              </w:rPr>
              <w:t>0</w:t>
            </w:r>
          </w:p>
        </w:tc>
        <w:tc>
          <w:tcPr>
            <w:tcW w:w="381" w:type="pct"/>
          </w:tcPr>
          <w:p w14:paraId="1E9C09DE"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8</w:t>
            </w:r>
          </w:p>
        </w:tc>
        <w:tc>
          <w:tcPr>
            <w:tcW w:w="474" w:type="pct"/>
          </w:tcPr>
          <w:p w14:paraId="63335AB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442C3337"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Janakpur Zone</w:t>
            </w:r>
          </w:p>
        </w:tc>
        <w:tc>
          <w:tcPr>
            <w:tcW w:w="398" w:type="pct"/>
          </w:tcPr>
          <w:p w14:paraId="6EB58DCF"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vMerge/>
          </w:tcPr>
          <w:p w14:paraId="460E2D51"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6B45D3D5" w14:textId="77777777" w:rsidTr="00EE1B4C">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87" w:type="pct"/>
          </w:tcPr>
          <w:p w14:paraId="363B278C"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1668E74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sz w:val="20"/>
                <w:szCs w:val="20"/>
              </w:rPr>
              <w:t>Sirha</w:t>
            </w:r>
            <w:proofErr w:type="spellEnd"/>
            <w:r w:rsidRPr="008B15A5">
              <w:rPr>
                <w:sz w:val="20"/>
                <w:szCs w:val="20"/>
              </w:rPr>
              <w:t xml:space="preserve"> – </w:t>
            </w:r>
            <w:proofErr w:type="spellStart"/>
            <w:r w:rsidRPr="008B15A5">
              <w:rPr>
                <w:sz w:val="20"/>
                <w:szCs w:val="20"/>
              </w:rPr>
              <w:t>Ja</w:t>
            </w:r>
            <w:r>
              <w:rPr>
                <w:sz w:val="20"/>
                <w:szCs w:val="20"/>
              </w:rPr>
              <w:t>y</w:t>
            </w:r>
            <w:r w:rsidRPr="008B15A5">
              <w:rPr>
                <w:sz w:val="20"/>
                <w:szCs w:val="20"/>
              </w:rPr>
              <w:t>nagar</w:t>
            </w:r>
            <w:proofErr w:type="spellEnd"/>
            <w:r w:rsidRPr="008B15A5">
              <w:rPr>
                <w:sz w:val="20"/>
                <w:szCs w:val="20"/>
              </w:rPr>
              <w:t xml:space="preserve"> Line </w:t>
            </w:r>
          </w:p>
        </w:tc>
        <w:tc>
          <w:tcPr>
            <w:tcW w:w="554" w:type="pct"/>
          </w:tcPr>
          <w:p w14:paraId="517D31D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33 </w:t>
            </w:r>
            <w:r>
              <w:rPr>
                <w:rFonts w:cstheme="minorHAnsi"/>
                <w:sz w:val="20"/>
                <w:szCs w:val="20"/>
              </w:rPr>
              <w:t>kV S/C</w:t>
            </w:r>
          </w:p>
        </w:tc>
        <w:tc>
          <w:tcPr>
            <w:tcW w:w="385" w:type="pct"/>
            <w:gridSpan w:val="2"/>
          </w:tcPr>
          <w:p w14:paraId="4AEE9F0F"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3F58EFF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8</w:t>
            </w:r>
          </w:p>
        </w:tc>
        <w:tc>
          <w:tcPr>
            <w:tcW w:w="381" w:type="pct"/>
          </w:tcPr>
          <w:p w14:paraId="51FBD28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8</w:t>
            </w:r>
          </w:p>
        </w:tc>
        <w:tc>
          <w:tcPr>
            <w:tcW w:w="474" w:type="pct"/>
          </w:tcPr>
          <w:p w14:paraId="44C8EE3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6B67BE5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Province No. 2</w:t>
            </w:r>
          </w:p>
        </w:tc>
        <w:tc>
          <w:tcPr>
            <w:tcW w:w="398" w:type="pct"/>
          </w:tcPr>
          <w:p w14:paraId="05FF2F2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tcPr>
          <w:p w14:paraId="29C0FA0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009F6" w:rsidRPr="008B15A5" w14:paraId="191DB904" w14:textId="77777777" w:rsidTr="00EE1B4C">
        <w:trPr>
          <w:trHeight w:val="581"/>
        </w:trPr>
        <w:tc>
          <w:tcPr>
            <w:cnfStyle w:val="001000000000" w:firstRow="0" w:lastRow="0" w:firstColumn="1" w:lastColumn="0" w:oddVBand="0" w:evenVBand="0" w:oddHBand="0" w:evenHBand="0" w:firstRowFirstColumn="0" w:firstRowLastColumn="0" w:lastRowFirstColumn="0" w:lastRowLastColumn="0"/>
            <w:tcW w:w="187" w:type="pct"/>
          </w:tcPr>
          <w:p w14:paraId="70DC9008"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588E744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sz w:val="20"/>
                <w:szCs w:val="20"/>
              </w:rPr>
              <w:t>Rajbiraj</w:t>
            </w:r>
            <w:proofErr w:type="spellEnd"/>
            <w:r w:rsidRPr="008B15A5">
              <w:rPr>
                <w:sz w:val="20"/>
                <w:szCs w:val="20"/>
              </w:rPr>
              <w:t xml:space="preserve"> – </w:t>
            </w:r>
            <w:proofErr w:type="spellStart"/>
            <w:r w:rsidRPr="008B15A5">
              <w:rPr>
                <w:sz w:val="20"/>
                <w:szCs w:val="20"/>
              </w:rPr>
              <w:t>Kataiya</w:t>
            </w:r>
            <w:proofErr w:type="spellEnd"/>
            <w:r w:rsidRPr="008B15A5">
              <w:rPr>
                <w:sz w:val="20"/>
                <w:szCs w:val="20"/>
              </w:rPr>
              <w:t xml:space="preserve"> Line </w:t>
            </w:r>
          </w:p>
        </w:tc>
        <w:tc>
          <w:tcPr>
            <w:tcW w:w="554" w:type="pct"/>
          </w:tcPr>
          <w:p w14:paraId="6C0F748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33 </w:t>
            </w:r>
            <w:r>
              <w:rPr>
                <w:rFonts w:cstheme="minorHAnsi"/>
                <w:sz w:val="20"/>
                <w:szCs w:val="20"/>
              </w:rPr>
              <w:t>kV S/C</w:t>
            </w:r>
          </w:p>
        </w:tc>
        <w:tc>
          <w:tcPr>
            <w:tcW w:w="385" w:type="pct"/>
            <w:gridSpan w:val="2"/>
          </w:tcPr>
          <w:p w14:paraId="27F62361"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28B80CE4"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10</w:t>
            </w:r>
          </w:p>
        </w:tc>
        <w:tc>
          <w:tcPr>
            <w:tcW w:w="381" w:type="pct"/>
          </w:tcPr>
          <w:p w14:paraId="37D359B3"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8</w:t>
            </w:r>
          </w:p>
        </w:tc>
        <w:tc>
          <w:tcPr>
            <w:tcW w:w="474" w:type="pct"/>
          </w:tcPr>
          <w:p w14:paraId="4224FDD2"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Bihar </w:t>
            </w:r>
          </w:p>
        </w:tc>
        <w:tc>
          <w:tcPr>
            <w:tcW w:w="591" w:type="pct"/>
          </w:tcPr>
          <w:p w14:paraId="202A3A4E"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Saptari</w:t>
            </w:r>
            <w:proofErr w:type="spellEnd"/>
            <w:r w:rsidRPr="008B15A5">
              <w:rPr>
                <w:rFonts w:cstheme="minorHAnsi"/>
                <w:sz w:val="20"/>
                <w:szCs w:val="20"/>
              </w:rPr>
              <w:t xml:space="preserve"> District</w:t>
            </w:r>
          </w:p>
        </w:tc>
        <w:tc>
          <w:tcPr>
            <w:tcW w:w="398" w:type="pct"/>
          </w:tcPr>
          <w:p w14:paraId="0F0B941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vMerge/>
          </w:tcPr>
          <w:p w14:paraId="4A3CC9FD"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61E1E279" w14:textId="77777777" w:rsidTr="00EE1B4C">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87" w:type="pct"/>
          </w:tcPr>
          <w:p w14:paraId="244F9A95"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1CEA0E9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sz w:val="20"/>
                <w:szCs w:val="20"/>
              </w:rPr>
              <w:t xml:space="preserve">Biratnagar – </w:t>
            </w:r>
            <w:proofErr w:type="spellStart"/>
            <w:r w:rsidRPr="008B15A5">
              <w:rPr>
                <w:sz w:val="20"/>
                <w:szCs w:val="20"/>
              </w:rPr>
              <w:t>Kataiya</w:t>
            </w:r>
            <w:proofErr w:type="spellEnd"/>
            <w:r w:rsidRPr="008B15A5">
              <w:rPr>
                <w:sz w:val="20"/>
                <w:szCs w:val="20"/>
              </w:rPr>
              <w:t xml:space="preserve"> Line</w:t>
            </w:r>
          </w:p>
        </w:tc>
        <w:tc>
          <w:tcPr>
            <w:tcW w:w="554" w:type="pct"/>
          </w:tcPr>
          <w:p w14:paraId="5A3E5CC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33 </w:t>
            </w:r>
            <w:r>
              <w:rPr>
                <w:rFonts w:cstheme="minorHAnsi"/>
                <w:sz w:val="20"/>
                <w:szCs w:val="20"/>
              </w:rPr>
              <w:t>kV S/C</w:t>
            </w:r>
          </w:p>
        </w:tc>
        <w:tc>
          <w:tcPr>
            <w:tcW w:w="385" w:type="pct"/>
            <w:gridSpan w:val="2"/>
          </w:tcPr>
          <w:p w14:paraId="2579C7F6"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4BF8EC67"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81" w:type="pct"/>
          </w:tcPr>
          <w:p w14:paraId="27920290"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74" w:type="pct"/>
          </w:tcPr>
          <w:p w14:paraId="27790B4E"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69B383A1"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Rupri</w:t>
            </w:r>
            <w:proofErr w:type="spellEnd"/>
          </w:p>
        </w:tc>
        <w:tc>
          <w:tcPr>
            <w:tcW w:w="398" w:type="pct"/>
          </w:tcPr>
          <w:p w14:paraId="26CD9E97"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tcPr>
          <w:p w14:paraId="3949DE4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009F6" w:rsidRPr="008B15A5" w14:paraId="680D7EA0" w14:textId="77777777" w:rsidTr="00EE1B4C">
        <w:trPr>
          <w:trHeight w:val="566"/>
        </w:trPr>
        <w:tc>
          <w:tcPr>
            <w:cnfStyle w:val="001000000000" w:firstRow="0" w:lastRow="0" w:firstColumn="1" w:lastColumn="0" w:oddVBand="0" w:evenVBand="0" w:oddHBand="0" w:evenHBand="0" w:firstRowFirstColumn="0" w:firstRowLastColumn="0" w:lastRowFirstColumn="0" w:lastRowLastColumn="0"/>
            <w:tcW w:w="187" w:type="pct"/>
          </w:tcPr>
          <w:p w14:paraId="31BA2622"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4D55A89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sz w:val="20"/>
                <w:szCs w:val="20"/>
              </w:rPr>
            </w:pPr>
            <w:r w:rsidRPr="008B15A5">
              <w:rPr>
                <w:sz w:val="20"/>
                <w:szCs w:val="20"/>
              </w:rPr>
              <w:t xml:space="preserve">Nepalgunj – </w:t>
            </w:r>
            <w:proofErr w:type="spellStart"/>
            <w:r w:rsidRPr="008B15A5">
              <w:rPr>
                <w:sz w:val="20"/>
                <w:szCs w:val="20"/>
              </w:rPr>
              <w:t>Nanpara</w:t>
            </w:r>
            <w:proofErr w:type="spellEnd"/>
            <w:r w:rsidRPr="008B15A5">
              <w:rPr>
                <w:sz w:val="20"/>
                <w:szCs w:val="20"/>
              </w:rPr>
              <w:t xml:space="preserve"> Line</w:t>
            </w:r>
          </w:p>
        </w:tc>
        <w:tc>
          <w:tcPr>
            <w:tcW w:w="554" w:type="pct"/>
          </w:tcPr>
          <w:p w14:paraId="6A317235"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33 </w:t>
            </w:r>
            <w:r>
              <w:rPr>
                <w:rFonts w:cstheme="minorHAnsi"/>
                <w:sz w:val="20"/>
                <w:szCs w:val="20"/>
              </w:rPr>
              <w:t>kV</w:t>
            </w:r>
          </w:p>
        </w:tc>
        <w:tc>
          <w:tcPr>
            <w:tcW w:w="385" w:type="pct"/>
            <w:gridSpan w:val="2"/>
          </w:tcPr>
          <w:p w14:paraId="05F754CB"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7C7C94AF"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10</w:t>
            </w:r>
          </w:p>
        </w:tc>
        <w:tc>
          <w:tcPr>
            <w:tcW w:w="381" w:type="pct"/>
          </w:tcPr>
          <w:p w14:paraId="5260EC7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8</w:t>
            </w:r>
          </w:p>
        </w:tc>
        <w:tc>
          <w:tcPr>
            <w:tcW w:w="474" w:type="pct"/>
          </w:tcPr>
          <w:p w14:paraId="6B5C8AD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Uttar Pradesh</w:t>
            </w:r>
          </w:p>
        </w:tc>
        <w:tc>
          <w:tcPr>
            <w:tcW w:w="591" w:type="pct"/>
          </w:tcPr>
          <w:p w14:paraId="58472C60"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Banke</w:t>
            </w:r>
          </w:p>
        </w:tc>
        <w:tc>
          <w:tcPr>
            <w:tcW w:w="398" w:type="pct"/>
          </w:tcPr>
          <w:p w14:paraId="3D7E49C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vMerge/>
          </w:tcPr>
          <w:p w14:paraId="30E1F8A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16FB1A35" w14:textId="77777777" w:rsidTr="00EE1B4C">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87" w:type="pct"/>
          </w:tcPr>
          <w:p w14:paraId="68BFBD67"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1ED20D3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8B15A5">
              <w:rPr>
                <w:sz w:val="20"/>
                <w:szCs w:val="20"/>
              </w:rPr>
              <w:t>Mahendranagar</w:t>
            </w:r>
            <w:proofErr w:type="spellEnd"/>
            <w:r w:rsidRPr="008B15A5">
              <w:rPr>
                <w:sz w:val="20"/>
                <w:szCs w:val="20"/>
              </w:rPr>
              <w:t xml:space="preserve"> – Lohia Line</w:t>
            </w:r>
          </w:p>
        </w:tc>
        <w:tc>
          <w:tcPr>
            <w:tcW w:w="554" w:type="pct"/>
          </w:tcPr>
          <w:p w14:paraId="7B52711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33</w:t>
            </w:r>
            <w:r w:rsidRPr="008B15A5">
              <w:rPr>
                <w:rFonts w:cstheme="minorHAnsi"/>
                <w:sz w:val="20"/>
                <w:szCs w:val="20"/>
              </w:rPr>
              <w:t xml:space="preserve"> </w:t>
            </w:r>
            <w:r>
              <w:rPr>
                <w:rFonts w:cstheme="minorHAnsi"/>
                <w:sz w:val="20"/>
                <w:szCs w:val="20"/>
              </w:rPr>
              <w:t>kV</w:t>
            </w:r>
          </w:p>
        </w:tc>
        <w:tc>
          <w:tcPr>
            <w:tcW w:w="385" w:type="pct"/>
            <w:gridSpan w:val="2"/>
          </w:tcPr>
          <w:p w14:paraId="24C96556"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5D414FF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81" w:type="pct"/>
          </w:tcPr>
          <w:p w14:paraId="2DA5614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74" w:type="pct"/>
          </w:tcPr>
          <w:p w14:paraId="3C923451"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Uttarakhand</w:t>
            </w:r>
          </w:p>
        </w:tc>
        <w:tc>
          <w:tcPr>
            <w:tcW w:w="591" w:type="pct"/>
          </w:tcPr>
          <w:p w14:paraId="4FEDD87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Mahendranagar</w:t>
            </w:r>
            <w:proofErr w:type="spellEnd"/>
          </w:p>
        </w:tc>
        <w:tc>
          <w:tcPr>
            <w:tcW w:w="398" w:type="pct"/>
          </w:tcPr>
          <w:p w14:paraId="72976E81"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tcPr>
          <w:p w14:paraId="36773A0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009F6" w:rsidRPr="008B15A5" w14:paraId="236886B6" w14:textId="77777777" w:rsidTr="00EE1B4C">
        <w:trPr>
          <w:trHeight w:val="581"/>
        </w:trPr>
        <w:tc>
          <w:tcPr>
            <w:cnfStyle w:val="001000000000" w:firstRow="0" w:lastRow="0" w:firstColumn="1" w:lastColumn="0" w:oddVBand="0" w:evenVBand="0" w:oddHBand="0" w:evenHBand="0" w:firstRowFirstColumn="0" w:firstRowLastColumn="0" w:lastRowFirstColumn="0" w:lastRowLastColumn="0"/>
            <w:tcW w:w="187" w:type="pct"/>
          </w:tcPr>
          <w:p w14:paraId="3A29250B"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577EDCE7"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sz w:val="20"/>
                <w:szCs w:val="20"/>
              </w:rPr>
            </w:pPr>
            <w:r w:rsidRPr="008B15A5">
              <w:rPr>
                <w:sz w:val="20"/>
                <w:szCs w:val="20"/>
              </w:rPr>
              <w:t>Baitadi – Pithoragarh Line</w:t>
            </w:r>
          </w:p>
        </w:tc>
        <w:tc>
          <w:tcPr>
            <w:tcW w:w="554" w:type="pct"/>
          </w:tcPr>
          <w:p w14:paraId="38ED75D1"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11 </w:t>
            </w:r>
            <w:r>
              <w:rPr>
                <w:rFonts w:cstheme="minorHAnsi"/>
                <w:sz w:val="20"/>
                <w:szCs w:val="20"/>
              </w:rPr>
              <w:t>kV</w:t>
            </w:r>
          </w:p>
        </w:tc>
        <w:tc>
          <w:tcPr>
            <w:tcW w:w="385" w:type="pct"/>
            <w:gridSpan w:val="2"/>
          </w:tcPr>
          <w:p w14:paraId="08CD9BFC"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52E5C9D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381" w:type="pct"/>
          </w:tcPr>
          <w:p w14:paraId="547D3F41"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474" w:type="pct"/>
          </w:tcPr>
          <w:p w14:paraId="63F08E02"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Uttarakhand</w:t>
            </w:r>
          </w:p>
        </w:tc>
        <w:tc>
          <w:tcPr>
            <w:tcW w:w="591" w:type="pct"/>
          </w:tcPr>
          <w:p w14:paraId="1E84C410"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Sudurpashchim</w:t>
            </w:r>
            <w:proofErr w:type="spellEnd"/>
            <w:r w:rsidRPr="008B15A5">
              <w:rPr>
                <w:rFonts w:cstheme="minorHAnsi"/>
                <w:sz w:val="20"/>
                <w:szCs w:val="20"/>
              </w:rPr>
              <w:t xml:space="preserve"> Province</w:t>
            </w:r>
          </w:p>
        </w:tc>
        <w:tc>
          <w:tcPr>
            <w:tcW w:w="398" w:type="pct"/>
          </w:tcPr>
          <w:p w14:paraId="66624B6A"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vMerge/>
          </w:tcPr>
          <w:p w14:paraId="63F404C9"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0723C534" w14:textId="77777777" w:rsidTr="00EE1B4C">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87" w:type="pct"/>
          </w:tcPr>
          <w:p w14:paraId="7C04B8F9"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5C3925E3"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8B15A5">
              <w:rPr>
                <w:sz w:val="20"/>
                <w:szCs w:val="20"/>
              </w:rPr>
              <w:t>Jaljibe</w:t>
            </w:r>
            <w:proofErr w:type="spellEnd"/>
            <w:r w:rsidRPr="008B15A5">
              <w:rPr>
                <w:sz w:val="20"/>
                <w:szCs w:val="20"/>
              </w:rPr>
              <w:t xml:space="preserve"> – </w:t>
            </w:r>
            <w:proofErr w:type="spellStart"/>
            <w:r w:rsidRPr="008B15A5">
              <w:rPr>
                <w:sz w:val="20"/>
                <w:szCs w:val="20"/>
              </w:rPr>
              <w:t>Dharchula</w:t>
            </w:r>
            <w:proofErr w:type="spellEnd"/>
            <w:r w:rsidRPr="008B15A5">
              <w:rPr>
                <w:sz w:val="20"/>
                <w:szCs w:val="20"/>
              </w:rPr>
              <w:t xml:space="preserve"> Line</w:t>
            </w:r>
          </w:p>
        </w:tc>
        <w:tc>
          <w:tcPr>
            <w:tcW w:w="554" w:type="pct"/>
          </w:tcPr>
          <w:p w14:paraId="176F5201"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11 </w:t>
            </w:r>
            <w:r>
              <w:rPr>
                <w:rFonts w:cstheme="minorHAnsi"/>
                <w:sz w:val="20"/>
                <w:szCs w:val="20"/>
              </w:rPr>
              <w:t>kV</w:t>
            </w:r>
          </w:p>
        </w:tc>
        <w:tc>
          <w:tcPr>
            <w:tcW w:w="385" w:type="pct"/>
            <w:gridSpan w:val="2"/>
          </w:tcPr>
          <w:p w14:paraId="24A9B05B"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1CDF4B2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81" w:type="pct"/>
          </w:tcPr>
          <w:p w14:paraId="3D53FF6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74" w:type="pct"/>
          </w:tcPr>
          <w:p w14:paraId="5A7AB8A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Uttarakhand</w:t>
            </w:r>
          </w:p>
        </w:tc>
        <w:tc>
          <w:tcPr>
            <w:tcW w:w="591" w:type="pct"/>
          </w:tcPr>
          <w:p w14:paraId="310B10D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Jaljibe</w:t>
            </w:r>
            <w:proofErr w:type="spellEnd"/>
            <w:r w:rsidRPr="008B15A5">
              <w:rPr>
                <w:rFonts w:cstheme="minorHAnsi"/>
                <w:sz w:val="20"/>
                <w:szCs w:val="20"/>
              </w:rPr>
              <w:t xml:space="preserve"> </w:t>
            </w:r>
          </w:p>
        </w:tc>
        <w:tc>
          <w:tcPr>
            <w:tcW w:w="398" w:type="pct"/>
          </w:tcPr>
          <w:p w14:paraId="10922C6D"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vMerge/>
          </w:tcPr>
          <w:p w14:paraId="52BF120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009F6" w:rsidRPr="008B15A5" w14:paraId="5EC5B168" w14:textId="77777777" w:rsidTr="00EE1B4C">
        <w:trPr>
          <w:trHeight w:val="566"/>
        </w:trPr>
        <w:tc>
          <w:tcPr>
            <w:cnfStyle w:val="001000000000" w:firstRow="0" w:lastRow="0" w:firstColumn="1" w:lastColumn="0" w:oddVBand="0" w:evenVBand="0" w:oddHBand="0" w:evenHBand="0" w:firstRowFirstColumn="0" w:firstRowLastColumn="0" w:lastRowFirstColumn="0" w:lastRowLastColumn="0"/>
            <w:tcW w:w="187" w:type="pct"/>
          </w:tcPr>
          <w:p w14:paraId="02511EE1" w14:textId="77777777" w:rsidR="004009F6" w:rsidRPr="008B15A5" w:rsidRDefault="004009F6" w:rsidP="005E5987">
            <w:pPr>
              <w:pStyle w:val="ListParagraph"/>
              <w:numPr>
                <w:ilvl w:val="0"/>
                <w:numId w:val="16"/>
              </w:numPr>
              <w:spacing w:before="0" w:after="0"/>
              <w:contextualSpacing/>
              <w:jc w:val="left"/>
              <w:rPr>
                <w:rFonts w:cstheme="minorHAnsi"/>
                <w:sz w:val="20"/>
                <w:szCs w:val="20"/>
              </w:rPr>
            </w:pPr>
          </w:p>
        </w:tc>
        <w:tc>
          <w:tcPr>
            <w:tcW w:w="623" w:type="pct"/>
          </w:tcPr>
          <w:p w14:paraId="7D1A600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8B15A5">
              <w:rPr>
                <w:sz w:val="20"/>
                <w:szCs w:val="20"/>
              </w:rPr>
              <w:t>Pipli</w:t>
            </w:r>
            <w:proofErr w:type="spellEnd"/>
            <w:r w:rsidRPr="008B15A5">
              <w:rPr>
                <w:sz w:val="20"/>
                <w:szCs w:val="20"/>
              </w:rPr>
              <w:t xml:space="preserve"> – </w:t>
            </w:r>
            <w:proofErr w:type="spellStart"/>
            <w:r w:rsidRPr="008B15A5">
              <w:rPr>
                <w:sz w:val="20"/>
                <w:szCs w:val="20"/>
              </w:rPr>
              <w:t>Dharchula</w:t>
            </w:r>
            <w:proofErr w:type="spellEnd"/>
            <w:r w:rsidRPr="008B15A5">
              <w:rPr>
                <w:sz w:val="20"/>
                <w:szCs w:val="20"/>
              </w:rPr>
              <w:t xml:space="preserve"> Line</w:t>
            </w:r>
          </w:p>
        </w:tc>
        <w:tc>
          <w:tcPr>
            <w:tcW w:w="554" w:type="pct"/>
          </w:tcPr>
          <w:p w14:paraId="77E3A30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11 </w:t>
            </w:r>
            <w:r>
              <w:rPr>
                <w:rFonts w:cstheme="minorHAnsi"/>
                <w:sz w:val="20"/>
                <w:szCs w:val="20"/>
              </w:rPr>
              <w:t>kV</w:t>
            </w:r>
          </w:p>
        </w:tc>
        <w:tc>
          <w:tcPr>
            <w:tcW w:w="385" w:type="pct"/>
            <w:gridSpan w:val="2"/>
          </w:tcPr>
          <w:p w14:paraId="72F2E97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Pr="008B15A5">
              <w:rPr>
                <w:rFonts w:cstheme="minorHAnsi"/>
                <w:sz w:val="20"/>
                <w:szCs w:val="20"/>
              </w:rPr>
              <w:t>AC</w:t>
            </w:r>
          </w:p>
        </w:tc>
        <w:tc>
          <w:tcPr>
            <w:tcW w:w="466" w:type="pct"/>
          </w:tcPr>
          <w:p w14:paraId="6BF42A10"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381" w:type="pct"/>
          </w:tcPr>
          <w:p w14:paraId="10FE96EF"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474" w:type="pct"/>
          </w:tcPr>
          <w:p w14:paraId="11F110B0"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Uttarakhand</w:t>
            </w:r>
          </w:p>
        </w:tc>
        <w:tc>
          <w:tcPr>
            <w:tcW w:w="591" w:type="pct"/>
          </w:tcPr>
          <w:p w14:paraId="6819FCD0"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Pipli</w:t>
            </w:r>
            <w:proofErr w:type="spellEnd"/>
            <w:r w:rsidRPr="008B15A5">
              <w:rPr>
                <w:rFonts w:cstheme="minorHAnsi"/>
                <w:sz w:val="20"/>
                <w:szCs w:val="20"/>
              </w:rPr>
              <w:t xml:space="preserve"> </w:t>
            </w:r>
          </w:p>
        </w:tc>
        <w:tc>
          <w:tcPr>
            <w:tcW w:w="398" w:type="pct"/>
          </w:tcPr>
          <w:p w14:paraId="48049F57"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vMerge/>
          </w:tcPr>
          <w:p w14:paraId="7461960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675754E8" w14:textId="77777777" w:rsidTr="00EE1B4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87" w:type="pct"/>
          </w:tcPr>
          <w:p w14:paraId="6133D066" w14:textId="77777777" w:rsidR="004009F6" w:rsidRPr="008B15A5" w:rsidRDefault="004009F6" w:rsidP="00A830B1">
            <w:pPr>
              <w:rPr>
                <w:rFonts w:cstheme="minorHAnsi"/>
                <w:sz w:val="20"/>
                <w:szCs w:val="20"/>
              </w:rPr>
            </w:pPr>
          </w:p>
        </w:tc>
        <w:tc>
          <w:tcPr>
            <w:tcW w:w="623" w:type="pct"/>
          </w:tcPr>
          <w:p w14:paraId="1BCECF4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b/>
                <w:bCs/>
                <w:sz w:val="20"/>
                <w:szCs w:val="20"/>
              </w:rPr>
            </w:pPr>
          </w:p>
        </w:tc>
        <w:tc>
          <w:tcPr>
            <w:tcW w:w="554" w:type="pct"/>
          </w:tcPr>
          <w:p w14:paraId="67F33BD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p>
        </w:tc>
        <w:tc>
          <w:tcPr>
            <w:tcW w:w="382" w:type="pct"/>
          </w:tcPr>
          <w:p w14:paraId="794BD83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916" w:type="pct"/>
            <w:gridSpan w:val="5"/>
          </w:tcPr>
          <w:p w14:paraId="6DB35EE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8" w:type="pct"/>
          </w:tcPr>
          <w:p w14:paraId="154D579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tcPr>
          <w:p w14:paraId="5325AC7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E1B4C" w:rsidRPr="008B15A5" w14:paraId="2FB1D227" w14:textId="77777777" w:rsidTr="00EE1B4C">
        <w:trPr>
          <w:trHeight w:val="342"/>
        </w:trPr>
        <w:tc>
          <w:tcPr>
            <w:cnfStyle w:val="001000000000" w:firstRow="0" w:lastRow="0" w:firstColumn="1" w:lastColumn="0" w:oddVBand="0" w:evenVBand="0" w:oddHBand="0" w:evenHBand="0" w:firstRowFirstColumn="0" w:firstRowLastColumn="0" w:lastRowFirstColumn="0" w:lastRowLastColumn="0"/>
            <w:tcW w:w="3664" w:type="pct"/>
            <w:gridSpan w:val="9"/>
          </w:tcPr>
          <w:p w14:paraId="1C614125" w14:textId="77777777" w:rsidR="004009F6" w:rsidRPr="008B15A5" w:rsidRDefault="004009F6" w:rsidP="00A830B1">
            <w:pPr>
              <w:rPr>
                <w:rFonts w:cstheme="minorHAnsi"/>
                <w:sz w:val="20"/>
                <w:szCs w:val="20"/>
              </w:rPr>
            </w:pPr>
            <w:r>
              <w:rPr>
                <w:rFonts w:cstheme="minorHAnsi"/>
                <w:sz w:val="20"/>
                <w:szCs w:val="20"/>
              </w:rPr>
              <w:t xml:space="preserve"> </w:t>
            </w:r>
            <w:r w:rsidRPr="008B15A5">
              <w:rPr>
                <w:rFonts w:cstheme="minorHAnsi"/>
                <w:sz w:val="20"/>
                <w:szCs w:val="20"/>
              </w:rPr>
              <w:t xml:space="preserve"> </w:t>
            </w:r>
          </w:p>
        </w:tc>
        <w:tc>
          <w:tcPr>
            <w:tcW w:w="398" w:type="pct"/>
          </w:tcPr>
          <w:p w14:paraId="5A0CDB64"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38" w:type="pct"/>
          </w:tcPr>
          <w:p w14:paraId="3A4978F3"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3B865E5C" w14:textId="77777777" w:rsidTr="00EE1B4C">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87" w:type="pct"/>
          </w:tcPr>
          <w:p w14:paraId="53D7EDC5" w14:textId="77777777" w:rsidR="004009F6" w:rsidRPr="008B15A5" w:rsidRDefault="004009F6" w:rsidP="005E5987">
            <w:pPr>
              <w:pStyle w:val="ListParagraph"/>
              <w:numPr>
                <w:ilvl w:val="0"/>
                <w:numId w:val="17"/>
              </w:numPr>
              <w:spacing w:before="0" w:after="0"/>
              <w:contextualSpacing/>
              <w:jc w:val="left"/>
              <w:rPr>
                <w:rFonts w:cstheme="minorHAnsi"/>
                <w:sz w:val="20"/>
                <w:szCs w:val="20"/>
              </w:rPr>
            </w:pPr>
          </w:p>
        </w:tc>
        <w:tc>
          <w:tcPr>
            <w:tcW w:w="623" w:type="pct"/>
          </w:tcPr>
          <w:p w14:paraId="1DC982F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sz w:val="20"/>
                <w:szCs w:val="20"/>
              </w:rPr>
            </w:pPr>
            <w:r w:rsidRPr="008B15A5">
              <w:rPr>
                <w:sz w:val="20"/>
                <w:szCs w:val="20"/>
              </w:rPr>
              <w:t>Butwal Gorakhpur Line</w:t>
            </w:r>
          </w:p>
        </w:tc>
        <w:tc>
          <w:tcPr>
            <w:tcW w:w="554" w:type="pct"/>
          </w:tcPr>
          <w:p w14:paraId="56B24D3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400 </w:t>
            </w:r>
            <w:r>
              <w:rPr>
                <w:rFonts w:cstheme="minorHAnsi"/>
                <w:sz w:val="20"/>
                <w:szCs w:val="20"/>
              </w:rPr>
              <w:t>kV D/C</w:t>
            </w:r>
          </w:p>
        </w:tc>
        <w:tc>
          <w:tcPr>
            <w:tcW w:w="385" w:type="pct"/>
            <w:gridSpan w:val="2"/>
          </w:tcPr>
          <w:p w14:paraId="1149311E"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3FEE023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1000</w:t>
            </w:r>
          </w:p>
        </w:tc>
        <w:tc>
          <w:tcPr>
            <w:tcW w:w="381" w:type="pct"/>
          </w:tcPr>
          <w:p w14:paraId="28D812A2"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p>
        </w:tc>
        <w:tc>
          <w:tcPr>
            <w:tcW w:w="474" w:type="pct"/>
          </w:tcPr>
          <w:p w14:paraId="044FA719"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7ECA202D"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Lumbini Province</w:t>
            </w:r>
          </w:p>
        </w:tc>
        <w:tc>
          <w:tcPr>
            <w:tcW w:w="398" w:type="pct"/>
          </w:tcPr>
          <w:p w14:paraId="2B416419"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2025</w:t>
            </w:r>
          </w:p>
        </w:tc>
        <w:tc>
          <w:tcPr>
            <w:tcW w:w="938" w:type="pct"/>
          </w:tcPr>
          <w:p w14:paraId="06A9CF67"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Proposed to be developed by a JV of NEA and PGCIL</w:t>
            </w:r>
          </w:p>
        </w:tc>
      </w:tr>
      <w:tr w:rsidR="00EE1B4C" w:rsidRPr="008B15A5" w14:paraId="1CE1E963" w14:textId="77777777" w:rsidTr="00EE1B4C">
        <w:trPr>
          <w:trHeight w:val="805"/>
        </w:trPr>
        <w:tc>
          <w:tcPr>
            <w:cnfStyle w:val="001000000000" w:firstRow="0" w:lastRow="0" w:firstColumn="1" w:lastColumn="0" w:oddVBand="0" w:evenVBand="0" w:oddHBand="0" w:evenHBand="0" w:firstRowFirstColumn="0" w:firstRowLastColumn="0" w:lastRowFirstColumn="0" w:lastRowLastColumn="0"/>
            <w:tcW w:w="187" w:type="pct"/>
          </w:tcPr>
          <w:p w14:paraId="2CDED540" w14:textId="77777777" w:rsidR="004009F6" w:rsidRPr="008B15A5" w:rsidRDefault="004009F6" w:rsidP="005E5987">
            <w:pPr>
              <w:pStyle w:val="ListParagraph"/>
              <w:numPr>
                <w:ilvl w:val="0"/>
                <w:numId w:val="17"/>
              </w:numPr>
              <w:spacing w:before="0" w:after="0"/>
              <w:contextualSpacing/>
              <w:jc w:val="left"/>
              <w:rPr>
                <w:rFonts w:cstheme="minorHAnsi"/>
                <w:sz w:val="20"/>
                <w:szCs w:val="20"/>
              </w:rPr>
            </w:pPr>
          </w:p>
        </w:tc>
        <w:tc>
          <w:tcPr>
            <w:tcW w:w="623" w:type="pct"/>
          </w:tcPr>
          <w:p w14:paraId="7BA7CC51"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Muzaffarpur-</w:t>
            </w:r>
            <w:proofErr w:type="spellStart"/>
            <w:r>
              <w:rPr>
                <w:sz w:val="20"/>
                <w:szCs w:val="20"/>
              </w:rPr>
              <w:t>Dhalkebar</w:t>
            </w:r>
            <w:proofErr w:type="spellEnd"/>
            <w:r>
              <w:rPr>
                <w:sz w:val="20"/>
                <w:szCs w:val="20"/>
              </w:rPr>
              <w:t xml:space="preserve"> -2</w:t>
            </w:r>
            <w:r w:rsidRPr="00C079B5">
              <w:rPr>
                <w:sz w:val="20"/>
                <w:szCs w:val="20"/>
                <w:vertAlign w:val="superscript"/>
              </w:rPr>
              <w:t>nd</w:t>
            </w:r>
            <w:r>
              <w:rPr>
                <w:sz w:val="20"/>
                <w:szCs w:val="20"/>
              </w:rPr>
              <w:t xml:space="preserve"> Line</w:t>
            </w:r>
          </w:p>
        </w:tc>
        <w:tc>
          <w:tcPr>
            <w:tcW w:w="554" w:type="pct"/>
          </w:tcPr>
          <w:p w14:paraId="6F5637F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400 kV D/C</w:t>
            </w:r>
          </w:p>
        </w:tc>
        <w:tc>
          <w:tcPr>
            <w:tcW w:w="385" w:type="pct"/>
            <w:gridSpan w:val="2"/>
          </w:tcPr>
          <w:p w14:paraId="59AEA26D"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1B9A0E62"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1000</w:t>
            </w:r>
          </w:p>
        </w:tc>
        <w:tc>
          <w:tcPr>
            <w:tcW w:w="381" w:type="pct"/>
          </w:tcPr>
          <w:p w14:paraId="002696D4"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96775">
              <w:rPr>
                <w:rFonts w:cstheme="minorHAnsi"/>
                <w:sz w:val="20"/>
                <w:szCs w:val="20"/>
              </w:rPr>
              <w:t xml:space="preserve">     -</w:t>
            </w:r>
          </w:p>
        </w:tc>
        <w:tc>
          <w:tcPr>
            <w:tcW w:w="474" w:type="pct"/>
          </w:tcPr>
          <w:p w14:paraId="6374F29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Bihar</w:t>
            </w:r>
          </w:p>
        </w:tc>
        <w:tc>
          <w:tcPr>
            <w:tcW w:w="591" w:type="pct"/>
          </w:tcPr>
          <w:p w14:paraId="188B982D"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Pr>
                <w:rFonts w:cstheme="minorHAnsi"/>
                <w:sz w:val="20"/>
                <w:szCs w:val="20"/>
              </w:rPr>
              <w:t>Dhalkebar</w:t>
            </w:r>
            <w:proofErr w:type="spellEnd"/>
          </w:p>
        </w:tc>
        <w:tc>
          <w:tcPr>
            <w:tcW w:w="398" w:type="pct"/>
          </w:tcPr>
          <w:p w14:paraId="3E59A7E0"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&gt;2025</w:t>
            </w:r>
          </w:p>
        </w:tc>
        <w:tc>
          <w:tcPr>
            <w:tcW w:w="938" w:type="pct"/>
          </w:tcPr>
          <w:p w14:paraId="108A18B1"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Associated with Arun 3 project.</w:t>
            </w:r>
          </w:p>
        </w:tc>
      </w:tr>
      <w:tr w:rsidR="004009F6" w:rsidRPr="008B15A5" w14:paraId="28330C65" w14:textId="77777777" w:rsidTr="00EE1B4C">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7" w:type="pct"/>
          </w:tcPr>
          <w:p w14:paraId="21C33F74" w14:textId="77777777" w:rsidR="004009F6" w:rsidRPr="008B15A5" w:rsidRDefault="004009F6" w:rsidP="005E5987">
            <w:pPr>
              <w:pStyle w:val="ListParagraph"/>
              <w:numPr>
                <w:ilvl w:val="0"/>
                <w:numId w:val="17"/>
              </w:numPr>
              <w:spacing w:before="0" w:after="0"/>
              <w:contextualSpacing/>
              <w:jc w:val="left"/>
              <w:rPr>
                <w:rFonts w:cstheme="minorHAnsi"/>
                <w:sz w:val="20"/>
                <w:szCs w:val="20"/>
              </w:rPr>
            </w:pPr>
          </w:p>
        </w:tc>
        <w:tc>
          <w:tcPr>
            <w:tcW w:w="623" w:type="pct"/>
          </w:tcPr>
          <w:p w14:paraId="5A65F95D"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Lumki-Bareilly</w:t>
            </w:r>
          </w:p>
        </w:tc>
        <w:tc>
          <w:tcPr>
            <w:tcW w:w="554" w:type="pct"/>
          </w:tcPr>
          <w:p w14:paraId="151C55C8"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400 kV D/C</w:t>
            </w:r>
          </w:p>
        </w:tc>
        <w:tc>
          <w:tcPr>
            <w:tcW w:w="385" w:type="pct"/>
            <w:gridSpan w:val="2"/>
          </w:tcPr>
          <w:p w14:paraId="7B1389D5"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A0DAD">
              <w:rPr>
                <w:rFonts w:cstheme="minorHAnsi"/>
                <w:sz w:val="20"/>
                <w:szCs w:val="20"/>
              </w:rPr>
              <w:t>AC</w:t>
            </w:r>
          </w:p>
        </w:tc>
        <w:tc>
          <w:tcPr>
            <w:tcW w:w="466" w:type="pct"/>
          </w:tcPr>
          <w:p w14:paraId="379BA8B7" w14:textId="77777777" w:rsidR="004009F6"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1000</w:t>
            </w:r>
          </w:p>
        </w:tc>
        <w:tc>
          <w:tcPr>
            <w:tcW w:w="381" w:type="pct"/>
          </w:tcPr>
          <w:p w14:paraId="69A44387"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296775">
              <w:rPr>
                <w:rFonts w:cstheme="minorHAnsi"/>
                <w:sz w:val="20"/>
                <w:szCs w:val="20"/>
              </w:rPr>
              <w:t xml:space="preserve">     -</w:t>
            </w:r>
          </w:p>
        </w:tc>
        <w:tc>
          <w:tcPr>
            <w:tcW w:w="474" w:type="pct"/>
          </w:tcPr>
          <w:p w14:paraId="5DBF841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Bareilly</w:t>
            </w:r>
          </w:p>
        </w:tc>
        <w:tc>
          <w:tcPr>
            <w:tcW w:w="591" w:type="pct"/>
          </w:tcPr>
          <w:p w14:paraId="173B0501"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Lumki</w:t>
            </w:r>
          </w:p>
        </w:tc>
        <w:tc>
          <w:tcPr>
            <w:tcW w:w="398" w:type="pct"/>
          </w:tcPr>
          <w:p w14:paraId="4E3BB601"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&gt;2025</w:t>
            </w:r>
          </w:p>
        </w:tc>
        <w:tc>
          <w:tcPr>
            <w:tcW w:w="938" w:type="pct"/>
          </w:tcPr>
          <w:p w14:paraId="63C21882"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E1B4C" w:rsidRPr="008B15A5" w14:paraId="6916948A" w14:textId="77777777" w:rsidTr="00EE1B4C">
        <w:trPr>
          <w:trHeight w:val="581"/>
        </w:trPr>
        <w:tc>
          <w:tcPr>
            <w:cnfStyle w:val="001000000000" w:firstRow="0" w:lastRow="0" w:firstColumn="1" w:lastColumn="0" w:oddVBand="0" w:evenVBand="0" w:oddHBand="0" w:evenHBand="0" w:firstRowFirstColumn="0" w:firstRowLastColumn="0" w:lastRowFirstColumn="0" w:lastRowLastColumn="0"/>
            <w:tcW w:w="187" w:type="pct"/>
          </w:tcPr>
          <w:p w14:paraId="496F3803" w14:textId="77777777" w:rsidR="004009F6" w:rsidRPr="008B15A5" w:rsidRDefault="004009F6" w:rsidP="005E5987">
            <w:pPr>
              <w:pStyle w:val="ListParagraph"/>
              <w:numPr>
                <w:ilvl w:val="0"/>
                <w:numId w:val="17"/>
              </w:numPr>
              <w:spacing w:before="0" w:after="0"/>
              <w:contextualSpacing/>
              <w:jc w:val="left"/>
              <w:rPr>
                <w:rFonts w:cstheme="minorHAnsi"/>
                <w:sz w:val="20"/>
                <w:szCs w:val="20"/>
              </w:rPr>
            </w:pPr>
          </w:p>
        </w:tc>
        <w:tc>
          <w:tcPr>
            <w:tcW w:w="623" w:type="pct"/>
          </w:tcPr>
          <w:p w14:paraId="4AC4A335" w14:textId="77777777" w:rsidR="004009F6" w:rsidRDefault="004009F6" w:rsidP="00A83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New </w:t>
            </w:r>
            <w:proofErr w:type="spellStart"/>
            <w:r>
              <w:rPr>
                <w:sz w:val="20"/>
                <w:szCs w:val="20"/>
              </w:rPr>
              <w:t>Duhabi</w:t>
            </w:r>
            <w:proofErr w:type="spellEnd"/>
            <w:r>
              <w:rPr>
                <w:sz w:val="20"/>
                <w:szCs w:val="20"/>
              </w:rPr>
              <w:t xml:space="preserve">-New </w:t>
            </w:r>
            <w:proofErr w:type="spellStart"/>
            <w:r>
              <w:rPr>
                <w:sz w:val="20"/>
                <w:szCs w:val="20"/>
              </w:rPr>
              <w:t>Purnea</w:t>
            </w:r>
            <w:proofErr w:type="spellEnd"/>
          </w:p>
        </w:tc>
        <w:tc>
          <w:tcPr>
            <w:tcW w:w="554" w:type="pct"/>
          </w:tcPr>
          <w:p w14:paraId="74B5F31B" w14:textId="77777777" w:rsidR="004009F6"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400 kV D/C</w:t>
            </w:r>
          </w:p>
        </w:tc>
        <w:tc>
          <w:tcPr>
            <w:tcW w:w="385" w:type="pct"/>
            <w:gridSpan w:val="2"/>
          </w:tcPr>
          <w:p w14:paraId="033C3E43"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AC</w:t>
            </w:r>
          </w:p>
        </w:tc>
        <w:tc>
          <w:tcPr>
            <w:tcW w:w="466" w:type="pct"/>
          </w:tcPr>
          <w:p w14:paraId="392D2FBC" w14:textId="77777777" w:rsidR="004009F6"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1000</w:t>
            </w:r>
          </w:p>
        </w:tc>
        <w:tc>
          <w:tcPr>
            <w:tcW w:w="381" w:type="pct"/>
          </w:tcPr>
          <w:p w14:paraId="158D1D43"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296775">
              <w:rPr>
                <w:rFonts w:cstheme="minorHAnsi"/>
                <w:sz w:val="20"/>
                <w:szCs w:val="20"/>
              </w:rPr>
              <w:t xml:space="preserve">     -</w:t>
            </w:r>
          </w:p>
        </w:tc>
        <w:tc>
          <w:tcPr>
            <w:tcW w:w="474" w:type="pct"/>
          </w:tcPr>
          <w:p w14:paraId="61A85546"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Bihar</w:t>
            </w:r>
          </w:p>
        </w:tc>
        <w:tc>
          <w:tcPr>
            <w:tcW w:w="591" w:type="pct"/>
          </w:tcPr>
          <w:p w14:paraId="11DC58A4"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New </w:t>
            </w:r>
            <w:proofErr w:type="spellStart"/>
            <w:r>
              <w:rPr>
                <w:rFonts w:cstheme="minorHAnsi"/>
                <w:sz w:val="20"/>
                <w:szCs w:val="20"/>
              </w:rPr>
              <w:t>Duhabi</w:t>
            </w:r>
            <w:proofErr w:type="spellEnd"/>
          </w:p>
        </w:tc>
        <w:tc>
          <w:tcPr>
            <w:tcW w:w="398" w:type="pct"/>
          </w:tcPr>
          <w:p w14:paraId="4D4148DE"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&gt;2030</w:t>
            </w:r>
          </w:p>
        </w:tc>
        <w:tc>
          <w:tcPr>
            <w:tcW w:w="938" w:type="pct"/>
          </w:tcPr>
          <w:p w14:paraId="5C955CD1" w14:textId="77777777" w:rsidR="004009F6"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32DD0CF8" w14:textId="77777777" w:rsidTr="00EE1B4C">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87" w:type="pct"/>
          </w:tcPr>
          <w:p w14:paraId="224D7170" w14:textId="77777777" w:rsidR="004009F6" w:rsidRPr="008B15A5" w:rsidRDefault="004009F6" w:rsidP="005E5987">
            <w:pPr>
              <w:pStyle w:val="ListParagraph"/>
              <w:numPr>
                <w:ilvl w:val="0"/>
                <w:numId w:val="17"/>
              </w:numPr>
              <w:spacing w:before="0" w:after="0"/>
              <w:contextualSpacing/>
              <w:jc w:val="left"/>
              <w:rPr>
                <w:rFonts w:cstheme="minorHAnsi"/>
                <w:sz w:val="20"/>
                <w:szCs w:val="20"/>
              </w:rPr>
            </w:pPr>
          </w:p>
        </w:tc>
        <w:tc>
          <w:tcPr>
            <w:tcW w:w="623" w:type="pct"/>
          </w:tcPr>
          <w:p w14:paraId="1005A078"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sz w:val="20"/>
                <w:szCs w:val="20"/>
              </w:rPr>
            </w:pPr>
            <w:r w:rsidRPr="008B15A5">
              <w:rPr>
                <w:sz w:val="20"/>
                <w:szCs w:val="20"/>
              </w:rPr>
              <w:t xml:space="preserve">Sitamarhi – </w:t>
            </w:r>
            <w:proofErr w:type="spellStart"/>
            <w:r w:rsidRPr="008B15A5">
              <w:rPr>
                <w:sz w:val="20"/>
                <w:szCs w:val="20"/>
              </w:rPr>
              <w:t>Dhalkebar</w:t>
            </w:r>
            <w:proofErr w:type="spellEnd"/>
            <w:r w:rsidRPr="008B15A5">
              <w:rPr>
                <w:sz w:val="20"/>
                <w:szCs w:val="20"/>
              </w:rPr>
              <w:t xml:space="preserve"> Line</w:t>
            </w:r>
          </w:p>
        </w:tc>
        <w:tc>
          <w:tcPr>
            <w:tcW w:w="554" w:type="pct"/>
          </w:tcPr>
          <w:p w14:paraId="42E9D9B6"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400 </w:t>
            </w:r>
            <w:r>
              <w:rPr>
                <w:rFonts w:cstheme="minorHAnsi"/>
                <w:sz w:val="20"/>
                <w:szCs w:val="20"/>
              </w:rPr>
              <w:t>kV D/C</w:t>
            </w:r>
          </w:p>
        </w:tc>
        <w:tc>
          <w:tcPr>
            <w:tcW w:w="385" w:type="pct"/>
            <w:gridSpan w:val="2"/>
          </w:tcPr>
          <w:p w14:paraId="2051E4D9"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055ED">
              <w:rPr>
                <w:rFonts w:cstheme="minorHAnsi"/>
                <w:sz w:val="20"/>
                <w:szCs w:val="20"/>
              </w:rPr>
              <w:t>AC</w:t>
            </w:r>
          </w:p>
        </w:tc>
        <w:tc>
          <w:tcPr>
            <w:tcW w:w="466" w:type="pct"/>
          </w:tcPr>
          <w:p w14:paraId="00C5287C" w14:textId="77777777" w:rsidR="004009F6" w:rsidRPr="008B15A5"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1000</w:t>
            </w:r>
          </w:p>
        </w:tc>
        <w:tc>
          <w:tcPr>
            <w:tcW w:w="381" w:type="pct"/>
          </w:tcPr>
          <w:p w14:paraId="26AED3BF"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74" w:type="pct"/>
          </w:tcPr>
          <w:p w14:paraId="1BFE10C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p>
        </w:tc>
        <w:tc>
          <w:tcPr>
            <w:tcW w:w="591" w:type="pct"/>
          </w:tcPr>
          <w:p w14:paraId="7CD708E2"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Dhanusa District</w:t>
            </w:r>
          </w:p>
        </w:tc>
        <w:tc>
          <w:tcPr>
            <w:tcW w:w="398" w:type="pct"/>
          </w:tcPr>
          <w:p w14:paraId="607CB31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tcPr>
          <w:p w14:paraId="2AEF214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E1B4C" w:rsidRPr="008B15A5" w14:paraId="004C267E" w14:textId="77777777" w:rsidTr="00EE1B4C">
        <w:trPr>
          <w:trHeight w:val="1133"/>
        </w:trPr>
        <w:tc>
          <w:tcPr>
            <w:cnfStyle w:val="001000000000" w:firstRow="0" w:lastRow="0" w:firstColumn="1" w:lastColumn="0" w:oddVBand="0" w:evenVBand="0" w:oddHBand="0" w:evenHBand="0" w:firstRowFirstColumn="0" w:firstRowLastColumn="0" w:lastRowFirstColumn="0" w:lastRowLastColumn="0"/>
            <w:tcW w:w="187" w:type="pct"/>
          </w:tcPr>
          <w:p w14:paraId="65474DF3" w14:textId="77777777" w:rsidR="004009F6" w:rsidRPr="008B15A5" w:rsidRDefault="004009F6" w:rsidP="005E5987">
            <w:pPr>
              <w:pStyle w:val="ListParagraph"/>
              <w:numPr>
                <w:ilvl w:val="0"/>
                <w:numId w:val="17"/>
              </w:numPr>
              <w:spacing w:before="0" w:after="0"/>
              <w:contextualSpacing/>
              <w:jc w:val="left"/>
              <w:rPr>
                <w:rFonts w:cstheme="minorHAnsi"/>
                <w:sz w:val="20"/>
                <w:szCs w:val="20"/>
              </w:rPr>
            </w:pPr>
          </w:p>
        </w:tc>
        <w:tc>
          <w:tcPr>
            <w:tcW w:w="623" w:type="pct"/>
          </w:tcPr>
          <w:p w14:paraId="7B864488"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964FD">
              <w:rPr>
                <w:sz w:val="20"/>
                <w:szCs w:val="20"/>
              </w:rPr>
              <w:t>Hetauda-Dhalkebar-Inaruwa</w:t>
            </w:r>
            <w:proofErr w:type="spellEnd"/>
          </w:p>
        </w:tc>
        <w:tc>
          <w:tcPr>
            <w:tcW w:w="554" w:type="pct"/>
          </w:tcPr>
          <w:p w14:paraId="69000CC4"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 xml:space="preserve">400 </w:t>
            </w:r>
            <w:r>
              <w:rPr>
                <w:rFonts w:cstheme="minorHAnsi"/>
                <w:sz w:val="20"/>
                <w:szCs w:val="20"/>
              </w:rPr>
              <w:t>kV D/C</w:t>
            </w:r>
          </w:p>
        </w:tc>
        <w:tc>
          <w:tcPr>
            <w:tcW w:w="385" w:type="pct"/>
            <w:gridSpan w:val="2"/>
          </w:tcPr>
          <w:p w14:paraId="41F6A2AE" w14:textId="77777777" w:rsidR="004009F6" w:rsidRPr="00D055ED"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AC</w:t>
            </w:r>
          </w:p>
        </w:tc>
        <w:tc>
          <w:tcPr>
            <w:tcW w:w="466" w:type="pct"/>
          </w:tcPr>
          <w:p w14:paraId="2DCBC122" w14:textId="77777777" w:rsidR="004009F6"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2000</w:t>
            </w:r>
          </w:p>
        </w:tc>
        <w:tc>
          <w:tcPr>
            <w:tcW w:w="381" w:type="pct"/>
          </w:tcPr>
          <w:p w14:paraId="7CBCF99C"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474" w:type="pct"/>
          </w:tcPr>
          <w:p w14:paraId="78C0C1B7"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591" w:type="pct"/>
          </w:tcPr>
          <w:p w14:paraId="15D486FD" w14:textId="77777777" w:rsidR="004009F6" w:rsidRDefault="004009F6" w:rsidP="00A830B1">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lang w:eastAsia="zh-CN"/>
              </w:rPr>
            </w:pPr>
            <w:proofErr w:type="spellStart"/>
            <w:r>
              <w:rPr>
                <w:rFonts w:ascii="Calibri" w:eastAsiaTheme="minorEastAsia" w:hAnsi="Calibri" w:cs="Calibri"/>
                <w:sz w:val="24"/>
                <w:lang w:eastAsia="zh-CN"/>
              </w:rPr>
              <w:t>Hetauda</w:t>
            </w:r>
            <w:proofErr w:type="spellEnd"/>
            <w:r>
              <w:rPr>
                <w:rFonts w:ascii="Calibri" w:eastAsiaTheme="minorEastAsia" w:hAnsi="Calibri" w:cs="Calibri"/>
                <w:sz w:val="24"/>
                <w:lang w:eastAsia="zh-CN"/>
              </w:rPr>
              <w:t>-</w:t>
            </w:r>
          </w:p>
          <w:p w14:paraId="154B54FB" w14:textId="77777777" w:rsidR="004009F6" w:rsidRPr="008B15A5"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Pr>
                <w:rFonts w:ascii="Calibri" w:eastAsiaTheme="minorEastAsia" w:hAnsi="Calibri" w:cs="Calibri"/>
                <w:sz w:val="24"/>
                <w:lang w:eastAsia="zh-CN"/>
              </w:rPr>
              <w:t>Dhalkebar-Inaruwa</w:t>
            </w:r>
            <w:proofErr w:type="spellEnd"/>
          </w:p>
        </w:tc>
        <w:tc>
          <w:tcPr>
            <w:tcW w:w="398" w:type="pct"/>
          </w:tcPr>
          <w:p w14:paraId="0607D616" w14:textId="77777777" w:rsidR="004009F6" w:rsidRPr="008B15A5" w:rsidRDefault="004009F6" w:rsidP="00A830B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Mid-2025</w:t>
            </w:r>
          </w:p>
        </w:tc>
        <w:tc>
          <w:tcPr>
            <w:tcW w:w="938" w:type="pct"/>
          </w:tcPr>
          <w:p w14:paraId="75ACC69B" w14:textId="77777777" w:rsidR="004009F6" w:rsidDel="00EA7BEC" w:rsidRDefault="004009F6"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009F6" w:rsidRPr="008B15A5" w14:paraId="004B3D95" w14:textId="77777777" w:rsidTr="00EE1B4C">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87" w:type="pct"/>
          </w:tcPr>
          <w:p w14:paraId="046D5EC2" w14:textId="77777777" w:rsidR="004009F6" w:rsidRPr="008B15A5" w:rsidRDefault="004009F6" w:rsidP="005E5987">
            <w:pPr>
              <w:pStyle w:val="ListParagraph"/>
              <w:numPr>
                <w:ilvl w:val="0"/>
                <w:numId w:val="17"/>
              </w:numPr>
              <w:spacing w:before="0" w:after="0"/>
              <w:contextualSpacing/>
              <w:jc w:val="left"/>
              <w:rPr>
                <w:rFonts w:cstheme="minorHAnsi"/>
                <w:sz w:val="20"/>
                <w:szCs w:val="20"/>
              </w:rPr>
            </w:pPr>
          </w:p>
        </w:tc>
        <w:tc>
          <w:tcPr>
            <w:tcW w:w="623" w:type="pct"/>
          </w:tcPr>
          <w:p w14:paraId="72D8E7AE"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sz w:val="20"/>
                <w:szCs w:val="20"/>
              </w:rPr>
            </w:pPr>
            <w:r>
              <w:rPr>
                <w:rFonts w:ascii="ArialNarrow" w:eastAsiaTheme="minorEastAsia" w:hAnsi="ArialNarrow" w:cs="ArialNarrow"/>
                <w:sz w:val="18"/>
                <w:szCs w:val="18"/>
                <w:lang w:eastAsia="zh-CN"/>
              </w:rPr>
              <w:t>Nepalgunj-</w:t>
            </w:r>
            <w:proofErr w:type="spellStart"/>
            <w:r>
              <w:rPr>
                <w:rFonts w:ascii="ArialNarrow" w:eastAsiaTheme="minorEastAsia" w:hAnsi="ArialNarrow" w:cs="ArialNarrow"/>
                <w:sz w:val="18"/>
                <w:szCs w:val="18"/>
                <w:lang w:eastAsia="zh-CN"/>
              </w:rPr>
              <w:t>Nanpara</w:t>
            </w:r>
            <w:proofErr w:type="spellEnd"/>
            <w:r>
              <w:rPr>
                <w:rFonts w:ascii="ArialNarrow" w:eastAsiaTheme="minorEastAsia" w:hAnsi="ArialNarrow" w:cs="ArialNarrow"/>
                <w:sz w:val="18"/>
                <w:szCs w:val="18"/>
                <w:lang w:eastAsia="zh-CN"/>
              </w:rPr>
              <w:t xml:space="preserve"> Cross Border</w:t>
            </w:r>
          </w:p>
        </w:tc>
        <w:tc>
          <w:tcPr>
            <w:tcW w:w="554" w:type="pct"/>
          </w:tcPr>
          <w:p w14:paraId="063CF70F" w14:textId="77777777" w:rsidR="004009F6" w:rsidRPr="00B66B8C"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C1508">
              <w:rPr>
                <w:rFonts w:cstheme="minorHAnsi"/>
                <w:sz w:val="20"/>
                <w:szCs w:val="20"/>
              </w:rPr>
              <w:t>132 kV</w:t>
            </w:r>
          </w:p>
        </w:tc>
        <w:tc>
          <w:tcPr>
            <w:tcW w:w="385" w:type="pct"/>
            <w:gridSpan w:val="2"/>
          </w:tcPr>
          <w:p w14:paraId="6BDEBCE9" w14:textId="77777777" w:rsidR="004009F6" w:rsidRPr="00D055ED"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AC</w:t>
            </w:r>
          </w:p>
        </w:tc>
        <w:tc>
          <w:tcPr>
            <w:tcW w:w="466" w:type="pct"/>
          </w:tcPr>
          <w:p w14:paraId="5B0214E7" w14:textId="77777777" w:rsidR="004009F6" w:rsidRDefault="004009F6" w:rsidP="00A830B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81" w:type="pct"/>
          </w:tcPr>
          <w:p w14:paraId="79E8CF3C"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74" w:type="pct"/>
          </w:tcPr>
          <w:p w14:paraId="73633185"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UP</w:t>
            </w:r>
          </w:p>
        </w:tc>
        <w:tc>
          <w:tcPr>
            <w:tcW w:w="591" w:type="pct"/>
          </w:tcPr>
          <w:p w14:paraId="3F6FBDEB"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Banke District</w:t>
            </w:r>
          </w:p>
        </w:tc>
        <w:tc>
          <w:tcPr>
            <w:tcW w:w="398" w:type="pct"/>
          </w:tcPr>
          <w:p w14:paraId="3CD5AAED" w14:textId="77777777" w:rsidR="004009F6" w:rsidRPr="008B15A5"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38" w:type="pct"/>
          </w:tcPr>
          <w:p w14:paraId="6C0B15AB" w14:textId="77777777" w:rsidR="004009F6" w:rsidRDefault="004009F6"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646F1F9D" w14:textId="77777777" w:rsidR="00B01EE7" w:rsidRDefault="00B01EE7" w:rsidP="00B01EE7">
      <w:pPr>
        <w:rPr>
          <w:rFonts w:cs="Arial"/>
          <w:b/>
          <w:color w:val="002776" w:themeColor="accent1"/>
          <w:sz w:val="28"/>
        </w:rPr>
      </w:pPr>
    </w:p>
    <w:p w14:paraId="5684173A" w14:textId="79F5C28A" w:rsidR="00547C30" w:rsidRDefault="00057FAD" w:rsidP="00B01EE7">
      <w:r>
        <w:t>Interconnection between India and Bangladesh</w:t>
      </w:r>
    </w:p>
    <w:tbl>
      <w:tblPr>
        <w:tblStyle w:val="GridTable4-Accent5"/>
        <w:tblW w:w="5010" w:type="pct"/>
        <w:tblLook w:val="04A0" w:firstRow="1" w:lastRow="0" w:firstColumn="1" w:lastColumn="0" w:noHBand="0" w:noVBand="1"/>
      </w:tblPr>
      <w:tblGrid>
        <w:gridCol w:w="650"/>
        <w:gridCol w:w="1733"/>
        <w:gridCol w:w="1528"/>
        <w:gridCol w:w="1020"/>
        <w:gridCol w:w="1051"/>
        <w:gridCol w:w="1051"/>
        <w:gridCol w:w="1534"/>
        <w:gridCol w:w="1362"/>
        <w:gridCol w:w="1721"/>
        <w:gridCol w:w="1326"/>
      </w:tblGrid>
      <w:tr w:rsidR="00EE1B4C" w:rsidRPr="008B15A5" w14:paraId="0FE6F1FB" w14:textId="77777777" w:rsidTr="008E21FA">
        <w:trPr>
          <w:cnfStyle w:val="100000000000" w:firstRow="1" w:lastRow="0" w:firstColumn="0" w:lastColumn="0" w:oddVBand="0" w:evenVBand="0" w:oddHBand="0" w:evenHBand="0" w:firstRowFirstColumn="0" w:firstRowLastColumn="0" w:lastRowFirstColumn="0" w:lastRowLastColumn="0"/>
          <w:trHeight w:val="1443"/>
          <w:tblHeader/>
        </w:trPr>
        <w:tc>
          <w:tcPr>
            <w:cnfStyle w:val="001000000000" w:firstRow="0" w:lastRow="0" w:firstColumn="1" w:lastColumn="0" w:oddVBand="0" w:evenVBand="0" w:oddHBand="0" w:evenHBand="0" w:firstRowFirstColumn="0" w:firstRowLastColumn="0" w:lastRowFirstColumn="0" w:lastRowLastColumn="0"/>
            <w:tcW w:w="250" w:type="pct"/>
            <w:vAlign w:val="center"/>
          </w:tcPr>
          <w:p w14:paraId="716B537A" w14:textId="77777777" w:rsidR="00EE1B4C" w:rsidRPr="008B15A5" w:rsidRDefault="00EE1B4C" w:rsidP="00EE1B4C">
            <w:pPr>
              <w:jc w:val="center"/>
              <w:rPr>
                <w:rFonts w:cstheme="minorHAnsi"/>
                <w:sz w:val="20"/>
                <w:szCs w:val="20"/>
              </w:rPr>
            </w:pPr>
            <w:r w:rsidRPr="008B15A5">
              <w:rPr>
                <w:rFonts w:cstheme="minorHAnsi"/>
                <w:sz w:val="20"/>
                <w:szCs w:val="20"/>
              </w:rPr>
              <w:t>Sno.</w:t>
            </w:r>
          </w:p>
        </w:tc>
        <w:tc>
          <w:tcPr>
            <w:tcW w:w="668" w:type="pct"/>
            <w:vAlign w:val="center"/>
          </w:tcPr>
          <w:p w14:paraId="3D6E7418" w14:textId="77777777"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Interconnection Project</w:t>
            </w:r>
          </w:p>
        </w:tc>
        <w:tc>
          <w:tcPr>
            <w:tcW w:w="589" w:type="pct"/>
            <w:vAlign w:val="center"/>
          </w:tcPr>
          <w:p w14:paraId="51689176" w14:textId="1F03CD52"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Voltage and Configuration</w:t>
            </w:r>
          </w:p>
        </w:tc>
        <w:tc>
          <w:tcPr>
            <w:tcW w:w="393" w:type="pct"/>
            <w:vAlign w:val="center"/>
          </w:tcPr>
          <w:p w14:paraId="33A1466B" w14:textId="77777777"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Intercn</w:t>
            </w:r>
            <w:proofErr w:type="spellEnd"/>
            <w:r w:rsidRPr="008B15A5">
              <w:rPr>
                <w:rFonts w:cstheme="minorHAnsi"/>
                <w:sz w:val="20"/>
                <w:szCs w:val="20"/>
              </w:rPr>
              <w:t>. Type</w:t>
            </w:r>
          </w:p>
        </w:tc>
        <w:tc>
          <w:tcPr>
            <w:tcW w:w="405" w:type="pct"/>
            <w:vAlign w:val="center"/>
          </w:tcPr>
          <w:p w14:paraId="4D173596" w14:textId="6FE88A91"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Evac. Capacity (MW)</w:t>
            </w:r>
          </w:p>
        </w:tc>
        <w:tc>
          <w:tcPr>
            <w:tcW w:w="405" w:type="pct"/>
            <w:vAlign w:val="center"/>
          </w:tcPr>
          <w:p w14:paraId="0E6F969C" w14:textId="77777777"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Traded Capacity (MW)</w:t>
            </w:r>
          </w:p>
        </w:tc>
        <w:tc>
          <w:tcPr>
            <w:tcW w:w="591" w:type="pct"/>
            <w:vAlign w:val="center"/>
          </w:tcPr>
          <w:p w14:paraId="69F18D5A" w14:textId="77777777"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Intercn</w:t>
            </w:r>
            <w:proofErr w:type="spellEnd"/>
            <w:r w:rsidRPr="008B15A5">
              <w:rPr>
                <w:rFonts w:cstheme="minorHAnsi"/>
                <w:sz w:val="20"/>
                <w:szCs w:val="20"/>
              </w:rPr>
              <w:t>. Point in India</w:t>
            </w:r>
          </w:p>
        </w:tc>
        <w:tc>
          <w:tcPr>
            <w:tcW w:w="525" w:type="pct"/>
            <w:vAlign w:val="center"/>
          </w:tcPr>
          <w:p w14:paraId="72C895C0" w14:textId="77777777"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Intercn</w:t>
            </w:r>
            <w:proofErr w:type="spellEnd"/>
            <w:r w:rsidRPr="008B15A5">
              <w:rPr>
                <w:rFonts w:cstheme="minorHAnsi"/>
                <w:sz w:val="20"/>
                <w:szCs w:val="20"/>
              </w:rPr>
              <w:t>. Point in Bangladesh</w:t>
            </w:r>
          </w:p>
        </w:tc>
        <w:tc>
          <w:tcPr>
            <w:tcW w:w="663" w:type="pct"/>
            <w:vAlign w:val="center"/>
          </w:tcPr>
          <w:p w14:paraId="1425E1B6" w14:textId="77777777" w:rsidR="00EE1B4C" w:rsidRPr="008B15A5"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Tentative Commissioning Timelines</w:t>
            </w:r>
          </w:p>
        </w:tc>
        <w:tc>
          <w:tcPr>
            <w:tcW w:w="511" w:type="pct"/>
            <w:vAlign w:val="center"/>
          </w:tcPr>
          <w:p w14:paraId="0C50B972" w14:textId="77777777" w:rsidR="00EE1B4C" w:rsidRDefault="00EE1B4C" w:rsidP="00EE1B4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Remarks</w:t>
            </w:r>
          </w:p>
        </w:tc>
      </w:tr>
      <w:tr w:rsidR="00EE1B4C" w:rsidRPr="008B15A5" w14:paraId="7CAA8E2A" w14:textId="77777777" w:rsidTr="00EE1B4C">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3826" w:type="pct"/>
            <w:gridSpan w:val="8"/>
          </w:tcPr>
          <w:p w14:paraId="29DDDA11" w14:textId="77777777" w:rsidR="00EE1B4C" w:rsidRPr="008B15A5" w:rsidRDefault="00EE1B4C" w:rsidP="00A830B1">
            <w:pPr>
              <w:rPr>
                <w:rFonts w:cstheme="minorHAnsi"/>
                <w:sz w:val="20"/>
                <w:szCs w:val="20"/>
              </w:rPr>
            </w:pPr>
            <w:r w:rsidRPr="008B15A5">
              <w:rPr>
                <w:rFonts w:cstheme="minorHAnsi"/>
                <w:sz w:val="20"/>
                <w:szCs w:val="20"/>
              </w:rPr>
              <w:t xml:space="preserve">Status – Existing Projects </w:t>
            </w:r>
          </w:p>
        </w:tc>
        <w:tc>
          <w:tcPr>
            <w:tcW w:w="663" w:type="pct"/>
          </w:tcPr>
          <w:p w14:paraId="3F037446"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11" w:type="pct"/>
          </w:tcPr>
          <w:p w14:paraId="029080D1"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E1B4C" w:rsidRPr="008B15A5" w14:paraId="4127F062" w14:textId="77777777" w:rsidTr="008E21FA">
        <w:trPr>
          <w:trHeight w:val="1042"/>
        </w:trPr>
        <w:tc>
          <w:tcPr>
            <w:cnfStyle w:val="001000000000" w:firstRow="0" w:lastRow="0" w:firstColumn="1" w:lastColumn="0" w:oddVBand="0" w:evenVBand="0" w:oddHBand="0" w:evenHBand="0" w:firstRowFirstColumn="0" w:firstRowLastColumn="0" w:lastRowFirstColumn="0" w:lastRowLastColumn="0"/>
            <w:tcW w:w="250" w:type="pct"/>
          </w:tcPr>
          <w:p w14:paraId="361CE2F6" w14:textId="77777777" w:rsidR="00EE1B4C" w:rsidRPr="008B15A5" w:rsidRDefault="00EE1B4C" w:rsidP="005E5987">
            <w:pPr>
              <w:pStyle w:val="ListParagraph"/>
              <w:numPr>
                <w:ilvl w:val="0"/>
                <w:numId w:val="20"/>
              </w:numPr>
              <w:spacing w:before="0" w:after="0"/>
              <w:contextualSpacing/>
              <w:jc w:val="left"/>
              <w:rPr>
                <w:rFonts w:cstheme="minorHAnsi"/>
                <w:sz w:val="20"/>
                <w:szCs w:val="20"/>
              </w:rPr>
            </w:pPr>
          </w:p>
        </w:tc>
        <w:tc>
          <w:tcPr>
            <w:tcW w:w="668" w:type="pct"/>
          </w:tcPr>
          <w:p w14:paraId="0D3BD1F5"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B15A5">
              <w:rPr>
                <w:rFonts w:cstheme="minorHAnsi"/>
                <w:sz w:val="20"/>
                <w:szCs w:val="20"/>
              </w:rPr>
              <w:t>Baharampur</w:t>
            </w:r>
            <w:proofErr w:type="spellEnd"/>
            <w:r w:rsidRPr="008B15A5">
              <w:rPr>
                <w:rFonts w:cstheme="minorHAnsi"/>
                <w:sz w:val="20"/>
                <w:szCs w:val="20"/>
              </w:rPr>
              <w:t xml:space="preserve"> – </w:t>
            </w:r>
            <w:proofErr w:type="spellStart"/>
            <w:r w:rsidRPr="008B15A5">
              <w:rPr>
                <w:rFonts w:cstheme="minorHAnsi"/>
                <w:sz w:val="20"/>
                <w:szCs w:val="20"/>
              </w:rPr>
              <w:t>Bheramara</w:t>
            </w:r>
            <w:proofErr w:type="spellEnd"/>
            <w:r w:rsidRPr="008B15A5">
              <w:rPr>
                <w:rFonts w:cstheme="minorHAnsi"/>
                <w:sz w:val="20"/>
                <w:szCs w:val="20"/>
              </w:rPr>
              <w:t xml:space="preserve"> Line</w:t>
            </w:r>
          </w:p>
        </w:tc>
        <w:tc>
          <w:tcPr>
            <w:tcW w:w="589" w:type="pct"/>
          </w:tcPr>
          <w:p w14:paraId="4AF26EA2"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4</w:t>
            </w:r>
            <w:r w:rsidRPr="008B15A5">
              <w:rPr>
                <w:rFonts w:cstheme="minorHAnsi"/>
                <w:sz w:val="20"/>
                <w:szCs w:val="20"/>
              </w:rPr>
              <w:t xml:space="preserve">00 </w:t>
            </w:r>
            <w:r>
              <w:rPr>
                <w:rFonts w:cstheme="minorHAnsi"/>
                <w:sz w:val="20"/>
                <w:szCs w:val="20"/>
              </w:rPr>
              <w:t>kV D/C</w:t>
            </w:r>
          </w:p>
        </w:tc>
        <w:tc>
          <w:tcPr>
            <w:tcW w:w="393" w:type="pct"/>
          </w:tcPr>
          <w:p w14:paraId="518B1365"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HVDC</w:t>
            </w:r>
          </w:p>
        </w:tc>
        <w:tc>
          <w:tcPr>
            <w:tcW w:w="405" w:type="pct"/>
          </w:tcPr>
          <w:p w14:paraId="5F73DBA9"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1000</w:t>
            </w:r>
          </w:p>
        </w:tc>
        <w:tc>
          <w:tcPr>
            <w:tcW w:w="405" w:type="pct"/>
          </w:tcPr>
          <w:p w14:paraId="7ABED7A7"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15A5">
              <w:rPr>
                <w:rFonts w:cstheme="minorHAnsi"/>
                <w:sz w:val="20"/>
                <w:szCs w:val="20"/>
              </w:rPr>
              <w:t>1000</w:t>
            </w:r>
          </w:p>
        </w:tc>
        <w:tc>
          <w:tcPr>
            <w:tcW w:w="591" w:type="pct"/>
          </w:tcPr>
          <w:p w14:paraId="06642C24"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West Bengal (</w:t>
            </w:r>
            <w:proofErr w:type="spellStart"/>
            <w:r>
              <w:rPr>
                <w:rFonts w:cstheme="minorHAnsi"/>
                <w:sz w:val="20"/>
                <w:szCs w:val="20"/>
              </w:rPr>
              <w:t>Baharampur</w:t>
            </w:r>
            <w:proofErr w:type="spellEnd"/>
            <w:r>
              <w:rPr>
                <w:rFonts w:cstheme="minorHAnsi"/>
                <w:sz w:val="20"/>
                <w:szCs w:val="20"/>
              </w:rPr>
              <w:t>)</w:t>
            </w:r>
          </w:p>
        </w:tc>
        <w:tc>
          <w:tcPr>
            <w:tcW w:w="525" w:type="pct"/>
          </w:tcPr>
          <w:p w14:paraId="4BFE07F7"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Pr>
                <w:rFonts w:cstheme="minorHAnsi"/>
                <w:sz w:val="20"/>
                <w:szCs w:val="20"/>
              </w:rPr>
              <w:t>Bheramara</w:t>
            </w:r>
            <w:proofErr w:type="spellEnd"/>
          </w:p>
        </w:tc>
        <w:tc>
          <w:tcPr>
            <w:tcW w:w="663" w:type="pct"/>
          </w:tcPr>
          <w:p w14:paraId="6B8472FB"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511" w:type="pct"/>
            <w:vMerge w:val="restart"/>
          </w:tcPr>
          <w:p w14:paraId="533C08BC"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On the Indian side owned by PGCIL, On the Bangladesh side owned by PGCB</w:t>
            </w:r>
          </w:p>
        </w:tc>
      </w:tr>
      <w:tr w:rsidR="00EE1B4C" w:rsidRPr="008B15A5" w14:paraId="08CB8B3C" w14:textId="77777777" w:rsidTr="008E21FA">
        <w:trPr>
          <w:cnfStyle w:val="000000100000" w:firstRow="0" w:lastRow="0" w:firstColumn="0" w:lastColumn="0" w:oddVBand="0" w:evenVBand="0" w:oddHBand="1" w:evenHBand="0" w:firstRowFirstColumn="0" w:firstRowLastColumn="0" w:lastRowFirstColumn="0" w:lastRowLastColumn="0"/>
          <w:trHeight w:val="2460"/>
        </w:trPr>
        <w:tc>
          <w:tcPr>
            <w:cnfStyle w:val="001000000000" w:firstRow="0" w:lastRow="0" w:firstColumn="1" w:lastColumn="0" w:oddVBand="0" w:evenVBand="0" w:oddHBand="0" w:evenHBand="0" w:firstRowFirstColumn="0" w:firstRowLastColumn="0" w:lastRowFirstColumn="0" w:lastRowLastColumn="0"/>
            <w:tcW w:w="250" w:type="pct"/>
          </w:tcPr>
          <w:p w14:paraId="343DC282" w14:textId="77777777" w:rsidR="00EE1B4C" w:rsidRPr="008B15A5" w:rsidRDefault="00EE1B4C" w:rsidP="005E5987">
            <w:pPr>
              <w:pStyle w:val="ListParagraph"/>
              <w:numPr>
                <w:ilvl w:val="0"/>
                <w:numId w:val="20"/>
              </w:numPr>
              <w:spacing w:before="0" w:after="0"/>
              <w:contextualSpacing/>
              <w:jc w:val="left"/>
              <w:rPr>
                <w:rFonts w:cstheme="minorHAnsi"/>
                <w:sz w:val="20"/>
                <w:szCs w:val="20"/>
              </w:rPr>
            </w:pPr>
          </w:p>
        </w:tc>
        <w:tc>
          <w:tcPr>
            <w:tcW w:w="668" w:type="pct"/>
          </w:tcPr>
          <w:p w14:paraId="405BC613"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B15A5">
              <w:rPr>
                <w:rFonts w:cstheme="minorHAnsi"/>
                <w:sz w:val="20"/>
                <w:szCs w:val="20"/>
              </w:rPr>
              <w:t>Surjyamaninagar</w:t>
            </w:r>
            <w:proofErr w:type="spellEnd"/>
            <w:r w:rsidRPr="008B15A5">
              <w:rPr>
                <w:rFonts w:cstheme="minorHAnsi"/>
                <w:sz w:val="20"/>
                <w:szCs w:val="20"/>
              </w:rPr>
              <w:t xml:space="preserve"> – North </w:t>
            </w:r>
            <w:proofErr w:type="spellStart"/>
            <w:r w:rsidRPr="008B15A5">
              <w:rPr>
                <w:rFonts w:cstheme="minorHAnsi"/>
                <w:sz w:val="20"/>
                <w:szCs w:val="20"/>
              </w:rPr>
              <w:t>Comila</w:t>
            </w:r>
            <w:proofErr w:type="spellEnd"/>
            <w:r w:rsidRPr="008B15A5">
              <w:rPr>
                <w:rFonts w:cstheme="minorHAnsi"/>
                <w:sz w:val="20"/>
                <w:szCs w:val="20"/>
              </w:rPr>
              <w:t xml:space="preserve"> – South </w:t>
            </w:r>
            <w:proofErr w:type="spellStart"/>
            <w:r w:rsidRPr="008B15A5">
              <w:rPr>
                <w:rFonts w:cstheme="minorHAnsi"/>
                <w:sz w:val="20"/>
                <w:szCs w:val="20"/>
              </w:rPr>
              <w:t>Comila</w:t>
            </w:r>
            <w:proofErr w:type="spellEnd"/>
            <w:r w:rsidRPr="008B15A5">
              <w:rPr>
                <w:rFonts w:cstheme="minorHAnsi"/>
                <w:sz w:val="20"/>
                <w:szCs w:val="20"/>
              </w:rPr>
              <w:t xml:space="preserve"> </w:t>
            </w:r>
          </w:p>
        </w:tc>
        <w:tc>
          <w:tcPr>
            <w:tcW w:w="589" w:type="pct"/>
          </w:tcPr>
          <w:p w14:paraId="1BCAA05F"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400 </w:t>
            </w:r>
            <w:r>
              <w:rPr>
                <w:rFonts w:cstheme="minorHAnsi"/>
                <w:sz w:val="20"/>
                <w:szCs w:val="20"/>
              </w:rPr>
              <w:t>kV</w:t>
            </w:r>
            <w:r w:rsidRPr="008B15A5">
              <w:rPr>
                <w:rFonts w:cstheme="minorHAnsi"/>
                <w:sz w:val="20"/>
                <w:szCs w:val="20"/>
              </w:rPr>
              <w:t xml:space="preserve"> </w:t>
            </w:r>
            <w:r w:rsidRPr="008B15A5">
              <w:rPr>
                <w:rFonts w:cstheme="minorHAnsi"/>
                <w:i/>
                <w:iCs/>
                <w:sz w:val="20"/>
                <w:szCs w:val="20"/>
              </w:rPr>
              <w:t xml:space="preserve">(operated at 132 </w:t>
            </w:r>
            <w:r>
              <w:rPr>
                <w:rFonts w:cstheme="minorHAnsi"/>
                <w:i/>
                <w:iCs/>
                <w:sz w:val="20"/>
                <w:szCs w:val="20"/>
              </w:rPr>
              <w:t>kV</w:t>
            </w:r>
            <w:r w:rsidRPr="008B15A5">
              <w:rPr>
                <w:rFonts w:cstheme="minorHAnsi"/>
                <w:i/>
                <w:iCs/>
                <w:sz w:val="20"/>
                <w:szCs w:val="20"/>
              </w:rPr>
              <w:t>)</w:t>
            </w:r>
          </w:p>
        </w:tc>
        <w:tc>
          <w:tcPr>
            <w:tcW w:w="393" w:type="pct"/>
          </w:tcPr>
          <w:p w14:paraId="47770B57"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HVAC</w:t>
            </w:r>
          </w:p>
        </w:tc>
        <w:tc>
          <w:tcPr>
            <w:tcW w:w="405" w:type="pct"/>
          </w:tcPr>
          <w:p w14:paraId="3CFAF69A"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160</w:t>
            </w:r>
          </w:p>
        </w:tc>
        <w:tc>
          <w:tcPr>
            <w:tcW w:w="405" w:type="pct"/>
          </w:tcPr>
          <w:p w14:paraId="02D33E4D"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160</w:t>
            </w:r>
          </w:p>
        </w:tc>
        <w:tc>
          <w:tcPr>
            <w:tcW w:w="591" w:type="pct"/>
          </w:tcPr>
          <w:p w14:paraId="7D09C6F7"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Tripura</w:t>
            </w:r>
            <w:r>
              <w:rPr>
                <w:rFonts w:cstheme="minorHAnsi"/>
                <w:sz w:val="20"/>
                <w:szCs w:val="20"/>
              </w:rPr>
              <w:t xml:space="preserve"> (Suraj </w:t>
            </w:r>
            <w:proofErr w:type="spellStart"/>
            <w:r>
              <w:rPr>
                <w:rFonts w:cstheme="minorHAnsi"/>
                <w:sz w:val="20"/>
                <w:szCs w:val="20"/>
              </w:rPr>
              <w:t>Maninagar</w:t>
            </w:r>
            <w:proofErr w:type="spellEnd"/>
            <w:r>
              <w:rPr>
                <w:rFonts w:cstheme="minorHAnsi"/>
                <w:sz w:val="20"/>
                <w:szCs w:val="20"/>
              </w:rPr>
              <w:t>)</w:t>
            </w:r>
          </w:p>
        </w:tc>
        <w:tc>
          <w:tcPr>
            <w:tcW w:w="525" w:type="pct"/>
          </w:tcPr>
          <w:p w14:paraId="7B22FE5F"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North </w:t>
            </w:r>
            <w:proofErr w:type="spellStart"/>
            <w:r>
              <w:rPr>
                <w:rFonts w:cstheme="minorHAnsi"/>
                <w:sz w:val="20"/>
                <w:szCs w:val="20"/>
              </w:rPr>
              <w:t>Commila</w:t>
            </w:r>
            <w:proofErr w:type="spellEnd"/>
            <w:r>
              <w:rPr>
                <w:rFonts w:cstheme="minorHAnsi"/>
                <w:sz w:val="20"/>
                <w:szCs w:val="20"/>
              </w:rPr>
              <w:t xml:space="preserve"> </w:t>
            </w:r>
          </w:p>
        </w:tc>
        <w:tc>
          <w:tcPr>
            <w:tcW w:w="663" w:type="pct"/>
          </w:tcPr>
          <w:p w14:paraId="08857109"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11" w:type="pct"/>
            <w:vMerge/>
          </w:tcPr>
          <w:p w14:paraId="024E16C1"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E1B4C" w:rsidRPr="008B15A5" w14:paraId="24DE485A" w14:textId="77777777" w:rsidTr="00EE1B4C">
        <w:trPr>
          <w:trHeight w:val="640"/>
        </w:trPr>
        <w:tc>
          <w:tcPr>
            <w:cnfStyle w:val="001000000000" w:firstRow="0" w:lastRow="0" w:firstColumn="1" w:lastColumn="0" w:oddVBand="0" w:evenVBand="0" w:oddHBand="0" w:evenHBand="0" w:firstRowFirstColumn="0" w:firstRowLastColumn="0" w:lastRowFirstColumn="0" w:lastRowLastColumn="0"/>
            <w:tcW w:w="3826" w:type="pct"/>
            <w:gridSpan w:val="8"/>
          </w:tcPr>
          <w:p w14:paraId="56F57F72" w14:textId="77777777" w:rsidR="00EE1B4C" w:rsidRPr="008B15A5" w:rsidRDefault="00EE1B4C" w:rsidP="00A830B1">
            <w:pPr>
              <w:rPr>
                <w:rFonts w:cstheme="minorHAnsi"/>
                <w:sz w:val="20"/>
                <w:szCs w:val="20"/>
              </w:rPr>
            </w:pPr>
            <w:r w:rsidRPr="008B15A5">
              <w:rPr>
                <w:rFonts w:cstheme="minorHAnsi"/>
                <w:sz w:val="20"/>
                <w:szCs w:val="20"/>
              </w:rPr>
              <w:t xml:space="preserve">Status – Proposed Projects </w:t>
            </w:r>
          </w:p>
        </w:tc>
        <w:tc>
          <w:tcPr>
            <w:tcW w:w="663" w:type="pct"/>
          </w:tcPr>
          <w:p w14:paraId="23272EB1"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511" w:type="pct"/>
          </w:tcPr>
          <w:p w14:paraId="3136F83F" w14:textId="77777777" w:rsidR="00EE1B4C" w:rsidRPr="008B15A5" w:rsidRDefault="00EE1B4C" w:rsidP="00A830B1">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EE1B4C" w:rsidRPr="008B15A5" w14:paraId="2F73CF33" w14:textId="77777777" w:rsidTr="008E21FA">
        <w:trPr>
          <w:cnfStyle w:val="000000100000" w:firstRow="0" w:lastRow="0" w:firstColumn="0" w:lastColumn="0" w:oddVBand="0" w:evenVBand="0" w:oddHBand="1" w:evenHBand="0" w:firstRowFirstColumn="0" w:firstRowLastColumn="0" w:lastRowFirstColumn="0" w:lastRowLastColumn="0"/>
          <w:trHeight w:val="1631"/>
        </w:trPr>
        <w:tc>
          <w:tcPr>
            <w:cnfStyle w:val="001000000000" w:firstRow="0" w:lastRow="0" w:firstColumn="1" w:lastColumn="0" w:oddVBand="0" w:evenVBand="0" w:oddHBand="0" w:evenHBand="0" w:firstRowFirstColumn="0" w:firstRowLastColumn="0" w:lastRowFirstColumn="0" w:lastRowLastColumn="0"/>
            <w:tcW w:w="250" w:type="pct"/>
          </w:tcPr>
          <w:p w14:paraId="7E8A78C3" w14:textId="77777777" w:rsidR="00EE1B4C" w:rsidRPr="008B15A5" w:rsidRDefault="00EE1B4C" w:rsidP="00A830B1">
            <w:pPr>
              <w:rPr>
                <w:rFonts w:cstheme="minorHAnsi"/>
                <w:sz w:val="20"/>
                <w:szCs w:val="20"/>
              </w:rPr>
            </w:pPr>
            <w:r w:rsidRPr="008B15A5">
              <w:rPr>
                <w:rFonts w:cstheme="minorHAnsi"/>
                <w:sz w:val="20"/>
                <w:szCs w:val="20"/>
              </w:rPr>
              <w:t>3.</w:t>
            </w:r>
          </w:p>
        </w:tc>
        <w:tc>
          <w:tcPr>
            <w:tcW w:w="668" w:type="pct"/>
          </w:tcPr>
          <w:p w14:paraId="2147C967"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sz w:val="20"/>
                <w:szCs w:val="20"/>
              </w:rPr>
            </w:pPr>
            <w:r w:rsidRPr="008B15A5">
              <w:rPr>
                <w:sz w:val="20"/>
                <w:szCs w:val="20"/>
              </w:rPr>
              <w:t xml:space="preserve">Katihar – </w:t>
            </w:r>
            <w:proofErr w:type="spellStart"/>
            <w:r w:rsidRPr="008B15A5">
              <w:rPr>
                <w:sz w:val="20"/>
                <w:szCs w:val="20"/>
              </w:rPr>
              <w:t>Parbotipur</w:t>
            </w:r>
            <w:proofErr w:type="spellEnd"/>
            <w:r w:rsidRPr="008B15A5">
              <w:rPr>
                <w:sz w:val="20"/>
                <w:szCs w:val="20"/>
              </w:rPr>
              <w:t xml:space="preserve"> - </w:t>
            </w:r>
            <w:proofErr w:type="spellStart"/>
            <w:r w:rsidRPr="008B15A5">
              <w:rPr>
                <w:sz w:val="20"/>
                <w:szCs w:val="20"/>
              </w:rPr>
              <w:t>Bornagar</w:t>
            </w:r>
            <w:proofErr w:type="spellEnd"/>
          </w:p>
        </w:tc>
        <w:tc>
          <w:tcPr>
            <w:tcW w:w="589" w:type="pct"/>
          </w:tcPr>
          <w:p w14:paraId="5A0631EF"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 xml:space="preserve">765 </w:t>
            </w:r>
            <w:r>
              <w:rPr>
                <w:rFonts w:cstheme="minorHAnsi"/>
                <w:sz w:val="20"/>
                <w:szCs w:val="20"/>
              </w:rPr>
              <w:t>kV D/C</w:t>
            </w:r>
          </w:p>
        </w:tc>
        <w:tc>
          <w:tcPr>
            <w:tcW w:w="393" w:type="pct"/>
          </w:tcPr>
          <w:p w14:paraId="3AB67C89"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HVDC</w:t>
            </w:r>
          </w:p>
        </w:tc>
        <w:tc>
          <w:tcPr>
            <w:tcW w:w="405" w:type="pct"/>
          </w:tcPr>
          <w:p w14:paraId="05D45E07"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1000 MW</w:t>
            </w:r>
          </w:p>
        </w:tc>
        <w:tc>
          <w:tcPr>
            <w:tcW w:w="405" w:type="pct"/>
          </w:tcPr>
          <w:p w14:paraId="3F27E63E"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1" w:type="pct"/>
          </w:tcPr>
          <w:p w14:paraId="78B8BF19" w14:textId="77777777" w:rsidR="00EE1B4C" w:rsidRPr="008B15A5" w:rsidRDefault="00EE1B4C" w:rsidP="005E5987">
            <w:pPr>
              <w:pStyle w:val="ListParagraph"/>
              <w:numPr>
                <w:ilvl w:val="0"/>
                <w:numId w:val="19"/>
              </w:num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Bihar</w:t>
            </w:r>
            <w:r>
              <w:rPr>
                <w:rFonts w:cstheme="minorHAnsi"/>
                <w:sz w:val="20"/>
                <w:szCs w:val="20"/>
              </w:rPr>
              <w:t xml:space="preserve"> (Katihar)</w:t>
            </w:r>
          </w:p>
          <w:p w14:paraId="62881578" w14:textId="77777777" w:rsidR="00EE1B4C" w:rsidRPr="008B15A5" w:rsidRDefault="00EE1B4C" w:rsidP="005E5987">
            <w:pPr>
              <w:pStyle w:val="ListParagraph"/>
              <w:numPr>
                <w:ilvl w:val="0"/>
                <w:numId w:val="19"/>
              </w:num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15A5">
              <w:rPr>
                <w:rFonts w:cstheme="minorHAnsi"/>
                <w:sz w:val="20"/>
                <w:szCs w:val="20"/>
              </w:rPr>
              <w:t>Assam</w:t>
            </w:r>
            <w:r>
              <w:rPr>
                <w:rFonts w:cstheme="minorHAnsi"/>
                <w:sz w:val="20"/>
                <w:szCs w:val="20"/>
              </w:rPr>
              <w:t xml:space="preserve"> (</w:t>
            </w:r>
            <w:proofErr w:type="spellStart"/>
            <w:r>
              <w:rPr>
                <w:rFonts w:cstheme="minorHAnsi"/>
                <w:sz w:val="20"/>
                <w:szCs w:val="20"/>
              </w:rPr>
              <w:t>Bornagar</w:t>
            </w:r>
            <w:proofErr w:type="spellEnd"/>
            <w:r>
              <w:rPr>
                <w:rFonts w:cstheme="minorHAnsi"/>
                <w:sz w:val="20"/>
                <w:szCs w:val="20"/>
              </w:rPr>
              <w:t>)</w:t>
            </w:r>
          </w:p>
        </w:tc>
        <w:tc>
          <w:tcPr>
            <w:tcW w:w="525" w:type="pct"/>
          </w:tcPr>
          <w:p w14:paraId="19AC924F"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Pr>
                <w:rFonts w:cstheme="minorHAnsi"/>
                <w:sz w:val="20"/>
                <w:szCs w:val="20"/>
              </w:rPr>
              <w:t>Parbotipur</w:t>
            </w:r>
            <w:proofErr w:type="spellEnd"/>
          </w:p>
        </w:tc>
        <w:tc>
          <w:tcPr>
            <w:tcW w:w="663" w:type="pct"/>
          </w:tcPr>
          <w:p w14:paraId="0C75A1E4" w14:textId="77777777" w:rsidR="00EE1B4C" w:rsidRPr="008B15A5"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&gt;2026</w:t>
            </w:r>
          </w:p>
        </w:tc>
        <w:tc>
          <w:tcPr>
            <w:tcW w:w="511" w:type="pct"/>
          </w:tcPr>
          <w:p w14:paraId="17D05C5B" w14:textId="77777777" w:rsidR="00EE1B4C" w:rsidRDefault="00EE1B4C" w:rsidP="00A830B1">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Under discussion</w:t>
            </w:r>
          </w:p>
        </w:tc>
      </w:tr>
    </w:tbl>
    <w:p w14:paraId="632601EC" w14:textId="77777777" w:rsidR="00057FAD" w:rsidRDefault="00057FAD" w:rsidP="00B01EE7">
      <w:pPr>
        <w:rPr>
          <w:rFonts w:cs="Arial"/>
          <w:b/>
          <w:color w:val="002776" w:themeColor="accent1"/>
          <w:sz w:val="28"/>
        </w:rPr>
      </w:pPr>
    </w:p>
    <w:p w14:paraId="4D801319" w14:textId="77777777" w:rsidR="005314D6" w:rsidRPr="005314D6" w:rsidRDefault="005314D6" w:rsidP="005314D6"/>
    <w:p w14:paraId="440B08BD" w14:textId="77777777" w:rsidR="007D2EA6" w:rsidRDefault="007D2EA6" w:rsidP="005314D6">
      <w:pPr>
        <w:sectPr w:rsidR="007D2EA6" w:rsidSect="00D20268">
          <w:footerReference w:type="default" r:id="rId54"/>
          <w:pgSz w:w="15840" w:h="12240" w:orient="landscape" w:code="1"/>
          <w:pgMar w:top="1440" w:right="1440" w:bottom="1440" w:left="1440" w:header="720" w:footer="720" w:gutter="0"/>
          <w:pgNumType w:fmt="numberInDash" w:start="1"/>
          <w:cols w:space="720"/>
          <w:noEndnote/>
          <w:docGrid w:linePitch="299"/>
        </w:sectPr>
      </w:pPr>
    </w:p>
    <w:p w14:paraId="0D90402A" w14:textId="665769AC" w:rsidR="007D2EA6" w:rsidRDefault="007D2EA6" w:rsidP="007D2EA6">
      <w:pPr>
        <w:pStyle w:val="Heading1"/>
        <w:numPr>
          <w:ilvl w:val="0"/>
          <w:numId w:val="14"/>
        </w:numPr>
        <w:spacing w:before="120"/>
        <w:rPr>
          <w:rFonts w:ascii="Arial" w:hAnsi="Arial"/>
        </w:rPr>
      </w:pPr>
      <w:r w:rsidRPr="00624080">
        <w:rPr>
          <w:rFonts w:ascii="Arial" w:hAnsi="Arial"/>
        </w:rPr>
        <w:t xml:space="preserve">Appendix </w:t>
      </w:r>
      <w:r>
        <w:rPr>
          <w:rFonts w:ascii="Arial" w:hAnsi="Arial"/>
        </w:rPr>
        <w:t>B</w:t>
      </w:r>
      <w:r w:rsidRPr="00624080">
        <w:rPr>
          <w:rFonts w:ascii="Arial" w:hAnsi="Arial"/>
        </w:rPr>
        <w:t xml:space="preserve">: </w:t>
      </w:r>
      <w:r>
        <w:rPr>
          <w:rFonts w:ascii="Arial" w:hAnsi="Arial"/>
        </w:rPr>
        <w:t>Examples of Derivative Trading</w:t>
      </w:r>
    </w:p>
    <w:p w14:paraId="164456DC" w14:textId="77777777" w:rsidR="004D1D7D" w:rsidRDefault="004D1D7D" w:rsidP="004D1D7D"/>
    <w:p w14:paraId="5CDB8CF9" w14:textId="19761DE2" w:rsidR="004D1D7D" w:rsidRPr="00C956B3" w:rsidRDefault="00C956B3" w:rsidP="004D1D7D">
      <w:pPr>
        <w:rPr>
          <w:b/>
          <w:bCs/>
        </w:rPr>
      </w:pPr>
      <w:proofErr w:type="spellStart"/>
      <w:r>
        <w:rPr>
          <w:b/>
          <w:bCs/>
        </w:rPr>
        <w:t>i</w:t>
      </w:r>
      <w:proofErr w:type="spellEnd"/>
      <w:r>
        <w:rPr>
          <w:b/>
          <w:bCs/>
        </w:rPr>
        <w:t xml:space="preserve">. </w:t>
      </w:r>
      <w:r w:rsidR="004D1D7D" w:rsidRPr="00C956B3">
        <w:rPr>
          <w:b/>
          <w:bCs/>
        </w:rPr>
        <w:t>Forward:</w:t>
      </w:r>
    </w:p>
    <w:p w14:paraId="23AA6224" w14:textId="6048A4D9" w:rsidR="009D45B0" w:rsidRDefault="009D45B0" w:rsidP="008E21FA">
      <w:pPr>
        <w:numPr>
          <w:ilvl w:val="0"/>
          <w:numId w:val="40"/>
        </w:numPr>
      </w:pPr>
      <w:r w:rsidRPr="009D45B0">
        <w:t>Forward Contract Entered in Jan’</w:t>
      </w:r>
      <w:r w:rsidR="00F65482">
        <w:t>25</w:t>
      </w:r>
      <w:r w:rsidRPr="009D45B0">
        <w:t xml:space="preserve"> for Delivery in June </w:t>
      </w:r>
      <w:r w:rsidR="00F65482">
        <w:t>‘25</w:t>
      </w:r>
    </w:p>
    <w:p w14:paraId="5293C377" w14:textId="47034A40" w:rsidR="009D45B0" w:rsidRDefault="002773E8" w:rsidP="00FB5A50">
      <w:pPr>
        <w:ind w:left="720"/>
        <w:jc w:val="center"/>
      </w:pPr>
      <w:r w:rsidRPr="002773E8">
        <w:drawing>
          <wp:inline distT="0" distB="0" distL="0" distR="0" wp14:anchorId="64444407" wp14:editId="10E4456E">
            <wp:extent cx="5016375" cy="651164"/>
            <wp:effectExtent l="0" t="0" r="0" b="0"/>
            <wp:docPr id="17153515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1537" name="Picture 1" descr="A screen shot of a computer&#10;&#10;Description automatically generated"/>
                    <pic:cNvPicPr/>
                  </pic:nvPicPr>
                  <pic:blipFill>
                    <a:blip r:embed="rId55"/>
                    <a:stretch>
                      <a:fillRect/>
                    </a:stretch>
                  </pic:blipFill>
                  <pic:spPr>
                    <a:xfrm>
                      <a:off x="0" y="0"/>
                      <a:ext cx="5053431" cy="655974"/>
                    </a:xfrm>
                    <a:prstGeom prst="rect">
                      <a:avLst/>
                    </a:prstGeom>
                  </pic:spPr>
                </pic:pic>
              </a:graphicData>
            </a:graphic>
          </wp:inline>
        </w:drawing>
      </w:r>
    </w:p>
    <w:p w14:paraId="5841232F" w14:textId="77777777" w:rsidR="00281DA9" w:rsidRPr="00281DA9" w:rsidRDefault="00281DA9" w:rsidP="008E21FA">
      <w:pPr>
        <w:numPr>
          <w:ilvl w:val="0"/>
          <w:numId w:val="41"/>
        </w:numPr>
      </w:pPr>
      <w:r w:rsidRPr="00281DA9">
        <w:t>Two types of Credit Risk</w:t>
      </w:r>
    </w:p>
    <w:p w14:paraId="55EFB8AF" w14:textId="77777777" w:rsidR="00281DA9" w:rsidRPr="00281DA9" w:rsidRDefault="00281DA9" w:rsidP="008E21FA">
      <w:pPr>
        <w:numPr>
          <w:ilvl w:val="1"/>
          <w:numId w:val="41"/>
        </w:numPr>
      </w:pPr>
      <w:r w:rsidRPr="00281DA9">
        <w:rPr>
          <w:b/>
          <w:bCs/>
        </w:rPr>
        <w:t xml:space="preserve">Replacement </w:t>
      </w:r>
      <w:proofErr w:type="gramStart"/>
      <w:r w:rsidRPr="00281DA9">
        <w:rPr>
          <w:b/>
          <w:bCs/>
        </w:rPr>
        <w:t>Risk:-</w:t>
      </w:r>
      <w:proofErr w:type="gramEnd"/>
      <w:r w:rsidRPr="00281DA9">
        <w:rPr>
          <w:b/>
          <w:bCs/>
        </w:rPr>
        <w:t xml:space="preserve"> </w:t>
      </w:r>
      <w:r w:rsidRPr="00281DA9">
        <w:t>Before Start of Delivery if any counterparty defaults. For ex. If</w:t>
      </w:r>
    </w:p>
    <w:p w14:paraId="04468F9E" w14:textId="225E8B20" w:rsidR="00281DA9" w:rsidRPr="00281DA9" w:rsidRDefault="00281DA9" w:rsidP="00EB49B7">
      <w:pPr>
        <w:ind w:left="720"/>
      </w:pPr>
      <w:r w:rsidRPr="00281DA9">
        <w:t>Buyer</w:t>
      </w:r>
      <w:r w:rsidR="00EB49B7">
        <w:t xml:space="preserve"> (B) </w:t>
      </w:r>
      <w:r w:rsidRPr="00281DA9">
        <w:t xml:space="preserve">defaults on March 17 to take power from Seller </w:t>
      </w:r>
      <w:r w:rsidR="00EB49B7">
        <w:t>(</w:t>
      </w:r>
      <w:r w:rsidRPr="00281DA9">
        <w:t>S</w:t>
      </w:r>
      <w:r w:rsidR="00EB49B7">
        <w:t>)</w:t>
      </w:r>
      <w:r w:rsidRPr="00281DA9">
        <w:t xml:space="preserve">, then Seller </w:t>
      </w:r>
      <w:proofErr w:type="gramStart"/>
      <w:r w:rsidRPr="00281DA9">
        <w:t>has to</w:t>
      </w:r>
      <w:proofErr w:type="gramEnd"/>
      <w:r w:rsidRPr="00281DA9">
        <w:t xml:space="preserve"> enter in a new contract at current market price, which will be generally at low price say @Rs. 3/</w:t>
      </w:r>
      <w:r w:rsidR="00EB49B7">
        <w:t>kWh</w:t>
      </w:r>
      <w:r w:rsidRPr="00281DA9">
        <w:t xml:space="preserve"> with a new counterparty. So Replacement Risk</w:t>
      </w:r>
      <w:proofErr w:type="gramStart"/>
      <w:r w:rsidRPr="00281DA9">
        <w:t>=(</w:t>
      </w:r>
      <w:proofErr w:type="gramEnd"/>
      <w:r w:rsidRPr="00281DA9">
        <w:t>4-3)*Contract Volume</w:t>
      </w:r>
    </w:p>
    <w:p w14:paraId="22006509" w14:textId="77777777" w:rsidR="00281DA9" w:rsidRPr="00281DA9" w:rsidRDefault="00281DA9" w:rsidP="008E21FA">
      <w:pPr>
        <w:numPr>
          <w:ilvl w:val="1"/>
          <w:numId w:val="42"/>
        </w:numPr>
        <w:tabs>
          <w:tab w:val="left" w:pos="737"/>
        </w:tabs>
      </w:pPr>
      <w:r w:rsidRPr="00281DA9">
        <w:rPr>
          <w:b/>
          <w:bCs/>
        </w:rPr>
        <w:t xml:space="preserve">Settlement </w:t>
      </w:r>
      <w:proofErr w:type="gramStart"/>
      <w:r w:rsidRPr="00281DA9">
        <w:rPr>
          <w:b/>
          <w:bCs/>
        </w:rPr>
        <w:t>Risk:-</w:t>
      </w:r>
      <w:proofErr w:type="gramEnd"/>
      <w:r w:rsidRPr="00281DA9">
        <w:rPr>
          <w:b/>
          <w:bCs/>
        </w:rPr>
        <w:t xml:space="preserve"> </w:t>
      </w:r>
      <w:r w:rsidRPr="00281DA9">
        <w:t>If the electricity is delivered but buyer defaults to make payment,</w:t>
      </w:r>
    </w:p>
    <w:p w14:paraId="5F1F80B6" w14:textId="352F977B" w:rsidR="00281DA9" w:rsidRPr="00281DA9" w:rsidRDefault="00281DA9" w:rsidP="00281DA9">
      <w:pPr>
        <w:ind w:left="720"/>
      </w:pPr>
      <w:r w:rsidRPr="00281DA9">
        <w:t>T</w:t>
      </w:r>
      <w:r w:rsidRPr="00281DA9">
        <w:t>his</w:t>
      </w:r>
      <w:r>
        <w:t xml:space="preserve"> </w:t>
      </w:r>
      <w:r w:rsidRPr="00281DA9">
        <w:t xml:space="preserve">creates settlement risk which </w:t>
      </w:r>
      <w:proofErr w:type="gramStart"/>
      <w:r w:rsidRPr="00281DA9">
        <w:t>has</w:t>
      </w:r>
      <w:proofErr w:type="gramEnd"/>
      <w:r w:rsidRPr="00281DA9">
        <w:t xml:space="preserve"> generally several times higher risk than replacement risk=4*Contract Volume. In addition to this delay in payment also comes in settlement</w:t>
      </w:r>
    </w:p>
    <w:p w14:paraId="56999D68" w14:textId="77777777" w:rsidR="00281DA9" w:rsidRPr="00281DA9" w:rsidRDefault="00281DA9" w:rsidP="00281DA9">
      <w:pPr>
        <w:ind w:left="720"/>
      </w:pPr>
      <w:r w:rsidRPr="00281DA9">
        <w:t>risk</w:t>
      </w:r>
    </w:p>
    <w:p w14:paraId="5E389012" w14:textId="77777777" w:rsidR="00281DA9" w:rsidRPr="00281DA9" w:rsidRDefault="00281DA9" w:rsidP="00281DA9">
      <w:pPr>
        <w:ind w:left="720"/>
      </w:pPr>
      <w:r w:rsidRPr="00281DA9">
        <w:rPr>
          <w:b/>
          <w:bCs/>
          <w:i/>
          <w:iCs/>
        </w:rPr>
        <w:t>Credit risk exposure is defined as the sum of the settlement and the replacement risk.</w:t>
      </w:r>
    </w:p>
    <w:p w14:paraId="7AF57151" w14:textId="77777777" w:rsidR="009D45B0" w:rsidRPr="009D45B0" w:rsidRDefault="009D45B0" w:rsidP="009D45B0">
      <w:pPr>
        <w:ind w:left="720"/>
      </w:pPr>
    </w:p>
    <w:p w14:paraId="4F7DFF43" w14:textId="2A3DAC8A" w:rsidR="00C956B3" w:rsidRDefault="00C956B3" w:rsidP="00C956B3">
      <w:pPr>
        <w:rPr>
          <w:b/>
          <w:bCs/>
        </w:rPr>
      </w:pPr>
      <w:r>
        <w:rPr>
          <w:b/>
          <w:bCs/>
        </w:rPr>
        <w:t>i</w:t>
      </w:r>
      <w:r>
        <w:rPr>
          <w:b/>
          <w:bCs/>
        </w:rPr>
        <w:t xml:space="preserve">i. </w:t>
      </w:r>
      <w:r w:rsidRPr="00C956B3">
        <w:rPr>
          <w:b/>
          <w:bCs/>
        </w:rPr>
        <w:t>F</w:t>
      </w:r>
      <w:r w:rsidR="00AD6EAB">
        <w:rPr>
          <w:b/>
          <w:bCs/>
        </w:rPr>
        <w:t>utures</w:t>
      </w:r>
      <w:r w:rsidRPr="00C956B3">
        <w:rPr>
          <w:b/>
          <w:bCs/>
        </w:rPr>
        <w:t>:</w:t>
      </w:r>
    </w:p>
    <w:p w14:paraId="559AF329" w14:textId="77777777" w:rsidR="00AD6EAB" w:rsidRPr="00AD6EAB" w:rsidRDefault="00AD6EAB" w:rsidP="008E21FA">
      <w:pPr>
        <w:numPr>
          <w:ilvl w:val="0"/>
          <w:numId w:val="43"/>
        </w:numPr>
      </w:pPr>
      <w:r w:rsidRPr="00AD6EAB">
        <w:t>Generator hedges 100 MW load in Futures Market</w:t>
      </w:r>
    </w:p>
    <w:p w14:paraId="2B09D806" w14:textId="05EE6DDF" w:rsidR="00AD6EAB" w:rsidRPr="00AD6EAB" w:rsidRDefault="00AD6EAB" w:rsidP="008E21FA">
      <w:pPr>
        <w:numPr>
          <w:ilvl w:val="0"/>
          <w:numId w:val="43"/>
        </w:numPr>
      </w:pPr>
      <w:r w:rsidRPr="00AD6EAB">
        <w:t>Sells Futures Contract at a future price in Jan ‘</w:t>
      </w:r>
      <w:r w:rsidR="00F65482">
        <w:t>25</w:t>
      </w:r>
      <w:r w:rsidRPr="00AD6EAB">
        <w:t xml:space="preserve"> @ Rs 4/kWh which settles</w:t>
      </w:r>
      <w:r w:rsidRPr="00AD6EAB">
        <w:t xml:space="preserve"> </w:t>
      </w:r>
      <w:r w:rsidRPr="00AD6EAB">
        <w:t>at spot market price</w:t>
      </w:r>
    </w:p>
    <w:p w14:paraId="52F2378A" w14:textId="33B12523" w:rsidR="00AD6EAB" w:rsidRDefault="00AD6EAB" w:rsidP="00AD6EAB">
      <w:r w:rsidRPr="00AD6EAB">
        <w:t xml:space="preserve">Scenario </w:t>
      </w:r>
      <w:proofErr w:type="gramStart"/>
      <w:r w:rsidRPr="00AD6EAB">
        <w:t>1:-</w:t>
      </w:r>
      <w:proofErr w:type="gramEnd"/>
      <w:r w:rsidRPr="00AD6EAB">
        <w:t xml:space="preserve"> Avg. spot market price during delivery period say Rs 3/kWh</w:t>
      </w:r>
    </w:p>
    <w:p w14:paraId="5A3CBBB9" w14:textId="74E2EF11" w:rsidR="002C1EF4" w:rsidRDefault="002C1EF4" w:rsidP="00650D87">
      <w:pPr>
        <w:jc w:val="center"/>
      </w:pPr>
      <w:r w:rsidRPr="002C1EF4">
        <w:drawing>
          <wp:inline distT="0" distB="0" distL="0" distR="0" wp14:anchorId="40FA58C9" wp14:editId="5F2CE95D">
            <wp:extent cx="4921503" cy="1409772"/>
            <wp:effectExtent l="0" t="0" r="0" b="0"/>
            <wp:docPr id="180651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10645" name=""/>
                    <pic:cNvPicPr/>
                  </pic:nvPicPr>
                  <pic:blipFill>
                    <a:blip r:embed="rId56"/>
                    <a:stretch>
                      <a:fillRect/>
                    </a:stretch>
                  </pic:blipFill>
                  <pic:spPr>
                    <a:xfrm>
                      <a:off x="0" y="0"/>
                      <a:ext cx="4921503" cy="1409772"/>
                    </a:xfrm>
                    <a:prstGeom prst="rect">
                      <a:avLst/>
                    </a:prstGeom>
                  </pic:spPr>
                </pic:pic>
              </a:graphicData>
            </a:graphic>
          </wp:inline>
        </w:drawing>
      </w:r>
    </w:p>
    <w:p w14:paraId="2A92B88B" w14:textId="77777777" w:rsidR="002C1EF4" w:rsidRDefault="002C1EF4" w:rsidP="00AD6EAB"/>
    <w:p w14:paraId="7B995568" w14:textId="3F9BDA46" w:rsidR="002C1EF4" w:rsidRDefault="00CC0025" w:rsidP="00AD6EAB">
      <w:pPr>
        <w:rPr>
          <w:b/>
          <w:bCs/>
        </w:rPr>
      </w:pPr>
      <w:r w:rsidRPr="00CC0025">
        <w:t xml:space="preserve">Scenario </w:t>
      </w:r>
      <w:proofErr w:type="gramStart"/>
      <w:r w:rsidRPr="00CC0025">
        <w:t>2:-</w:t>
      </w:r>
      <w:proofErr w:type="gramEnd"/>
      <w:r w:rsidRPr="00CC0025">
        <w:t xml:space="preserve"> Avg. spot market price during delivery period say </w:t>
      </w:r>
      <w:r w:rsidRPr="00CC0025">
        <w:rPr>
          <w:b/>
          <w:bCs/>
        </w:rPr>
        <w:t>Rs 5/kWh</w:t>
      </w:r>
    </w:p>
    <w:p w14:paraId="422CF3A0" w14:textId="73A2E93B" w:rsidR="00CC0025" w:rsidRPr="00AD6EAB" w:rsidRDefault="00650D87" w:rsidP="00650D87">
      <w:pPr>
        <w:jc w:val="center"/>
      </w:pPr>
      <w:r w:rsidRPr="00650D87">
        <w:drawing>
          <wp:inline distT="0" distB="0" distL="0" distR="0" wp14:anchorId="4BDA69AE" wp14:editId="6370D942">
            <wp:extent cx="4896102" cy="1390721"/>
            <wp:effectExtent l="0" t="0" r="0" b="0"/>
            <wp:docPr id="453103696"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03696" name="Picture 1" descr="A close-up of a chart&#10;&#10;Description automatically generated"/>
                    <pic:cNvPicPr/>
                  </pic:nvPicPr>
                  <pic:blipFill>
                    <a:blip r:embed="rId57"/>
                    <a:stretch>
                      <a:fillRect/>
                    </a:stretch>
                  </pic:blipFill>
                  <pic:spPr>
                    <a:xfrm>
                      <a:off x="0" y="0"/>
                      <a:ext cx="4896102" cy="1390721"/>
                    </a:xfrm>
                    <a:prstGeom prst="rect">
                      <a:avLst/>
                    </a:prstGeom>
                  </pic:spPr>
                </pic:pic>
              </a:graphicData>
            </a:graphic>
          </wp:inline>
        </w:drawing>
      </w:r>
    </w:p>
    <w:p w14:paraId="6CBE72B0" w14:textId="77777777" w:rsidR="00C14C96" w:rsidRDefault="00C14C96" w:rsidP="004D1D7D"/>
    <w:p w14:paraId="1A7897A8" w14:textId="0C78B0AE" w:rsidR="002773E8" w:rsidRDefault="002773E8" w:rsidP="002773E8">
      <w:pPr>
        <w:rPr>
          <w:b/>
          <w:bCs/>
        </w:rPr>
      </w:pPr>
      <w:r>
        <w:rPr>
          <w:b/>
          <w:bCs/>
        </w:rPr>
        <w:t>i</w:t>
      </w:r>
      <w:r>
        <w:rPr>
          <w:b/>
          <w:bCs/>
        </w:rPr>
        <w:t>ii</w:t>
      </w:r>
      <w:r>
        <w:rPr>
          <w:b/>
          <w:bCs/>
        </w:rPr>
        <w:t xml:space="preserve">. </w:t>
      </w:r>
      <w:r>
        <w:rPr>
          <w:b/>
          <w:bCs/>
        </w:rPr>
        <w:t>Swaps</w:t>
      </w:r>
      <w:r w:rsidRPr="00C956B3">
        <w:rPr>
          <w:b/>
          <w:bCs/>
        </w:rPr>
        <w:t>:</w:t>
      </w:r>
    </w:p>
    <w:p w14:paraId="734A2393" w14:textId="4EFDBEB0" w:rsidR="00BC6458" w:rsidRPr="00BC6458" w:rsidRDefault="00BC6458" w:rsidP="008E21FA">
      <w:pPr>
        <w:numPr>
          <w:ilvl w:val="0"/>
          <w:numId w:val="44"/>
        </w:numPr>
      </w:pPr>
      <w:r w:rsidRPr="00BC6458">
        <w:t>Bank agrees to pay Generator Rs 3500/MWh for 50 MW of</w:t>
      </w:r>
      <w:r>
        <w:t xml:space="preserve"> </w:t>
      </w:r>
      <w:r w:rsidRPr="00BC6458">
        <w:t>power during December 20</w:t>
      </w:r>
      <w:r>
        <w:t>25</w:t>
      </w:r>
      <w:r w:rsidRPr="00BC6458">
        <w:t>.</w:t>
      </w:r>
    </w:p>
    <w:p w14:paraId="05A3ECB3" w14:textId="03C19B59" w:rsidR="00BC6458" w:rsidRPr="00BC6458" w:rsidRDefault="00BC6458" w:rsidP="008E21FA">
      <w:pPr>
        <w:numPr>
          <w:ilvl w:val="0"/>
          <w:numId w:val="44"/>
        </w:numPr>
      </w:pPr>
      <w:r w:rsidRPr="00BC6458">
        <w:t>Generator agrees to pay Bank cash flows equal to a floating</w:t>
      </w:r>
      <w:r>
        <w:t xml:space="preserve"> </w:t>
      </w:r>
      <w:r w:rsidRPr="00BC6458">
        <w:t>price on the same quantity of electricity for one year.</w:t>
      </w:r>
    </w:p>
    <w:p w14:paraId="7CBC4E0A" w14:textId="77777777" w:rsidR="00BC6458" w:rsidRDefault="00BC6458" w:rsidP="008E21FA">
      <w:pPr>
        <w:numPr>
          <w:ilvl w:val="0"/>
          <w:numId w:val="44"/>
        </w:numPr>
      </w:pPr>
      <w:r w:rsidRPr="00BC6458">
        <w:t>By combining this swap with the indexed electricity supply contract, a Generator can lock in a fixed income and sell to PX</w:t>
      </w:r>
    </w:p>
    <w:p w14:paraId="5429DC65" w14:textId="1DE1E648" w:rsidR="00BC6458" w:rsidRPr="00BC6458" w:rsidRDefault="005E466B" w:rsidP="00B46E7C">
      <w:pPr>
        <w:jc w:val="center"/>
      </w:pPr>
      <w:r w:rsidRPr="005E466B">
        <w:drawing>
          <wp:inline distT="0" distB="0" distL="0" distR="0" wp14:anchorId="7E4C0AA8" wp14:editId="0F00E45C">
            <wp:extent cx="5306291" cy="1489075"/>
            <wp:effectExtent l="0" t="0" r="8890" b="0"/>
            <wp:docPr id="1504090059" name="Picture 1" descr="A diagram of a ban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90059" name="Picture 1" descr="A diagram of a bank&#10;&#10;Description automatically generated"/>
                    <pic:cNvPicPr/>
                  </pic:nvPicPr>
                  <pic:blipFill>
                    <a:blip r:embed="rId58"/>
                    <a:stretch>
                      <a:fillRect/>
                    </a:stretch>
                  </pic:blipFill>
                  <pic:spPr>
                    <a:xfrm>
                      <a:off x="0" y="0"/>
                      <a:ext cx="5330346" cy="1495825"/>
                    </a:xfrm>
                    <a:prstGeom prst="rect">
                      <a:avLst/>
                    </a:prstGeom>
                  </pic:spPr>
                </pic:pic>
              </a:graphicData>
            </a:graphic>
          </wp:inline>
        </w:drawing>
      </w:r>
    </w:p>
    <w:p w14:paraId="326F3E39" w14:textId="77777777" w:rsidR="002773E8" w:rsidRPr="004D1D7D" w:rsidRDefault="002773E8" w:rsidP="004D1D7D"/>
    <w:p w14:paraId="0196508A" w14:textId="61040DD7" w:rsidR="00205C8E" w:rsidRDefault="00205C8E" w:rsidP="00205C8E">
      <w:pPr>
        <w:rPr>
          <w:b/>
          <w:bCs/>
        </w:rPr>
      </w:pPr>
      <w:r>
        <w:rPr>
          <w:b/>
          <w:bCs/>
        </w:rPr>
        <w:t>i</w:t>
      </w:r>
      <w:r w:rsidR="009D1C15">
        <w:rPr>
          <w:b/>
          <w:bCs/>
        </w:rPr>
        <w:t>v</w:t>
      </w:r>
      <w:r>
        <w:rPr>
          <w:b/>
          <w:bCs/>
        </w:rPr>
        <w:t xml:space="preserve">. </w:t>
      </w:r>
      <w:r w:rsidR="009D1C15">
        <w:rPr>
          <w:b/>
          <w:bCs/>
        </w:rPr>
        <w:t>Options</w:t>
      </w:r>
      <w:r w:rsidRPr="00C956B3">
        <w:rPr>
          <w:b/>
          <w:bCs/>
        </w:rPr>
        <w:t>:</w:t>
      </w:r>
    </w:p>
    <w:p w14:paraId="7943CA96" w14:textId="77777777" w:rsidR="005314D6" w:rsidRDefault="005314D6" w:rsidP="005314D6"/>
    <w:p w14:paraId="4CF864F3" w14:textId="77777777" w:rsidR="00205C8E" w:rsidRPr="00205C8E" w:rsidRDefault="00205C8E" w:rsidP="008E21FA">
      <w:pPr>
        <w:numPr>
          <w:ilvl w:val="0"/>
          <w:numId w:val="44"/>
        </w:numPr>
      </w:pPr>
      <w:r w:rsidRPr="00205C8E">
        <w:t>Generator hedges 100 MW load in Options Market</w:t>
      </w:r>
    </w:p>
    <w:p w14:paraId="7045A36E" w14:textId="4F23BDDD" w:rsidR="00205C8E" w:rsidRPr="00205C8E" w:rsidRDefault="00205C8E" w:rsidP="008E21FA">
      <w:pPr>
        <w:numPr>
          <w:ilvl w:val="0"/>
          <w:numId w:val="44"/>
        </w:numPr>
      </w:pPr>
      <w:r w:rsidRPr="00205C8E">
        <w:t>Buy a put contract in Jan ‘</w:t>
      </w:r>
      <w:r w:rsidR="00F65482">
        <w:t>25</w:t>
      </w:r>
      <w:r w:rsidRPr="00205C8E">
        <w:t xml:space="preserve"> at a strike price of Rs 4/kWh by paying a premium @ Rs. 0.5/</w:t>
      </w:r>
      <w:proofErr w:type="spellStart"/>
      <w:r w:rsidRPr="00205C8E">
        <w:t>kWhr</w:t>
      </w:r>
      <w:proofErr w:type="spellEnd"/>
    </w:p>
    <w:p w14:paraId="0C136718" w14:textId="77777777" w:rsidR="009D1C15" w:rsidRDefault="009D1C15" w:rsidP="009D1C15">
      <w:pPr>
        <w:ind w:left="360"/>
      </w:pPr>
    </w:p>
    <w:p w14:paraId="3A9B950B" w14:textId="7393E70A" w:rsidR="00205C8E" w:rsidRDefault="00205C8E" w:rsidP="009D1C15">
      <w:pPr>
        <w:ind w:left="360"/>
        <w:rPr>
          <w:b/>
          <w:bCs/>
        </w:rPr>
      </w:pPr>
      <w:r w:rsidRPr="00205C8E">
        <w:t xml:space="preserve">Scenario </w:t>
      </w:r>
      <w:proofErr w:type="gramStart"/>
      <w:r w:rsidRPr="00205C8E">
        <w:t>1:-</w:t>
      </w:r>
      <w:proofErr w:type="gramEnd"/>
      <w:r w:rsidRPr="00205C8E">
        <w:t xml:space="preserve"> Avg. spot market price during delivery period </w:t>
      </w:r>
      <w:r w:rsidRPr="00205C8E">
        <w:rPr>
          <w:b/>
          <w:bCs/>
        </w:rPr>
        <w:t>Rs 3/kWh. Hence Exercise Option</w:t>
      </w:r>
    </w:p>
    <w:p w14:paraId="1CA56BB7" w14:textId="77777777" w:rsidR="00205C8E" w:rsidRDefault="00205C8E" w:rsidP="009D1C15">
      <w:pPr>
        <w:ind w:left="360"/>
        <w:rPr>
          <w:b/>
          <w:bCs/>
        </w:rPr>
      </w:pPr>
    </w:p>
    <w:p w14:paraId="63F363FF" w14:textId="00687A36" w:rsidR="00205C8E" w:rsidRDefault="00013EF8" w:rsidP="00013EF8">
      <w:pPr>
        <w:ind w:left="360"/>
        <w:jc w:val="center"/>
      </w:pPr>
      <w:r w:rsidRPr="00013EF8">
        <w:drawing>
          <wp:inline distT="0" distB="0" distL="0" distR="0" wp14:anchorId="432517C6" wp14:editId="2ECB9829">
            <wp:extent cx="4734560" cy="1641763"/>
            <wp:effectExtent l="0" t="0" r="0" b="0"/>
            <wp:docPr id="161451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14645" name=""/>
                    <pic:cNvPicPr/>
                  </pic:nvPicPr>
                  <pic:blipFill>
                    <a:blip r:embed="rId59"/>
                    <a:stretch>
                      <a:fillRect/>
                    </a:stretch>
                  </pic:blipFill>
                  <pic:spPr>
                    <a:xfrm>
                      <a:off x="0" y="0"/>
                      <a:ext cx="4764263" cy="1652063"/>
                    </a:xfrm>
                    <a:prstGeom prst="rect">
                      <a:avLst/>
                    </a:prstGeom>
                  </pic:spPr>
                </pic:pic>
              </a:graphicData>
            </a:graphic>
          </wp:inline>
        </w:drawing>
      </w:r>
    </w:p>
    <w:p w14:paraId="3E894ABB" w14:textId="77777777" w:rsidR="00205C8E" w:rsidRDefault="00205C8E" w:rsidP="00013EF8">
      <w:pPr>
        <w:ind w:left="360"/>
        <w:jc w:val="center"/>
      </w:pPr>
    </w:p>
    <w:p w14:paraId="34B0246E" w14:textId="44C987B1" w:rsidR="00205C8E" w:rsidRDefault="00366CDB" w:rsidP="00013EF8">
      <w:pPr>
        <w:ind w:left="360"/>
        <w:jc w:val="center"/>
        <w:rPr>
          <w:b/>
          <w:bCs/>
        </w:rPr>
      </w:pPr>
      <w:r w:rsidRPr="00366CDB">
        <w:t xml:space="preserve">Scenario </w:t>
      </w:r>
      <w:proofErr w:type="gramStart"/>
      <w:r w:rsidRPr="00366CDB">
        <w:t>2:-</w:t>
      </w:r>
      <w:proofErr w:type="gramEnd"/>
      <w:r w:rsidRPr="00366CDB">
        <w:t xml:space="preserve"> Avg. spot market price during delivery period </w:t>
      </w:r>
      <w:r w:rsidRPr="00366CDB">
        <w:rPr>
          <w:b/>
          <w:bCs/>
        </w:rPr>
        <w:t>Rs 6/kWh, Option not exercised</w:t>
      </w:r>
    </w:p>
    <w:p w14:paraId="39C2B463" w14:textId="34883A75" w:rsidR="00205C8E" w:rsidRPr="00205C8E" w:rsidRDefault="005B50C4" w:rsidP="00013EF8">
      <w:pPr>
        <w:ind w:left="360"/>
        <w:jc w:val="center"/>
      </w:pPr>
      <w:r w:rsidRPr="005B50C4">
        <w:drawing>
          <wp:inline distT="0" distB="0" distL="0" distR="0" wp14:anchorId="69376581" wp14:editId="318D9D04">
            <wp:extent cx="5315585" cy="1392382"/>
            <wp:effectExtent l="0" t="0" r="0" b="0"/>
            <wp:docPr id="2028122242"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2242" name="Picture 1" descr="A screen shot of a chart&#10;&#10;Description automatically generated"/>
                    <pic:cNvPicPr/>
                  </pic:nvPicPr>
                  <pic:blipFill>
                    <a:blip r:embed="rId60"/>
                    <a:stretch>
                      <a:fillRect/>
                    </a:stretch>
                  </pic:blipFill>
                  <pic:spPr>
                    <a:xfrm>
                      <a:off x="0" y="0"/>
                      <a:ext cx="5362832" cy="1404758"/>
                    </a:xfrm>
                    <a:prstGeom prst="rect">
                      <a:avLst/>
                    </a:prstGeom>
                  </pic:spPr>
                </pic:pic>
              </a:graphicData>
            </a:graphic>
          </wp:inline>
        </w:drawing>
      </w:r>
    </w:p>
    <w:p w14:paraId="00C7AF31" w14:textId="77777777" w:rsidR="00205C8E" w:rsidRDefault="00205C8E" w:rsidP="005314D6"/>
    <w:p w14:paraId="68E7C869" w14:textId="77777777" w:rsidR="005314D6" w:rsidRDefault="005314D6" w:rsidP="005314D6"/>
    <w:p w14:paraId="7199C395" w14:textId="77777777" w:rsidR="005314D6" w:rsidRDefault="005314D6" w:rsidP="005314D6"/>
    <w:p w14:paraId="64892221" w14:textId="77777777" w:rsidR="005314D6" w:rsidRDefault="005314D6" w:rsidP="005314D6"/>
    <w:p w14:paraId="250BB3D4" w14:textId="77777777" w:rsidR="005314D6" w:rsidRDefault="005314D6" w:rsidP="005314D6"/>
    <w:p w14:paraId="5FAF19EB" w14:textId="77777777" w:rsidR="005314D6" w:rsidRDefault="005314D6" w:rsidP="005314D6"/>
    <w:p w14:paraId="2F1CC7F5" w14:textId="77777777" w:rsidR="005314D6" w:rsidRDefault="005314D6" w:rsidP="005314D6"/>
    <w:p w14:paraId="0B2ED4DF" w14:textId="77777777" w:rsidR="005314D6" w:rsidRDefault="005314D6" w:rsidP="005314D6"/>
    <w:p w14:paraId="59D6647F" w14:textId="77777777" w:rsidR="005314D6" w:rsidRDefault="005314D6" w:rsidP="005314D6"/>
    <w:p w14:paraId="1511FDA1" w14:textId="77777777" w:rsidR="005314D6" w:rsidRPr="005314D6" w:rsidRDefault="005314D6" w:rsidP="005314D6"/>
    <w:p w14:paraId="33F28571" w14:textId="77777777" w:rsidR="005314D6" w:rsidRDefault="005314D6" w:rsidP="005314D6">
      <w:pPr>
        <w:rPr>
          <w:rFonts w:cs="Arial"/>
          <w:b/>
          <w:color w:val="002776" w:themeColor="accent1"/>
          <w:sz w:val="28"/>
        </w:rPr>
      </w:pPr>
    </w:p>
    <w:p w14:paraId="52566FA9" w14:textId="77777777" w:rsidR="005314D6" w:rsidRPr="005314D6" w:rsidRDefault="005314D6" w:rsidP="005314D6">
      <w:pPr>
        <w:sectPr w:rsidR="005314D6" w:rsidRPr="005314D6" w:rsidSect="00547C30">
          <w:pgSz w:w="12240" w:h="15840" w:code="1"/>
          <w:pgMar w:top="1440" w:right="1440" w:bottom="1440" w:left="1440" w:header="720" w:footer="720" w:gutter="0"/>
          <w:pgNumType w:fmt="numberInDash"/>
          <w:cols w:space="720"/>
          <w:noEndnote/>
          <w:docGrid w:linePitch="299"/>
        </w:sectPr>
      </w:pPr>
    </w:p>
    <w:bookmarkEnd w:id="133"/>
    <w:p w14:paraId="59069463" w14:textId="77777777" w:rsidR="00B01EE7" w:rsidRPr="002879A7" w:rsidRDefault="00B01EE7" w:rsidP="00B01EE7">
      <w:pPr>
        <w:rPr>
          <w:rFonts w:cs="Arial"/>
        </w:rPr>
      </w:pPr>
    </w:p>
    <w:p w14:paraId="6C778CAD" w14:textId="77777777" w:rsidR="00B01EE7" w:rsidRPr="002879A7" w:rsidRDefault="00B01EE7" w:rsidP="00B01EE7">
      <w:pPr>
        <w:rPr>
          <w:rFonts w:cs="Arial"/>
        </w:rPr>
      </w:pPr>
    </w:p>
    <w:p w14:paraId="415CCC92" w14:textId="77777777" w:rsidR="00B01EE7" w:rsidRPr="002879A7" w:rsidRDefault="00B01EE7" w:rsidP="00B01EE7">
      <w:pPr>
        <w:rPr>
          <w:rFonts w:cs="Arial"/>
        </w:rPr>
      </w:pPr>
    </w:p>
    <w:p w14:paraId="2020E378" w14:textId="77777777" w:rsidR="00B01EE7" w:rsidRPr="002879A7" w:rsidRDefault="00B01EE7" w:rsidP="00B01EE7">
      <w:pPr>
        <w:rPr>
          <w:rFonts w:cs="Arial"/>
        </w:rPr>
      </w:pPr>
    </w:p>
    <w:p w14:paraId="28C331AF" w14:textId="77777777" w:rsidR="00B01EE7" w:rsidRPr="002879A7" w:rsidRDefault="00B01EE7" w:rsidP="00B01EE7">
      <w:pPr>
        <w:rPr>
          <w:rFonts w:cs="Arial"/>
        </w:rPr>
      </w:pPr>
    </w:p>
    <w:p w14:paraId="6355DE2A" w14:textId="77777777" w:rsidR="00B01EE7" w:rsidRPr="002879A7" w:rsidRDefault="00B01EE7" w:rsidP="00B01EE7">
      <w:pPr>
        <w:rPr>
          <w:rFonts w:cs="Arial"/>
        </w:rPr>
      </w:pPr>
    </w:p>
    <w:p w14:paraId="7038D80F" w14:textId="77777777" w:rsidR="00B01EE7" w:rsidRPr="002879A7" w:rsidRDefault="00B01EE7" w:rsidP="00B01EE7">
      <w:pPr>
        <w:rPr>
          <w:rFonts w:cs="Arial"/>
        </w:rPr>
      </w:pPr>
    </w:p>
    <w:p w14:paraId="4FC59961" w14:textId="77777777" w:rsidR="00B01EE7" w:rsidRPr="002879A7" w:rsidRDefault="00B01EE7" w:rsidP="00B01EE7">
      <w:pPr>
        <w:rPr>
          <w:rFonts w:cs="Arial"/>
        </w:rPr>
      </w:pPr>
    </w:p>
    <w:p w14:paraId="6A9A07A9" w14:textId="77777777" w:rsidR="00B01EE7" w:rsidRPr="002879A7" w:rsidRDefault="00B01EE7" w:rsidP="00B01EE7">
      <w:pPr>
        <w:rPr>
          <w:rFonts w:cs="Arial"/>
        </w:rPr>
      </w:pPr>
    </w:p>
    <w:p w14:paraId="3224CE0A" w14:textId="77777777" w:rsidR="00B01EE7" w:rsidRPr="002879A7" w:rsidRDefault="00B01EE7" w:rsidP="00B01EE7">
      <w:pPr>
        <w:rPr>
          <w:rFonts w:cs="Arial"/>
        </w:rPr>
      </w:pPr>
    </w:p>
    <w:p w14:paraId="490121D6" w14:textId="77777777" w:rsidR="00B01EE7" w:rsidRPr="002879A7" w:rsidRDefault="00B01EE7" w:rsidP="00B01EE7">
      <w:pPr>
        <w:rPr>
          <w:rFonts w:cs="Arial"/>
        </w:rPr>
      </w:pPr>
    </w:p>
    <w:p w14:paraId="4B7BDE2A" w14:textId="77777777" w:rsidR="00B01EE7" w:rsidRPr="002879A7" w:rsidRDefault="00B01EE7" w:rsidP="00B01EE7">
      <w:pPr>
        <w:rPr>
          <w:rFonts w:cs="Arial"/>
        </w:rPr>
      </w:pPr>
    </w:p>
    <w:p w14:paraId="6A06DFC6" w14:textId="77777777" w:rsidR="00B01EE7" w:rsidRPr="002879A7" w:rsidRDefault="00B01EE7" w:rsidP="00B01EE7">
      <w:pPr>
        <w:rPr>
          <w:rFonts w:cs="Arial"/>
        </w:rPr>
      </w:pPr>
    </w:p>
    <w:p w14:paraId="24C3AC10" w14:textId="77777777" w:rsidR="00B01EE7" w:rsidRPr="002879A7" w:rsidRDefault="00B01EE7" w:rsidP="00B01EE7">
      <w:pPr>
        <w:rPr>
          <w:rFonts w:cs="Arial"/>
        </w:rPr>
      </w:pPr>
    </w:p>
    <w:p w14:paraId="01ACA254" w14:textId="77777777" w:rsidR="00B01EE7" w:rsidRPr="002879A7" w:rsidRDefault="00B01EE7" w:rsidP="00B01EE7">
      <w:pPr>
        <w:rPr>
          <w:rFonts w:cs="Arial"/>
        </w:rPr>
      </w:pPr>
    </w:p>
    <w:p w14:paraId="56DC330D" w14:textId="77777777" w:rsidR="00B01EE7" w:rsidRPr="002879A7" w:rsidRDefault="00B01EE7" w:rsidP="00B01EE7">
      <w:pPr>
        <w:rPr>
          <w:rFonts w:cs="Arial"/>
        </w:rPr>
      </w:pPr>
    </w:p>
    <w:p w14:paraId="589F5EF4" w14:textId="77777777" w:rsidR="00B01EE7" w:rsidRPr="002879A7" w:rsidRDefault="00B01EE7" w:rsidP="00B01EE7">
      <w:pPr>
        <w:rPr>
          <w:rFonts w:cs="Arial"/>
        </w:rPr>
      </w:pPr>
    </w:p>
    <w:p w14:paraId="750A9054" w14:textId="2F3F5C55" w:rsidR="00B01EE7" w:rsidRPr="002879A7" w:rsidRDefault="008115EF" w:rsidP="007C6F82">
      <w:pPr>
        <w:tabs>
          <w:tab w:val="left" w:pos="7263"/>
        </w:tabs>
        <w:rPr>
          <w:rFonts w:cs="Arial"/>
        </w:rPr>
      </w:pPr>
      <w:r>
        <w:rPr>
          <w:rFonts w:cs="Arial"/>
        </w:rPr>
        <w:tab/>
      </w:r>
    </w:p>
    <w:p w14:paraId="314FD09E" w14:textId="77777777" w:rsidR="00B01EE7" w:rsidRPr="002879A7" w:rsidRDefault="00B01EE7" w:rsidP="00B01EE7">
      <w:pPr>
        <w:rPr>
          <w:rFonts w:cs="Arial"/>
        </w:rPr>
      </w:pPr>
    </w:p>
    <w:p w14:paraId="5E02F8AA" w14:textId="77777777" w:rsidR="00B01EE7" w:rsidRPr="002879A7" w:rsidRDefault="00B01EE7" w:rsidP="00B01EE7">
      <w:pPr>
        <w:rPr>
          <w:rFonts w:cs="Arial"/>
        </w:rPr>
      </w:pPr>
    </w:p>
    <w:p w14:paraId="0AF69D37" w14:textId="77777777" w:rsidR="00220843" w:rsidRPr="00B01EE7" w:rsidRDefault="00220843" w:rsidP="00B01EE7"/>
    <w:sectPr w:rsidR="00220843" w:rsidRPr="00B01EE7" w:rsidSect="009E4578">
      <w:headerReference w:type="default" r:id="rId61"/>
      <w:footerReference w:type="default" r:id="rId62"/>
      <w:pgSz w:w="12240" w:h="15840" w:code="1"/>
      <w:pgMar w:top="1411" w:right="1411" w:bottom="1411" w:left="1411" w:header="720" w:footer="720"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Banerjee, Rajeswar" w:date="2024-12-04T08:12:00Z" w:initials="BR">
    <w:p w14:paraId="1520D025" w14:textId="77777777" w:rsidR="006A0F8B" w:rsidRDefault="006A0F8B" w:rsidP="006A0F8B">
      <w:pPr>
        <w:pStyle w:val="CommentText"/>
        <w:jc w:val="left"/>
      </w:pPr>
      <w:r>
        <w:rPr>
          <w:rStyle w:val="CommentReference"/>
        </w:rPr>
        <w:annotationRef/>
      </w:r>
      <w:r>
        <w:t>To update/ delete if necessary</w:t>
      </w:r>
    </w:p>
  </w:comment>
  <w:comment w:id="3" w:author="Banerjee, Rajeswar" w:date="2024-12-04T08:13:00Z" w:initials="BR">
    <w:p w14:paraId="3FCEC895" w14:textId="77777777" w:rsidR="006A0F8B" w:rsidRDefault="006A0F8B" w:rsidP="006A0F8B">
      <w:pPr>
        <w:pStyle w:val="CommentText"/>
        <w:jc w:val="left"/>
      </w:pPr>
      <w:r>
        <w:rPr>
          <w:rStyle w:val="CommentReference"/>
        </w:rPr>
        <w:annotationRef/>
      </w:r>
      <w:r>
        <w:t>Update, if necessary</w:t>
      </w:r>
    </w:p>
  </w:comment>
  <w:comment w:id="5" w:author="Banerjee, Rajeswar" w:date="2024-12-04T11:50:00Z" w:initials="RB">
    <w:p w14:paraId="3573A232" w14:textId="77777777" w:rsidR="00D25400" w:rsidRDefault="00D25400" w:rsidP="00D25400">
      <w:pPr>
        <w:pStyle w:val="CommentText"/>
        <w:jc w:val="left"/>
      </w:pPr>
      <w:r>
        <w:rPr>
          <w:rStyle w:val="CommentReference"/>
        </w:rPr>
        <w:annotationRef/>
      </w:r>
      <w:r>
        <w:t>Update in the end</w:t>
      </w:r>
    </w:p>
  </w:comment>
  <w:comment w:id="6" w:author="Banerjee, Rajeswar" w:date="2024-12-04T11:50:00Z" w:initials="RB">
    <w:p w14:paraId="3C1AA776" w14:textId="280BD546" w:rsidR="00D25400" w:rsidRDefault="00D25400" w:rsidP="00D25400">
      <w:pPr>
        <w:pStyle w:val="CommentText"/>
        <w:jc w:val="left"/>
      </w:pPr>
      <w:r>
        <w:rPr>
          <w:rStyle w:val="CommentReference"/>
        </w:rPr>
        <w:annotationRef/>
      </w:r>
      <w:r>
        <w:t>Update in the end</w:t>
      </w:r>
    </w:p>
  </w:comment>
  <w:comment w:id="8" w:author="Banerjee, Rajeswar" w:date="2024-12-04T08:14:00Z" w:initials="BR">
    <w:p w14:paraId="74CF2D3D" w14:textId="0C858498" w:rsidR="006A0F8B" w:rsidRDefault="006A0F8B" w:rsidP="006A0F8B">
      <w:pPr>
        <w:pStyle w:val="CommentText"/>
        <w:jc w:val="left"/>
      </w:pPr>
      <w:r>
        <w:rPr>
          <w:rStyle w:val="CommentReference"/>
        </w:rPr>
        <w:annotationRef/>
      </w:r>
      <w:r>
        <w:t>Update in the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520D025" w15:done="0"/>
  <w15:commentEx w15:paraId="3FCEC895" w15:done="0"/>
  <w15:commentEx w15:paraId="3573A232" w15:done="0"/>
  <w15:commentEx w15:paraId="3C1AA776" w15:done="0"/>
  <w15:commentEx w15:paraId="74CF2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8078B0" w16cex:dateUtc="2024-12-04T02:42:00Z"/>
  <w16cex:commentExtensible w16cex:durableId="477CB942" w16cex:dateUtc="2024-12-04T02:43:00Z"/>
  <w16cex:commentExtensible w16cex:durableId="5B30A726" w16cex:dateUtc="2024-12-04T06:20:00Z"/>
  <w16cex:commentExtensible w16cex:durableId="09D59510" w16cex:dateUtc="2024-12-04T06:20:00Z"/>
  <w16cex:commentExtensible w16cex:durableId="77CD8C0C" w16cex:dateUtc="2024-12-04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520D025" w16cid:durableId="298078B0"/>
  <w16cid:commentId w16cid:paraId="3FCEC895" w16cid:durableId="477CB942"/>
  <w16cid:commentId w16cid:paraId="3573A232" w16cid:durableId="5B30A726"/>
  <w16cid:commentId w16cid:paraId="3C1AA776" w16cid:durableId="09D59510"/>
  <w16cid:commentId w16cid:paraId="74CF2D3D" w16cid:durableId="77CD8C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60D2D" w14:textId="77777777" w:rsidR="002C0A8F" w:rsidRDefault="002C0A8F" w:rsidP="00FB5094">
      <w:r>
        <w:separator/>
      </w:r>
    </w:p>
    <w:p w14:paraId="47D45BAD" w14:textId="77777777" w:rsidR="002C0A8F" w:rsidRDefault="002C0A8F" w:rsidP="00FB5094"/>
  </w:endnote>
  <w:endnote w:type="continuationSeparator" w:id="0">
    <w:p w14:paraId="4CCAA441" w14:textId="77777777" w:rsidR="002C0A8F" w:rsidRDefault="002C0A8F" w:rsidP="00FB5094">
      <w:r>
        <w:continuationSeparator/>
      </w:r>
    </w:p>
    <w:p w14:paraId="150C2DEE" w14:textId="77777777" w:rsidR="002C0A8F" w:rsidRDefault="002C0A8F" w:rsidP="00FB5094"/>
  </w:endnote>
  <w:endnote w:type="continuationNotice" w:id="1">
    <w:p w14:paraId="3F16F558" w14:textId="77777777" w:rsidR="002C0A8F" w:rsidRDefault="002C0A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default"/>
  </w:font>
  <w:font w:name="Helvetica 35 Thin">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Warnock Pro">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Narrow">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0BC35" w14:textId="77777777" w:rsidR="00B01EE7" w:rsidRPr="00471D4C" w:rsidRDefault="00B01EE7" w:rsidP="005617FF">
    <w:pPr>
      <w:pStyle w:val="Footer"/>
      <w:jc w:val="right"/>
      <w:rPr>
        <w:rFonts w:ascii="Arial" w:hAnsi="Arial" w:cs="Arial"/>
      </w:rPr>
    </w:pPr>
    <w:r w:rsidRPr="00471D4C">
      <w:rPr>
        <w:rFonts w:ascii="Arial" w:hAnsi="Arial" w:cs="Arial"/>
        <w:color w:val="002776" w:themeColor="accent1"/>
      </w:rPr>
      <w:t>Page</w:t>
    </w:r>
    <w:r w:rsidRPr="00471D4C">
      <w:rPr>
        <w:rFonts w:ascii="Arial" w:hAnsi="Arial" w:cs="Arial"/>
      </w:rPr>
      <w:t xml:space="preserve"> </w:t>
    </w:r>
    <w:r w:rsidRPr="00471D4C">
      <w:rPr>
        <w:rFonts w:ascii="Arial" w:hAnsi="Arial" w:cs="Arial"/>
        <w:color w:val="95B3D7"/>
      </w:rPr>
      <w:t xml:space="preserve">| </w:t>
    </w:r>
    <w:r w:rsidRPr="00471D4C">
      <w:rPr>
        <w:rFonts w:ascii="Arial" w:hAnsi="Arial" w:cs="Arial"/>
        <w:color w:val="002776" w:themeColor="accent1"/>
      </w:rPr>
      <w:fldChar w:fldCharType="begin"/>
    </w:r>
    <w:r w:rsidRPr="00471D4C">
      <w:rPr>
        <w:rFonts w:ascii="Arial" w:hAnsi="Arial" w:cs="Arial"/>
        <w:color w:val="002776" w:themeColor="accent1"/>
      </w:rPr>
      <w:instrText xml:space="preserve"> PAGE   \* MERGEFORMAT </w:instrText>
    </w:r>
    <w:r w:rsidRPr="00471D4C">
      <w:rPr>
        <w:rFonts w:ascii="Arial" w:hAnsi="Arial" w:cs="Arial"/>
        <w:color w:val="002776" w:themeColor="accent1"/>
      </w:rPr>
      <w:fldChar w:fldCharType="separate"/>
    </w:r>
    <w:r w:rsidRPr="00471D4C">
      <w:rPr>
        <w:rFonts w:ascii="Arial" w:hAnsi="Arial" w:cs="Arial"/>
        <w:noProof/>
        <w:color w:val="002776" w:themeColor="accent1"/>
      </w:rPr>
      <w:t>4</w:t>
    </w:r>
    <w:r w:rsidRPr="00471D4C">
      <w:rPr>
        <w:rFonts w:ascii="Arial" w:hAnsi="Arial" w:cs="Arial"/>
        <w:noProof/>
        <w:color w:val="002776" w:themeColor="accent1"/>
      </w:rPr>
      <w:fldChar w:fldCharType="end"/>
    </w:r>
  </w:p>
  <w:p w14:paraId="48E14ACB" w14:textId="77777777" w:rsidR="00B01EE7" w:rsidRDefault="00B01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DF712" w14:textId="175191F8" w:rsidR="00B01EE7" w:rsidRPr="00803817" w:rsidRDefault="00B01EE7" w:rsidP="00FB5094">
    <w:pPr>
      <w:pStyle w:val="Footer"/>
      <w:jc w:val="right"/>
      <w:rPr>
        <w:rFonts w:ascii="Arial" w:hAnsi="Arial" w:cs="Arial"/>
      </w:rPr>
    </w:pPr>
    <w:r w:rsidRPr="00803817">
      <w:rPr>
        <w:rFonts w:ascii="Arial" w:hAnsi="Arial" w:cs="Arial"/>
        <w:color w:val="002776" w:themeColor="accent1"/>
      </w:rPr>
      <w:t>Page</w:t>
    </w:r>
    <w:r w:rsidR="00803817">
      <w:rPr>
        <w:rFonts w:ascii="Arial" w:hAnsi="Arial" w:cs="Arial"/>
        <w:color w:val="002776" w:themeColor="accent1"/>
      </w:rPr>
      <w:t xml:space="preserve"> </w:t>
    </w:r>
    <w:r w:rsidRPr="00803817">
      <w:rPr>
        <w:rFonts w:ascii="Arial" w:hAnsi="Arial" w:cs="Arial"/>
        <w:color w:val="95B3D7"/>
      </w:rPr>
      <w:t>|</w:t>
    </w:r>
    <w:r w:rsidRPr="00803817">
      <w:rPr>
        <w:rFonts w:ascii="Arial" w:hAnsi="Arial" w:cs="Arial"/>
        <w:color w:val="002776" w:themeColor="accent1"/>
      </w:rPr>
      <w:fldChar w:fldCharType="begin"/>
    </w:r>
    <w:r w:rsidRPr="00803817">
      <w:rPr>
        <w:rFonts w:ascii="Arial" w:hAnsi="Arial" w:cs="Arial"/>
        <w:color w:val="002776" w:themeColor="accent1"/>
      </w:rPr>
      <w:instrText xml:space="preserve"> PAGE   \* MERGEFORMAT </w:instrText>
    </w:r>
    <w:r w:rsidRPr="00803817">
      <w:rPr>
        <w:rFonts w:ascii="Arial" w:hAnsi="Arial" w:cs="Arial"/>
        <w:color w:val="002776" w:themeColor="accent1"/>
      </w:rPr>
      <w:fldChar w:fldCharType="separate"/>
    </w:r>
    <w:r w:rsidRPr="00803817">
      <w:rPr>
        <w:rFonts w:ascii="Arial" w:hAnsi="Arial" w:cs="Arial"/>
        <w:noProof/>
        <w:color w:val="002776" w:themeColor="accent1"/>
      </w:rPr>
      <w:t>17</w:t>
    </w:r>
    <w:r w:rsidRPr="00803817">
      <w:rPr>
        <w:rFonts w:ascii="Arial" w:hAnsi="Arial" w:cs="Arial"/>
        <w:noProof/>
        <w:color w:val="002776" w:themeColor="accen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5891443"/>
      <w:docPartObj>
        <w:docPartGallery w:val="Page Numbers (Bottom of Page)"/>
        <w:docPartUnique/>
      </w:docPartObj>
    </w:sdtPr>
    <w:sdtEndPr>
      <w:rPr>
        <w:noProof/>
      </w:rPr>
    </w:sdtEndPr>
    <w:sdtContent>
      <w:p w14:paraId="42C46766" w14:textId="03E67552" w:rsidR="00657FC4" w:rsidRDefault="00657F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DD1A44" w14:textId="6145932B" w:rsidR="005314D6" w:rsidRPr="00803817" w:rsidRDefault="005314D6" w:rsidP="00FB5094">
    <w:pPr>
      <w:pStyle w:val="Footer"/>
      <w:jc w:val="right"/>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78C8E" w14:textId="5DE95A29" w:rsidR="00EB2EB3" w:rsidRPr="00AC76A4" w:rsidRDefault="00EB2EB3" w:rsidP="00FB5094">
    <w:pPr>
      <w:pStyle w:val="Footer"/>
      <w:jc w:val="right"/>
      <w:rPr>
        <w:rFonts w:ascii="Arial" w:hAnsi="Arial" w:cs="Arial"/>
      </w:rPr>
    </w:pPr>
    <w:r>
      <w:rPr>
        <w:noProof/>
        <w:lang w:eastAsia="en-US"/>
      </w:rPr>
      <mc:AlternateContent>
        <mc:Choice Requires="wps">
          <w:drawing>
            <wp:anchor distT="0" distB="0" distL="114300" distR="114300" simplePos="0" relativeHeight="251658241" behindDoc="0" locked="0" layoutInCell="1" allowOverlap="1" wp14:anchorId="77B73AD9" wp14:editId="4B599CCE">
              <wp:simplePos x="0" y="0"/>
              <wp:positionH relativeFrom="column">
                <wp:posOffset>-1087120</wp:posOffset>
              </wp:positionH>
              <wp:positionV relativeFrom="paragraph">
                <wp:posOffset>-1965325</wp:posOffset>
              </wp:positionV>
              <wp:extent cx="7963786" cy="2600325"/>
              <wp:effectExtent l="0" t="0" r="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3786" cy="2600325"/>
                      </a:xfrm>
                      <a:prstGeom prst="rect">
                        <a:avLst/>
                      </a:prstGeom>
                      <a:solidFill>
                        <a:schemeClr val="bg2">
                          <a:lumMod val="50000"/>
                        </a:schemeClr>
                      </a:solidFill>
                      <a:ln>
                        <a:noFill/>
                      </a:ln>
                    </wps:spPr>
                    <wps:txbx>
                      <w:txbxContent>
                        <w:p w14:paraId="5B8FCF23" w14:textId="65FBBF63" w:rsidR="00EB2EB3" w:rsidRPr="003E0F83" w:rsidRDefault="00EB2EB3" w:rsidP="00F94D8E">
                          <w:pPr>
                            <w:pStyle w:val="RearCoverAddress"/>
                            <w:rPr>
                              <w:rFonts w:cs="Arial"/>
                              <w:sz w:val="22"/>
                              <w:szCs w:val="22"/>
                              <w:lang w:val="fr-FR"/>
                            </w:rPr>
                          </w:pPr>
                          <w:r w:rsidRPr="003E0F83">
                            <w:rPr>
                              <w:rFonts w:cs="Arial"/>
                              <w:sz w:val="22"/>
                              <w:szCs w:val="22"/>
                              <w:lang w:val="fr-FR"/>
                            </w:rPr>
                            <w:t xml:space="preserve">Deloitte </w:t>
                          </w:r>
                          <w:r w:rsidR="008C6551" w:rsidRPr="003E0F83">
                            <w:rPr>
                              <w:rFonts w:cs="Arial"/>
                              <w:sz w:val="22"/>
                              <w:szCs w:val="22"/>
                              <w:lang w:val="fr-FR"/>
                            </w:rPr>
                            <w:t xml:space="preserve">&amp; Touche, </w:t>
                          </w:r>
                          <w:r w:rsidRPr="003E0F83">
                            <w:rPr>
                              <w:rFonts w:cs="Arial"/>
                              <w:sz w:val="22"/>
                              <w:szCs w:val="22"/>
                              <w:lang w:val="fr-FR"/>
                            </w:rPr>
                            <w:t xml:space="preserve">LLP </w:t>
                          </w:r>
                        </w:p>
                        <w:p w14:paraId="370A475C" w14:textId="77777777" w:rsidR="00EB2EB3" w:rsidRPr="003E0F83" w:rsidRDefault="00EB2EB3" w:rsidP="00F94D8E">
                          <w:pPr>
                            <w:pStyle w:val="RearCoverAddress"/>
                            <w:rPr>
                              <w:rFonts w:cs="Arial"/>
                              <w:sz w:val="22"/>
                              <w:szCs w:val="22"/>
                              <w:lang w:val="fr-FR"/>
                            </w:rPr>
                          </w:pPr>
                          <w:r w:rsidRPr="003E0F83">
                            <w:rPr>
                              <w:rFonts w:cs="Arial"/>
                              <w:sz w:val="22"/>
                              <w:szCs w:val="22"/>
                              <w:lang w:val="fr-FR"/>
                            </w:rPr>
                            <w:t>1919 N. Lynn Street</w:t>
                          </w:r>
                        </w:p>
                        <w:p w14:paraId="20605F81" w14:textId="77777777" w:rsidR="00EB2EB3" w:rsidRPr="003E0F83" w:rsidRDefault="00EB2EB3" w:rsidP="00F94D8E">
                          <w:pPr>
                            <w:pStyle w:val="RearCoverAddress"/>
                            <w:rPr>
                              <w:rFonts w:cs="Arial"/>
                              <w:sz w:val="22"/>
                              <w:szCs w:val="22"/>
                              <w:lang w:val="fr-FR"/>
                            </w:rPr>
                          </w:pPr>
                          <w:r w:rsidRPr="003E0F83">
                            <w:rPr>
                              <w:rFonts w:cs="Arial"/>
                              <w:sz w:val="22"/>
                              <w:szCs w:val="22"/>
                              <w:lang w:val="fr-FR"/>
                            </w:rPr>
                            <w:t>Arlington, VA 22209</w:t>
                          </w:r>
                        </w:p>
                        <w:p w14:paraId="2C3C8B7E" w14:textId="77777777" w:rsidR="00EB2EB3" w:rsidRPr="003E0F83" w:rsidRDefault="00EB2EB3" w:rsidP="00F94D8E">
                          <w:pPr>
                            <w:pStyle w:val="RearCoverAddress"/>
                            <w:rPr>
                              <w:rFonts w:cs="Arial"/>
                              <w:sz w:val="22"/>
                              <w:szCs w:val="22"/>
                              <w:lang w:val="fr-FR"/>
                            </w:rPr>
                          </w:pPr>
                          <w:r w:rsidRPr="003E0F83">
                            <w:rPr>
                              <w:rFonts w:cs="Arial"/>
                              <w:sz w:val="22"/>
                              <w:szCs w:val="22"/>
                              <w:lang w:val="fr-FR"/>
                            </w:rPr>
                            <w:t>Phone: +1 571 882 5000</w:t>
                          </w:r>
                        </w:p>
                        <w:p w14:paraId="29C01A05" w14:textId="77777777" w:rsidR="00EB2EB3" w:rsidRPr="003E0F83" w:rsidRDefault="00EB2EB3" w:rsidP="00F94D8E">
                          <w:pPr>
                            <w:pStyle w:val="RearCoverAddress"/>
                            <w:rPr>
                              <w:rFonts w:cs="Arial"/>
                              <w:sz w:val="22"/>
                              <w:szCs w:val="22"/>
                            </w:rPr>
                          </w:pPr>
                          <w:r w:rsidRPr="003E0F83">
                            <w:rPr>
                              <w:rFonts w:cs="Arial"/>
                              <w:sz w:val="22"/>
                              <w:szCs w:val="22"/>
                            </w:rPr>
                            <w:t>Fax: +1 571 882 5100</w:t>
                          </w:r>
                        </w:p>
                      </w:txbxContent>
                    </wps:txbx>
                    <wps:bodyPr rot="0" vert="horz" wrap="square" lIns="91440" tIns="64008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73AD9" id="_x0000_t202" coordsize="21600,21600" o:spt="202" path="m,l,21600r21600,l21600,xe">
              <v:stroke joinstyle="miter"/>
              <v:path gradientshapeok="t" o:connecttype="rect"/>
            </v:shapetype>
            <v:shape id="Text Box 10" o:spid="_x0000_s1029" type="#_x0000_t202" style="position:absolute;left:0;text-align:left;margin-left:-85.6pt;margin-top:-154.75pt;width:627.05pt;height:204.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" fillcolor="#197192 [1614]" stroked="f">
              <v:textbox inset=",50.4pt,,0">
                <w:txbxContent>
                  <w:p w14:paraId="5B8FCF23" w14:textId="65FBBF63" w:rsidR="00EB2EB3" w:rsidRPr="003E0F83" w:rsidRDefault="00EB2EB3" w:rsidP="00F94D8E">
                    <w:pPr>
                      <w:pStyle w:val="RearCoverAddress"/>
                      <w:rPr>
                        <w:rFonts w:cs="Arial"/>
                        <w:sz w:val="22"/>
                        <w:szCs w:val="22"/>
                        <w:lang w:val="fr-FR"/>
                      </w:rPr>
                    </w:pPr>
                    <w:r w:rsidRPr="003E0F83">
                      <w:rPr>
                        <w:rFonts w:cs="Arial"/>
                        <w:sz w:val="22"/>
                        <w:szCs w:val="22"/>
                        <w:lang w:val="fr-FR"/>
                      </w:rPr>
                      <w:t xml:space="preserve">Deloitte </w:t>
                    </w:r>
                    <w:r w:rsidR="008C6551" w:rsidRPr="003E0F83">
                      <w:rPr>
                        <w:rFonts w:cs="Arial"/>
                        <w:sz w:val="22"/>
                        <w:szCs w:val="22"/>
                        <w:lang w:val="fr-FR"/>
                      </w:rPr>
                      <w:t xml:space="preserve">&amp; Touche, </w:t>
                    </w:r>
                    <w:r w:rsidRPr="003E0F83">
                      <w:rPr>
                        <w:rFonts w:cs="Arial"/>
                        <w:sz w:val="22"/>
                        <w:szCs w:val="22"/>
                        <w:lang w:val="fr-FR"/>
                      </w:rPr>
                      <w:t xml:space="preserve">LLP </w:t>
                    </w:r>
                  </w:p>
                  <w:p w14:paraId="370A475C" w14:textId="77777777" w:rsidR="00EB2EB3" w:rsidRPr="003E0F83" w:rsidRDefault="00EB2EB3" w:rsidP="00F94D8E">
                    <w:pPr>
                      <w:pStyle w:val="RearCoverAddress"/>
                      <w:rPr>
                        <w:rFonts w:cs="Arial"/>
                        <w:sz w:val="22"/>
                        <w:szCs w:val="22"/>
                        <w:lang w:val="fr-FR"/>
                      </w:rPr>
                    </w:pPr>
                    <w:r w:rsidRPr="003E0F83">
                      <w:rPr>
                        <w:rFonts w:cs="Arial"/>
                        <w:sz w:val="22"/>
                        <w:szCs w:val="22"/>
                        <w:lang w:val="fr-FR"/>
                      </w:rPr>
                      <w:t>1919 N. Lynn Street</w:t>
                    </w:r>
                  </w:p>
                  <w:p w14:paraId="20605F81" w14:textId="77777777" w:rsidR="00EB2EB3" w:rsidRPr="003E0F83" w:rsidRDefault="00EB2EB3" w:rsidP="00F94D8E">
                    <w:pPr>
                      <w:pStyle w:val="RearCoverAddress"/>
                      <w:rPr>
                        <w:rFonts w:cs="Arial"/>
                        <w:sz w:val="22"/>
                        <w:szCs w:val="22"/>
                        <w:lang w:val="fr-FR"/>
                      </w:rPr>
                    </w:pPr>
                    <w:r w:rsidRPr="003E0F83">
                      <w:rPr>
                        <w:rFonts w:cs="Arial"/>
                        <w:sz w:val="22"/>
                        <w:szCs w:val="22"/>
                        <w:lang w:val="fr-FR"/>
                      </w:rPr>
                      <w:t>Arlington, VA 22209</w:t>
                    </w:r>
                  </w:p>
                  <w:p w14:paraId="2C3C8B7E" w14:textId="77777777" w:rsidR="00EB2EB3" w:rsidRPr="003E0F83" w:rsidRDefault="00EB2EB3" w:rsidP="00F94D8E">
                    <w:pPr>
                      <w:pStyle w:val="RearCoverAddress"/>
                      <w:rPr>
                        <w:rFonts w:cs="Arial"/>
                        <w:sz w:val="22"/>
                        <w:szCs w:val="22"/>
                        <w:lang w:val="fr-FR"/>
                      </w:rPr>
                    </w:pPr>
                    <w:r w:rsidRPr="003E0F83">
                      <w:rPr>
                        <w:rFonts w:cs="Arial"/>
                        <w:sz w:val="22"/>
                        <w:szCs w:val="22"/>
                        <w:lang w:val="fr-FR"/>
                      </w:rPr>
                      <w:t>Phone: +1 571 882 5000</w:t>
                    </w:r>
                  </w:p>
                  <w:p w14:paraId="29C01A05" w14:textId="77777777" w:rsidR="00EB2EB3" w:rsidRPr="003E0F83" w:rsidRDefault="00EB2EB3" w:rsidP="00F94D8E">
                    <w:pPr>
                      <w:pStyle w:val="RearCoverAddress"/>
                      <w:rPr>
                        <w:rFonts w:cs="Arial"/>
                        <w:sz w:val="22"/>
                        <w:szCs w:val="22"/>
                      </w:rPr>
                    </w:pPr>
                    <w:r w:rsidRPr="003E0F83">
                      <w:rPr>
                        <w:rFonts w:cs="Arial"/>
                        <w:sz w:val="22"/>
                        <w:szCs w:val="22"/>
                      </w:rPr>
                      <w:t>Fax: +1 571 882 5100</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E07218" w14:textId="77777777" w:rsidR="002C0A8F" w:rsidRDefault="002C0A8F" w:rsidP="00FB5094">
      <w:r>
        <w:separator/>
      </w:r>
    </w:p>
  </w:footnote>
  <w:footnote w:type="continuationSeparator" w:id="0">
    <w:p w14:paraId="5F374270" w14:textId="77777777" w:rsidR="002C0A8F" w:rsidRDefault="002C0A8F" w:rsidP="00FB5094">
      <w:r>
        <w:continuationSeparator/>
      </w:r>
    </w:p>
    <w:p w14:paraId="65FCAA63" w14:textId="77777777" w:rsidR="002C0A8F" w:rsidRDefault="002C0A8F" w:rsidP="00FB5094"/>
  </w:footnote>
  <w:footnote w:type="continuationNotice" w:id="1">
    <w:p w14:paraId="0556A3A6" w14:textId="77777777" w:rsidR="002C0A8F" w:rsidRDefault="002C0A8F"/>
  </w:footnote>
  <w:footnote w:id="2">
    <w:p w14:paraId="17AD095E" w14:textId="68FE6EC3" w:rsidR="00C93C1B" w:rsidRDefault="00C93C1B">
      <w:pPr>
        <w:pStyle w:val="FootnoteText"/>
      </w:pPr>
      <w:r>
        <w:rPr>
          <w:rStyle w:val="FootnoteReference"/>
        </w:rPr>
        <w:footnoteRef/>
      </w:r>
      <w:r>
        <w:t xml:space="preserve"> </w:t>
      </w:r>
      <w:r w:rsidR="00A32591">
        <w:t xml:space="preserve">Source: </w:t>
      </w:r>
      <w:r w:rsidRPr="000C5617">
        <w:rPr>
          <w:sz w:val="16"/>
          <w:szCs w:val="16"/>
        </w:rPr>
        <w:t>BPDB Annual Report 2022-23 (https://bpdb.gov.bd/site/page/c4161d54-5b85-4917-a8d2-68a2d1b26dd4/Monthly-Annual-Report)</w:t>
      </w:r>
    </w:p>
  </w:footnote>
  <w:footnote w:id="3">
    <w:p w14:paraId="4D114DBC" w14:textId="20EB8027" w:rsidR="00A32591" w:rsidRDefault="00A32591">
      <w:pPr>
        <w:pStyle w:val="FootnoteText"/>
      </w:pPr>
      <w:r>
        <w:rPr>
          <w:rStyle w:val="FootnoteReference"/>
        </w:rPr>
        <w:footnoteRef/>
      </w:r>
      <w:r>
        <w:t xml:space="preserve"> Source: </w:t>
      </w:r>
      <w:r w:rsidRPr="0059570D">
        <w:rPr>
          <w:sz w:val="16"/>
          <w:szCs w:val="16"/>
        </w:rPr>
        <w:t>Bhutan Energy Data Directory 2022 (https://www.moenr.gov.bt/wp-content/uploads/2018/11/Final-copy-of-BEED-2022.pdf)</w:t>
      </w:r>
    </w:p>
  </w:footnote>
  <w:footnote w:id="4">
    <w:p w14:paraId="2EDE0FC7" w14:textId="5FEAE4CC" w:rsidR="00310C13" w:rsidRDefault="00310C13">
      <w:pPr>
        <w:pStyle w:val="FootnoteText"/>
      </w:pPr>
      <w:r>
        <w:rPr>
          <w:rStyle w:val="FootnoteReference"/>
        </w:rPr>
        <w:footnoteRef/>
      </w:r>
      <w:r>
        <w:t xml:space="preserve"> </w:t>
      </w:r>
      <w:r w:rsidRPr="00384F2F">
        <w:rPr>
          <w:sz w:val="16"/>
          <w:szCs w:val="16"/>
        </w:rPr>
        <w:t>NEA Annual report 2023</w:t>
      </w:r>
      <w:r w:rsidR="009C3ED7" w:rsidRPr="00384F2F">
        <w:rPr>
          <w:sz w:val="16"/>
          <w:szCs w:val="16"/>
        </w:rPr>
        <w:t>/20</w:t>
      </w:r>
      <w:r w:rsidRPr="00384F2F">
        <w:rPr>
          <w:sz w:val="16"/>
          <w:szCs w:val="16"/>
        </w:rPr>
        <w:t>24 (</w:t>
      </w:r>
      <w:r w:rsidR="00167333" w:rsidRPr="00384F2F">
        <w:rPr>
          <w:sz w:val="16"/>
          <w:szCs w:val="16"/>
        </w:rPr>
        <w:t>https://www.nea.org.np/admin/assets/uploads/supportive_docs/60896609.pdf)</w:t>
      </w:r>
    </w:p>
  </w:footnote>
  <w:footnote w:id="5">
    <w:p w14:paraId="3F9BC041" w14:textId="357743DC" w:rsidR="001F47D0" w:rsidRDefault="001F47D0" w:rsidP="00035412">
      <w:pPr>
        <w:pStyle w:val="FootnoteText"/>
        <w:spacing w:after="0"/>
        <w:jc w:val="left"/>
      </w:pPr>
      <w:r>
        <w:rPr>
          <w:rStyle w:val="FootnoteReference"/>
        </w:rPr>
        <w:footnoteRef/>
      </w:r>
      <w:r>
        <w:t xml:space="preserve"> </w:t>
      </w:r>
      <w:r w:rsidR="00035412" w:rsidRPr="00035412">
        <w:rPr>
          <w:sz w:val="16"/>
          <w:szCs w:val="16"/>
        </w:rPr>
        <w:t>Source: Annual Performance Report 2023 (https://www.parliament.lk/uploads/documents/paperspresented/1720521475057956.pdf)</w:t>
      </w:r>
    </w:p>
  </w:footnote>
  <w:footnote w:id="6">
    <w:p w14:paraId="26861495" w14:textId="77777777" w:rsidR="0047783E" w:rsidRPr="004C1508" w:rsidRDefault="0047783E" w:rsidP="00035412">
      <w:pPr>
        <w:pStyle w:val="FootnoteText"/>
        <w:spacing w:after="0"/>
      </w:pPr>
      <w:r>
        <w:rPr>
          <w:rStyle w:val="FootnoteReference"/>
        </w:rPr>
        <w:footnoteRef/>
      </w:r>
      <w:r>
        <w:t xml:space="preserve"> </w:t>
      </w:r>
      <w:r w:rsidRPr="004C1508">
        <w:rPr>
          <w:sz w:val="16"/>
          <w:szCs w:val="16"/>
        </w:rPr>
        <w:t>Source: Bangladesh Bank Annual Reports (https://www.bb.org.bd/en/index.php/publication/publictn/0/2)</w:t>
      </w:r>
    </w:p>
  </w:footnote>
  <w:footnote w:id="7">
    <w:p w14:paraId="00D06396" w14:textId="77777777" w:rsidR="0047783E" w:rsidRPr="004C1508" w:rsidRDefault="0047783E" w:rsidP="00035412">
      <w:pPr>
        <w:pStyle w:val="FootnoteText"/>
        <w:spacing w:after="0"/>
        <w:jc w:val="left"/>
      </w:pPr>
      <w:r>
        <w:rPr>
          <w:rStyle w:val="FootnoteReference"/>
        </w:rPr>
        <w:footnoteRef/>
      </w:r>
      <w:r>
        <w:t xml:space="preserve"> </w:t>
      </w:r>
      <w:r w:rsidRPr="004C1508">
        <w:rPr>
          <w:sz w:val="16"/>
          <w:szCs w:val="16"/>
        </w:rPr>
        <w:t xml:space="preserve">Source: </w:t>
      </w:r>
      <w:r>
        <w:rPr>
          <w:sz w:val="16"/>
          <w:szCs w:val="16"/>
        </w:rPr>
        <w:t xml:space="preserve">Report on </w:t>
      </w:r>
      <w:r w:rsidRPr="004C1508">
        <w:rPr>
          <w:sz w:val="16"/>
          <w:szCs w:val="16"/>
        </w:rPr>
        <w:t>Asian Development Outlook</w:t>
      </w:r>
      <w:r>
        <w:rPr>
          <w:sz w:val="16"/>
          <w:szCs w:val="16"/>
        </w:rPr>
        <w:t>,</w:t>
      </w:r>
      <w:r w:rsidRPr="004C1508">
        <w:rPr>
          <w:sz w:val="16"/>
          <w:szCs w:val="16"/>
        </w:rPr>
        <w:t xml:space="preserve"> September 2024 (https://www.adb.org/sites/default/files/publication/995536/asian-development-outlook-september-2024.pdf)</w:t>
      </w:r>
    </w:p>
  </w:footnote>
  <w:footnote w:id="8">
    <w:p w14:paraId="742C4F2B" w14:textId="49197831" w:rsidR="00CB4395" w:rsidRDefault="00CB4395">
      <w:pPr>
        <w:pStyle w:val="FootnoteText"/>
      </w:pPr>
      <w:r>
        <w:rPr>
          <w:rStyle w:val="FootnoteReference"/>
        </w:rPr>
        <w:footnoteRef/>
      </w:r>
      <w:r>
        <w:t xml:space="preserve"> </w:t>
      </w:r>
      <w:r w:rsidRPr="004C1508">
        <w:rPr>
          <w:sz w:val="16"/>
          <w:szCs w:val="16"/>
        </w:rPr>
        <w:t>Source: Bangladesh Bank Annual Reports (https://www.bb.org.bd/en/index.php/publication/publictn/0/2)</w:t>
      </w:r>
    </w:p>
  </w:footnote>
  <w:footnote w:id="9">
    <w:p w14:paraId="720BDBD3" w14:textId="2FBB8D53" w:rsidR="008F7D74" w:rsidRDefault="008F7D74" w:rsidP="005F0C47">
      <w:pPr>
        <w:pStyle w:val="FootnoteText"/>
        <w:spacing w:after="0"/>
      </w:pPr>
      <w:r>
        <w:rPr>
          <w:rStyle w:val="FootnoteReference"/>
        </w:rPr>
        <w:footnoteRef/>
      </w:r>
      <w:r>
        <w:t xml:space="preserve"> </w:t>
      </w:r>
      <w:r w:rsidR="005F0C47" w:rsidRPr="005F0C47">
        <w:rPr>
          <w:sz w:val="16"/>
          <w:szCs w:val="16"/>
        </w:rPr>
        <w:t>Source: https://www.nsb.gov.bt/publications/statistical-yearbook/</w:t>
      </w:r>
    </w:p>
  </w:footnote>
  <w:footnote w:id="10">
    <w:p w14:paraId="3AF5D741" w14:textId="32F213CB" w:rsidR="00982079" w:rsidRDefault="00982079" w:rsidP="00982079">
      <w:pPr>
        <w:pStyle w:val="FootnoteText"/>
        <w:spacing w:after="0"/>
      </w:pPr>
      <w:r>
        <w:rPr>
          <w:rStyle w:val="FootnoteReference"/>
        </w:rPr>
        <w:footnoteRef/>
      </w:r>
      <w:r>
        <w:t xml:space="preserve"> </w:t>
      </w:r>
      <w:r w:rsidRPr="00EE30C7">
        <w:rPr>
          <w:sz w:val="16"/>
          <w:szCs w:val="16"/>
        </w:rPr>
        <w:t>CEA Monthly Power Supply Reports</w:t>
      </w:r>
    </w:p>
  </w:footnote>
  <w:footnote w:id="11">
    <w:p w14:paraId="784FF015" w14:textId="2445D1BE" w:rsidR="0025636D" w:rsidRDefault="0025636D" w:rsidP="00982079">
      <w:pPr>
        <w:pStyle w:val="FootnoteText"/>
        <w:spacing w:after="0"/>
        <w:jc w:val="left"/>
      </w:pPr>
      <w:r>
        <w:rPr>
          <w:rStyle w:val="FootnoteReference"/>
        </w:rPr>
        <w:footnoteRef/>
      </w:r>
      <w:r>
        <w:t xml:space="preserve"> </w:t>
      </w:r>
      <w:r w:rsidR="006C09CA" w:rsidRPr="00982079">
        <w:rPr>
          <w:sz w:val="16"/>
          <w:szCs w:val="16"/>
        </w:rPr>
        <w:t xml:space="preserve">Ministry of Power and Energy- </w:t>
      </w:r>
      <w:r w:rsidRPr="00982079">
        <w:rPr>
          <w:sz w:val="16"/>
          <w:szCs w:val="16"/>
        </w:rPr>
        <w:t>Annual Performance Report 2023 (</w:t>
      </w:r>
      <w:r w:rsidR="008F1C05" w:rsidRPr="00982079">
        <w:rPr>
          <w:sz w:val="16"/>
          <w:szCs w:val="16"/>
        </w:rPr>
        <w:t>https://www.parliament.lk/uploads/documents/paperspresented/1720521475057956.pdf)</w:t>
      </w:r>
    </w:p>
  </w:footnote>
  <w:footnote w:id="12">
    <w:p w14:paraId="527BB332" w14:textId="77777777" w:rsidR="00775159" w:rsidRPr="004C1508" w:rsidRDefault="00775159" w:rsidP="00775159">
      <w:pPr>
        <w:pStyle w:val="FootnoteText"/>
        <w:jc w:val="left"/>
      </w:pPr>
      <w:r>
        <w:rPr>
          <w:rStyle w:val="FootnoteReference"/>
        </w:rPr>
        <w:footnoteRef/>
      </w:r>
      <w:r>
        <w:t xml:space="preserve"> </w:t>
      </w:r>
      <w:r w:rsidRPr="004C1508">
        <w:rPr>
          <w:sz w:val="16"/>
          <w:szCs w:val="16"/>
        </w:rPr>
        <w:t xml:space="preserve">Source: BPDB Annual report 2022-23 </w:t>
      </w:r>
    </w:p>
  </w:footnote>
  <w:footnote w:id="13">
    <w:p w14:paraId="072C587F" w14:textId="0FAC6497" w:rsidR="00740C40" w:rsidRDefault="00740C40" w:rsidP="00A8401F">
      <w:pPr>
        <w:pStyle w:val="FootnoteText"/>
        <w:spacing w:after="0"/>
      </w:pPr>
      <w:r>
        <w:rPr>
          <w:rStyle w:val="FootnoteReference"/>
        </w:rPr>
        <w:footnoteRef/>
      </w:r>
      <w:r>
        <w:t xml:space="preserve"> </w:t>
      </w:r>
      <w:r w:rsidR="00EC6EB7" w:rsidRPr="00357882">
        <w:rPr>
          <w:sz w:val="16"/>
          <w:szCs w:val="16"/>
        </w:rPr>
        <w:t xml:space="preserve">SAREP report on </w:t>
      </w:r>
      <w:r w:rsidR="003D0B5D" w:rsidRPr="00357882">
        <w:rPr>
          <w:sz w:val="16"/>
          <w:szCs w:val="16"/>
        </w:rPr>
        <w:t>Coordination of Policies, Legal and Regulatory Frameworks for Cross Border Electricity Trade of Bangladesh (</w:t>
      </w:r>
      <w:r w:rsidR="005E2E4E" w:rsidRPr="00357882">
        <w:rPr>
          <w:sz w:val="16"/>
          <w:szCs w:val="16"/>
        </w:rPr>
        <w:t>https://sarepenergy.net/wp-content/uploads/2023/11/Coordination-of-Policies-Legal-Regulatory-Frameworks-for-CBET-of-Bangladesh-by-S.K.-Munir-Ahmed-Director-Power-Cell-MPEMR.pdf)</w:t>
      </w:r>
    </w:p>
  </w:footnote>
  <w:footnote w:id="14">
    <w:p w14:paraId="179B7C05" w14:textId="77777777" w:rsidR="00677D85" w:rsidRDefault="00677D85" w:rsidP="006C78FE">
      <w:pPr>
        <w:pStyle w:val="FootnoteText"/>
        <w:spacing w:after="0"/>
      </w:pPr>
      <w:r>
        <w:rPr>
          <w:rStyle w:val="FootnoteReference"/>
        </w:rPr>
        <w:footnoteRef/>
      </w:r>
      <w:r>
        <w:t xml:space="preserve"> </w:t>
      </w:r>
      <w:r w:rsidRPr="00A8401F">
        <w:rPr>
          <w:sz w:val="16"/>
          <w:szCs w:val="16"/>
        </w:rPr>
        <w:t>CERC (https://cercind.gov.in/2023/market_monitoring/Annual-2022-23/Chapter-III/AR-22-23_Chapter-III.pdf)</w:t>
      </w:r>
    </w:p>
  </w:footnote>
  <w:footnote w:id="15">
    <w:p w14:paraId="3C3F39E6" w14:textId="3419B4D7" w:rsidR="003F70C8" w:rsidRDefault="003F70C8" w:rsidP="006C78FE">
      <w:pPr>
        <w:pStyle w:val="FootnoteText"/>
        <w:spacing w:after="0"/>
      </w:pPr>
      <w:r>
        <w:rPr>
          <w:rStyle w:val="FootnoteReference"/>
        </w:rPr>
        <w:footnoteRef/>
      </w:r>
      <w:r>
        <w:t xml:space="preserve"> </w:t>
      </w:r>
      <w:r w:rsidR="002545E6" w:rsidRPr="002545E6">
        <w:rPr>
          <w:sz w:val="16"/>
          <w:szCs w:val="16"/>
        </w:rPr>
        <w:t>SAREP report (https://sarepenergy.net/wp-content/uploads/2023/11/Sri-Lanka-Updates-on-Coordination-of-Policies-Legal-and-Regulatory-Framework-by-Mr.-Sugath-Dharmakeerthi-Additional-Secertary-MoP.pdf)</w:t>
      </w:r>
    </w:p>
  </w:footnote>
  <w:footnote w:id="16">
    <w:p w14:paraId="6FB84BC5" w14:textId="408C8933" w:rsidR="00CD6485" w:rsidRDefault="00CD6485" w:rsidP="006C78FE">
      <w:pPr>
        <w:pStyle w:val="FootnoteText"/>
        <w:spacing w:after="0"/>
      </w:pPr>
      <w:r>
        <w:rPr>
          <w:rStyle w:val="FootnoteReference"/>
        </w:rPr>
        <w:footnoteRef/>
      </w:r>
      <w:r w:rsidRPr="00A901E7">
        <w:rPr>
          <w:sz w:val="16"/>
          <w:szCs w:val="16"/>
        </w:rPr>
        <w:t xml:space="preserve"> </w:t>
      </w:r>
      <w:r w:rsidR="00A8401F" w:rsidRPr="00A901E7">
        <w:rPr>
          <w:sz w:val="16"/>
          <w:szCs w:val="16"/>
        </w:rPr>
        <w:t xml:space="preserve">Source: </w:t>
      </w:r>
      <w:hyperlink r:id="rId1" w:history="1">
        <w:r w:rsidR="00A901E7" w:rsidRPr="00A901E7">
          <w:rPr>
            <w:sz w:val="16"/>
            <w:szCs w:val="16"/>
          </w:rPr>
          <w:t>http://nvvn.co.in/wp-content/uploads/2020/11/Nomination-of-NVVN-as-SNA.pdf</w:t>
        </w:r>
      </w:hyperlink>
    </w:p>
  </w:footnote>
  <w:footnote w:id="17">
    <w:p w14:paraId="5521B7FF" w14:textId="77777777" w:rsidR="00677D85" w:rsidRPr="006E7170" w:rsidRDefault="00677D85" w:rsidP="00677D85">
      <w:pPr>
        <w:pStyle w:val="FootnoteText"/>
        <w:spacing w:after="0"/>
      </w:pPr>
      <w:r>
        <w:rPr>
          <w:rStyle w:val="FootnoteReference"/>
        </w:rPr>
        <w:footnoteRef/>
      </w:r>
      <w:r>
        <w:t xml:space="preserve"> </w:t>
      </w:r>
      <w:r w:rsidRPr="004C1508">
        <w:rPr>
          <w:sz w:val="16"/>
          <w:szCs w:val="16"/>
        </w:rPr>
        <w:t>SAARC member states are Afghanistan, Bangladesh, Bhutan, India, the Maldives, Nepal, Pakistan and Sri Lanka.</w:t>
      </w:r>
    </w:p>
  </w:footnote>
  <w:footnote w:id="18">
    <w:p w14:paraId="099C8CC1" w14:textId="77777777" w:rsidR="00677D85" w:rsidRPr="007D5114" w:rsidRDefault="00677D85" w:rsidP="00677D85">
      <w:pPr>
        <w:pStyle w:val="FootnoteText"/>
        <w:spacing w:after="0"/>
      </w:pPr>
      <w:r>
        <w:rPr>
          <w:rStyle w:val="FootnoteReference"/>
        </w:rPr>
        <w:footnoteRef/>
      </w:r>
      <w:r>
        <w:t xml:space="preserve"> </w:t>
      </w:r>
      <w:r w:rsidRPr="004C1508">
        <w:rPr>
          <w:sz w:val="16"/>
          <w:szCs w:val="16"/>
        </w:rPr>
        <w:t>BIMSTEC member states are Bangladesh, Bhutan, India, Myanmar, Nepal, Sri Lanka, and Thailand.</w:t>
      </w:r>
    </w:p>
  </w:footnote>
  <w:footnote w:id="19">
    <w:p w14:paraId="435FE11D" w14:textId="3E7E0917" w:rsidR="00230F37" w:rsidRDefault="00230F37">
      <w:pPr>
        <w:pStyle w:val="FootnoteText"/>
      </w:pPr>
      <w:r>
        <w:rPr>
          <w:rStyle w:val="FootnoteReference"/>
        </w:rPr>
        <w:footnoteRef/>
      </w:r>
      <w:r>
        <w:t xml:space="preserve"> </w:t>
      </w:r>
      <w:r w:rsidR="004C5FDF" w:rsidRPr="00B33439">
        <w:rPr>
          <w:sz w:val="16"/>
          <w:szCs w:val="16"/>
        </w:rPr>
        <w:t>Source: IEA report on multilateral power trading (https://www.iea.org/reports/establishing-multilateral-power-trade-in-asean)</w:t>
      </w:r>
    </w:p>
  </w:footnote>
  <w:footnote w:id="20">
    <w:p w14:paraId="451D85F6" w14:textId="39D229E5" w:rsidR="004C5D71" w:rsidRDefault="004C5D71">
      <w:pPr>
        <w:pStyle w:val="FootnoteText"/>
      </w:pPr>
      <w:r>
        <w:rPr>
          <w:rStyle w:val="FootnoteReference"/>
        </w:rPr>
        <w:footnoteRef/>
      </w:r>
      <w:r>
        <w:t xml:space="preserve"> </w:t>
      </w:r>
      <w:r w:rsidR="002463CC" w:rsidRPr="00210D25">
        <w:rPr>
          <w:sz w:val="16"/>
          <w:szCs w:val="16"/>
        </w:rPr>
        <w:t xml:space="preserve">Source: IEA report on multilateral models </w:t>
      </w:r>
      <w:r w:rsidR="00210D25" w:rsidRPr="00210D25">
        <w:rPr>
          <w:sz w:val="16"/>
          <w:szCs w:val="16"/>
        </w:rPr>
        <w:t>(https://www.iea.org/reports/establishing-multilateral-power-trade-in-asean)</w:t>
      </w:r>
    </w:p>
  </w:footnote>
  <w:footnote w:id="21">
    <w:p w14:paraId="62C2D079" w14:textId="11F53ED4" w:rsidR="00380F41" w:rsidRDefault="00380F41">
      <w:pPr>
        <w:pStyle w:val="FootnoteText"/>
      </w:pPr>
      <w:r w:rsidRPr="00331513">
        <w:rPr>
          <w:rStyle w:val="FootnoteReference"/>
          <w:sz w:val="16"/>
          <w:szCs w:val="16"/>
        </w:rPr>
        <w:footnoteRef/>
      </w:r>
      <w:r w:rsidRPr="00331513">
        <w:rPr>
          <w:sz w:val="16"/>
          <w:szCs w:val="16"/>
        </w:rPr>
        <w:t xml:space="preserve"> Source: Report on </w:t>
      </w:r>
      <w:r w:rsidR="00331513" w:rsidRPr="00331513">
        <w:rPr>
          <w:sz w:val="16"/>
          <w:szCs w:val="16"/>
        </w:rPr>
        <w:t>Establishing multilateral power trade in ASEAN (https://www.iea.org/reports/establishing-multilateral-power-trade-in-asean)</w:t>
      </w:r>
    </w:p>
  </w:footnote>
  <w:footnote w:id="22">
    <w:p w14:paraId="57F29534" w14:textId="249CB37E" w:rsidR="00992BDE" w:rsidRDefault="00992BDE">
      <w:pPr>
        <w:pStyle w:val="FootnoteText"/>
      </w:pPr>
      <w:r>
        <w:rPr>
          <w:rStyle w:val="FootnoteReference"/>
        </w:rPr>
        <w:footnoteRef/>
      </w:r>
      <w:r>
        <w:t xml:space="preserve"> </w:t>
      </w:r>
      <w:r w:rsidR="00ED30A8" w:rsidRPr="00AC62C3">
        <w:rPr>
          <w:sz w:val="16"/>
          <w:szCs w:val="16"/>
        </w:rPr>
        <w:t>Source: SAREP report on transition to trilateral and multilateral</w:t>
      </w:r>
      <w:r w:rsidR="00AC62C3" w:rsidRPr="00AC62C3">
        <w:rPr>
          <w:sz w:val="16"/>
          <w:szCs w:val="16"/>
        </w:rPr>
        <w:t xml:space="preserve"> </w:t>
      </w:r>
      <w:r w:rsidR="00AC62C3">
        <w:rPr>
          <w:sz w:val="16"/>
          <w:szCs w:val="16"/>
        </w:rPr>
        <w:t>p</w:t>
      </w:r>
      <w:r w:rsidR="00AC62C3" w:rsidRPr="00AC62C3">
        <w:rPr>
          <w:sz w:val="16"/>
          <w:szCs w:val="16"/>
        </w:rPr>
        <w:t xml:space="preserve">ower </w:t>
      </w:r>
      <w:r w:rsidR="00AC62C3">
        <w:rPr>
          <w:sz w:val="16"/>
          <w:szCs w:val="16"/>
        </w:rPr>
        <w:t>t</w:t>
      </w:r>
      <w:r w:rsidR="00AC62C3" w:rsidRPr="00AC62C3">
        <w:rPr>
          <w:sz w:val="16"/>
          <w:szCs w:val="16"/>
        </w:rPr>
        <w:t>rade in South Asia (https://sarepenergy.net/work/study-on-the-transition-to-trilateral-and-multilateral-power-trade-in-south-asia-irade-sari-37-2021/)</w:t>
      </w:r>
    </w:p>
  </w:footnote>
  <w:footnote w:id="23">
    <w:p w14:paraId="7B76E76C" w14:textId="003A35DA" w:rsidR="00CA05CF" w:rsidRDefault="00CA05CF" w:rsidP="00432341">
      <w:pPr>
        <w:pStyle w:val="FootnoteText"/>
        <w:jc w:val="left"/>
      </w:pPr>
      <w:r>
        <w:rPr>
          <w:rStyle w:val="FootnoteReference"/>
        </w:rPr>
        <w:footnoteRef/>
      </w:r>
      <w:r w:rsidRPr="00432341">
        <w:rPr>
          <w:sz w:val="16"/>
          <w:szCs w:val="16"/>
        </w:rPr>
        <w:t xml:space="preserve"> </w:t>
      </w:r>
      <w:r w:rsidR="00015177">
        <w:rPr>
          <w:sz w:val="16"/>
          <w:szCs w:val="16"/>
        </w:rPr>
        <w:t xml:space="preserve">Source: USAID/ </w:t>
      </w:r>
      <w:proofErr w:type="spellStart"/>
      <w:r w:rsidR="007D02BC" w:rsidRPr="00432341">
        <w:rPr>
          <w:sz w:val="16"/>
          <w:szCs w:val="16"/>
        </w:rPr>
        <w:t>IRAD</w:t>
      </w:r>
      <w:r w:rsidR="00432341" w:rsidRPr="00432341">
        <w:rPr>
          <w:sz w:val="16"/>
          <w:szCs w:val="16"/>
        </w:rPr>
        <w:t>e</w:t>
      </w:r>
      <w:proofErr w:type="spellEnd"/>
      <w:r w:rsidR="00432341" w:rsidRPr="00432341">
        <w:rPr>
          <w:sz w:val="16"/>
          <w:szCs w:val="16"/>
        </w:rPr>
        <w:t xml:space="preserve"> </w:t>
      </w:r>
      <w:r w:rsidR="00015177">
        <w:rPr>
          <w:sz w:val="16"/>
          <w:szCs w:val="16"/>
        </w:rPr>
        <w:t xml:space="preserve">report </w:t>
      </w:r>
      <w:r w:rsidR="00432341" w:rsidRPr="00432341">
        <w:rPr>
          <w:sz w:val="16"/>
          <w:szCs w:val="16"/>
        </w:rPr>
        <w:t>(https://irade.org/Transition%20to%20Trilateral%20&amp;%20Multilateral%20Trade_Final%20Report%20Print%20Reday%20Version.pdf)</w:t>
      </w:r>
    </w:p>
  </w:footnote>
  <w:footnote w:id="24">
    <w:p w14:paraId="318312A4" w14:textId="1A1B42B9" w:rsidR="00FA1321" w:rsidRDefault="00FA1321" w:rsidP="0029014B">
      <w:pPr>
        <w:pStyle w:val="FootnoteText"/>
        <w:jc w:val="left"/>
      </w:pPr>
      <w:r>
        <w:rPr>
          <w:rStyle w:val="FootnoteReference"/>
        </w:rPr>
        <w:footnoteRef/>
      </w:r>
      <w:r>
        <w:t xml:space="preserve"> </w:t>
      </w:r>
      <w:r w:rsidRPr="0029014B">
        <w:rPr>
          <w:sz w:val="16"/>
          <w:szCs w:val="16"/>
        </w:rPr>
        <w:t xml:space="preserve">Source: </w:t>
      </w:r>
      <w:proofErr w:type="spellStart"/>
      <w:r w:rsidR="0029014B" w:rsidRPr="0029014B">
        <w:rPr>
          <w:sz w:val="16"/>
          <w:szCs w:val="16"/>
        </w:rPr>
        <w:t>Pentalateral</w:t>
      </w:r>
      <w:proofErr w:type="spellEnd"/>
      <w:r w:rsidR="0029014B" w:rsidRPr="0029014B">
        <w:rPr>
          <w:sz w:val="16"/>
          <w:szCs w:val="16"/>
        </w:rPr>
        <w:t xml:space="preserve"> Energy Forum: Generation Adequacy Assessment</w:t>
      </w:r>
      <w:r w:rsidR="0029014B">
        <w:rPr>
          <w:sz w:val="16"/>
          <w:szCs w:val="16"/>
        </w:rPr>
        <w:t xml:space="preserve"> Report 2020</w:t>
      </w:r>
      <w:r w:rsidR="00072AB1" w:rsidRPr="0029014B">
        <w:rPr>
          <w:sz w:val="16"/>
          <w:szCs w:val="16"/>
        </w:rPr>
        <w:t xml:space="preserve"> (https://www.swissgrid.ch/dam/swissgrid/about-us/newsroom/newsfeed/2020/2020-PLEF-GAA-3-0-report.pdf)</w:t>
      </w:r>
    </w:p>
  </w:footnote>
  <w:footnote w:id="25">
    <w:p w14:paraId="1789080C" w14:textId="7E0221C4" w:rsidR="00EE3B61" w:rsidRDefault="00EE3B61">
      <w:pPr>
        <w:pStyle w:val="FootnoteText"/>
      </w:pPr>
      <w:r>
        <w:rPr>
          <w:rStyle w:val="FootnoteReference"/>
        </w:rPr>
        <w:footnoteRef/>
      </w:r>
      <w:r>
        <w:t xml:space="preserve"> </w:t>
      </w:r>
      <w:r w:rsidRPr="00BB501D">
        <w:rPr>
          <w:sz w:val="16"/>
          <w:szCs w:val="16"/>
        </w:rPr>
        <w:t>Source: IEA (</w:t>
      </w:r>
      <w:r w:rsidR="00BB501D" w:rsidRPr="00BB501D">
        <w:rPr>
          <w:sz w:val="16"/>
          <w:szCs w:val="16"/>
        </w:rPr>
        <w:t>https://www.iea.org/reports/institutional-architecture-for-regional-power-system-integration)</w:t>
      </w:r>
    </w:p>
  </w:footnote>
  <w:footnote w:id="26">
    <w:p w14:paraId="7AD8EF90" w14:textId="3E19021A" w:rsidR="005B6186" w:rsidRDefault="005B6186" w:rsidP="00D77057">
      <w:pPr>
        <w:pStyle w:val="FootnoteText"/>
        <w:spacing w:after="0"/>
      </w:pPr>
      <w:r>
        <w:rPr>
          <w:rStyle w:val="FootnoteReference"/>
        </w:rPr>
        <w:footnoteRef/>
      </w:r>
      <w:r>
        <w:t xml:space="preserve"> </w:t>
      </w:r>
      <w:r w:rsidRPr="004104A4">
        <w:rPr>
          <w:sz w:val="16"/>
          <w:szCs w:val="16"/>
        </w:rPr>
        <w:t xml:space="preserve">Source: </w:t>
      </w:r>
      <w:r w:rsidR="004104A4" w:rsidRPr="004104A4">
        <w:rPr>
          <w:sz w:val="16"/>
          <w:szCs w:val="16"/>
        </w:rPr>
        <w:t>IEA report on Institutional Architecture for Regional Power System Integration (https://www.iea.org/reports/institutional-architecture-for-regional-power-system-integration)</w:t>
      </w:r>
    </w:p>
  </w:footnote>
  <w:footnote w:id="27">
    <w:p w14:paraId="353E8097" w14:textId="46910840" w:rsidR="00993A03" w:rsidRDefault="00993A03" w:rsidP="00D77057">
      <w:pPr>
        <w:pStyle w:val="FootnoteText"/>
        <w:spacing w:after="0"/>
      </w:pPr>
      <w:r>
        <w:rPr>
          <w:rStyle w:val="FootnoteReference"/>
        </w:rPr>
        <w:footnoteRef/>
      </w:r>
      <w:r>
        <w:t xml:space="preserve"> </w:t>
      </w:r>
      <w:r w:rsidR="00D77057" w:rsidRPr="00D77057">
        <w:rPr>
          <w:sz w:val="16"/>
          <w:szCs w:val="16"/>
        </w:rPr>
        <w:t>Source: SAREP Website (https://sarepenergy.net/events/workshop-on-international-best-practice-on-business-and-financial-models-for-developing-cross-border-electricity-transmission-infrastructure/)</w:t>
      </w:r>
    </w:p>
  </w:footnote>
  <w:footnote w:id="28">
    <w:p w14:paraId="3B4BE6F9" w14:textId="43C4B7DE" w:rsidR="00C1670B" w:rsidRDefault="00C1670B">
      <w:pPr>
        <w:pStyle w:val="FootnoteText"/>
      </w:pPr>
      <w:r>
        <w:rPr>
          <w:rStyle w:val="FootnoteReference"/>
        </w:rPr>
        <w:footnoteRef/>
      </w:r>
      <w:r>
        <w:t xml:space="preserve"> </w:t>
      </w:r>
      <w:r w:rsidR="00FD45BF" w:rsidRPr="00FD45BF">
        <w:rPr>
          <w:sz w:val="16"/>
          <w:szCs w:val="16"/>
        </w:rPr>
        <w:t>Source: IEA (https://www.iea.org/reports/establishing-multilateral-power-trade-in-asean)</w:t>
      </w:r>
    </w:p>
  </w:footnote>
  <w:footnote w:id="29">
    <w:p w14:paraId="5FDD2F1E" w14:textId="22050288" w:rsidR="005F56A6" w:rsidRDefault="005F56A6" w:rsidP="005F56A6">
      <w:pPr>
        <w:pStyle w:val="FootnoteText"/>
        <w:jc w:val="left"/>
      </w:pPr>
      <w:r>
        <w:rPr>
          <w:rStyle w:val="FootnoteReference"/>
        </w:rPr>
        <w:footnoteRef/>
      </w:r>
      <w:r>
        <w:t xml:space="preserve"> </w:t>
      </w:r>
      <w:r w:rsidRPr="005F56A6">
        <w:rPr>
          <w:sz w:val="16"/>
          <w:szCs w:val="16"/>
        </w:rPr>
        <w:t>Source: SAREP (https://sarepenergy.net/wp-content/uploads/2022/07/Presentation_on_Draft_Interim_Findings_of_the_TF-1_Study.pdf)</w:t>
      </w:r>
    </w:p>
  </w:footnote>
  <w:footnote w:id="30">
    <w:p w14:paraId="25E01838" w14:textId="736F98B1" w:rsidR="00BF7B4B" w:rsidRDefault="00BF7B4B" w:rsidP="00116C72">
      <w:pPr>
        <w:pStyle w:val="FootnoteText"/>
        <w:spacing w:after="0"/>
        <w:jc w:val="left"/>
      </w:pPr>
      <w:r>
        <w:rPr>
          <w:rStyle w:val="FootnoteReference"/>
        </w:rPr>
        <w:footnoteRef/>
      </w:r>
      <w:r>
        <w:t xml:space="preserve"> </w:t>
      </w:r>
      <w:r w:rsidR="00D704E5" w:rsidRPr="00D704E5">
        <w:rPr>
          <w:sz w:val="16"/>
          <w:szCs w:val="16"/>
        </w:rPr>
        <w:t>Source: Nord Pool (https://www.nordpoolgroup.com/en/message-center-container/newsroom/exchange-message-list/2024/q1/nord-pool-reports-robust-trading-figures-for-2023/)</w:t>
      </w:r>
    </w:p>
  </w:footnote>
  <w:footnote w:id="31">
    <w:p w14:paraId="39ED3B8A" w14:textId="02F9FD86" w:rsidR="00CA1A1D" w:rsidRDefault="00CA1A1D" w:rsidP="00116C72">
      <w:pPr>
        <w:pStyle w:val="FootnoteText"/>
        <w:spacing w:after="0"/>
      </w:pPr>
      <w:r>
        <w:rPr>
          <w:rStyle w:val="FootnoteReference"/>
        </w:rPr>
        <w:footnoteRef/>
      </w:r>
      <w:r>
        <w:t xml:space="preserve"> </w:t>
      </w:r>
      <w:r w:rsidRPr="00116C72">
        <w:rPr>
          <w:sz w:val="16"/>
          <w:szCs w:val="16"/>
        </w:rPr>
        <w:t xml:space="preserve">Source: </w:t>
      </w:r>
      <w:r w:rsidR="000D6E24">
        <w:rPr>
          <w:sz w:val="16"/>
          <w:szCs w:val="16"/>
        </w:rPr>
        <w:t>Eur</w:t>
      </w:r>
      <w:r w:rsidR="002D1B0C">
        <w:rPr>
          <w:sz w:val="16"/>
          <w:szCs w:val="16"/>
        </w:rPr>
        <w:t>opean Union</w:t>
      </w:r>
      <w:r w:rsidR="00116C72" w:rsidRPr="00116C72">
        <w:rPr>
          <w:sz w:val="16"/>
          <w:szCs w:val="16"/>
        </w:rPr>
        <w:t xml:space="preserve"> (</w:t>
      </w:r>
      <w:r w:rsidR="002D1B0C" w:rsidRPr="002D1B0C">
        <w:rPr>
          <w:sz w:val="16"/>
          <w:szCs w:val="16"/>
        </w:rPr>
        <w:t>https://energy.ec.europa.eu/topics/infrastructure/electricity-interconnection-targets_en</w:t>
      </w:r>
      <w:r w:rsidR="00116C72" w:rsidRPr="00116C72">
        <w:rPr>
          <w:sz w:val="16"/>
          <w:szCs w:val="16"/>
        </w:rPr>
        <w:t>)</w:t>
      </w:r>
    </w:p>
  </w:footnote>
  <w:footnote w:id="32">
    <w:p w14:paraId="30019010" w14:textId="4E64F912" w:rsidR="001D4D87" w:rsidRDefault="001D4D87">
      <w:pPr>
        <w:pStyle w:val="FootnoteText"/>
      </w:pPr>
      <w:r>
        <w:rPr>
          <w:rStyle w:val="FootnoteReference"/>
        </w:rPr>
        <w:footnoteRef/>
      </w:r>
      <w:r>
        <w:t xml:space="preserve"> </w:t>
      </w:r>
      <w:r w:rsidRPr="008457CA">
        <w:rPr>
          <w:sz w:val="16"/>
          <w:szCs w:val="16"/>
        </w:rPr>
        <w:t>The Nordic Council of Ministers is the official inter-governmental body for cooperation in the Nordic Region.</w:t>
      </w:r>
    </w:p>
  </w:footnote>
  <w:footnote w:id="33">
    <w:p w14:paraId="42B5D0BD" w14:textId="031A0C2C" w:rsidR="00B918A5" w:rsidRDefault="00B918A5" w:rsidP="00B918A5">
      <w:pPr>
        <w:pStyle w:val="FootnoteText"/>
        <w:jc w:val="left"/>
      </w:pPr>
      <w:r>
        <w:rPr>
          <w:rStyle w:val="FootnoteReference"/>
        </w:rPr>
        <w:footnoteRef/>
      </w:r>
      <w:r>
        <w:t xml:space="preserve"> </w:t>
      </w:r>
      <w:r w:rsidRPr="00B918A5">
        <w:rPr>
          <w:sz w:val="16"/>
          <w:szCs w:val="16"/>
        </w:rPr>
        <w:t>Source: IRENA (</w:t>
      </w:r>
      <w:r w:rsidRPr="00B918A5">
        <w:rPr>
          <w:sz w:val="16"/>
          <w:szCs w:val="16"/>
        </w:rPr>
        <w:t>https://www.irena.org/-/media/Files/IRENA/Agency/Publication/2019/Feb/IRENA_Innovative_ancillary_services_2019.pdf?la=en&amp;hash=F3D83E86922DEED7AA3DE3091F3E49460C9EC1A0</w:t>
      </w:r>
      <w:r w:rsidRPr="00B918A5">
        <w:rPr>
          <w:sz w:val="16"/>
          <w:szCs w:val="16"/>
        </w:rPr>
        <w:t>)</w:t>
      </w:r>
    </w:p>
  </w:footnote>
  <w:footnote w:id="34">
    <w:p w14:paraId="464DFA46" w14:textId="77777777" w:rsidR="006F15CA" w:rsidRDefault="006F15CA" w:rsidP="006F15CA">
      <w:pPr>
        <w:pStyle w:val="FootnoteText"/>
      </w:pPr>
      <w:r>
        <w:rPr>
          <w:rStyle w:val="FootnoteReference"/>
        </w:rPr>
        <w:footnoteRef/>
      </w:r>
      <w:r>
        <w:t xml:space="preserve"> Source: </w:t>
      </w:r>
      <w:r w:rsidRPr="008B15A5">
        <w:rPr>
          <w:rFonts w:cstheme="minorHAnsi"/>
        </w:rPr>
        <w:t>NEA Annual Reports, ADB Reports</w:t>
      </w:r>
    </w:p>
  </w:footnote>
  <w:footnote w:id="35">
    <w:p w14:paraId="38872680" w14:textId="77777777" w:rsidR="006F15CA" w:rsidRDefault="006F15CA" w:rsidP="006F15CA">
      <w:pPr>
        <w:pStyle w:val="FootnoteText"/>
        <w:spacing w:after="0"/>
        <w:jc w:val="left"/>
      </w:pPr>
      <w:r>
        <w:rPr>
          <w:rStyle w:val="FootnoteReference"/>
        </w:rPr>
        <w:footnoteRef/>
      </w:r>
      <w:r>
        <w:t xml:space="preserve"> Source: </w:t>
      </w:r>
      <w:r w:rsidRPr="008B15A5">
        <w:rPr>
          <w:rFonts w:cstheme="minorHAnsi"/>
        </w:rPr>
        <w:t>ORF Reports, ADB Reports,</w:t>
      </w:r>
      <w:r>
        <w:rPr>
          <w:rFonts w:cstheme="minorHAnsi"/>
        </w:rPr>
        <w:t xml:space="preserve"> </w:t>
      </w:r>
      <w:proofErr w:type="spellStart"/>
      <w:r>
        <w:rPr>
          <w:rFonts w:cstheme="minorHAnsi"/>
        </w:rPr>
        <w:t>MoP</w:t>
      </w:r>
      <w:proofErr w:type="spellEnd"/>
      <w:r>
        <w:rPr>
          <w:rFonts w:cstheme="minorHAnsi"/>
        </w:rPr>
        <w:t xml:space="preserve"> (</w:t>
      </w:r>
      <w:r w:rsidRPr="007C5B85">
        <w:rPr>
          <w:rFonts w:cstheme="minorHAnsi"/>
        </w:rPr>
        <w:t>https://powermin.gov.in/en/content/interconnection-neighbouring-countries#:~:text=A%20high%20capacity%20interconnection%20between,India%20to%20Comilla%20in%20Bangladesh.</w:t>
      </w:r>
      <w:r>
        <w:rPr>
          <w:rFonts w:cstheme="minorHAnsi"/>
        </w:rPr>
        <w:t>)</w:t>
      </w:r>
    </w:p>
  </w:footnote>
  <w:footnote w:id="36">
    <w:p w14:paraId="33DCBDFD" w14:textId="77777777" w:rsidR="006F15CA" w:rsidRDefault="006F15CA" w:rsidP="006F15CA">
      <w:pPr>
        <w:pStyle w:val="FootnoteText"/>
        <w:spacing w:after="0"/>
        <w:jc w:val="left"/>
      </w:pPr>
      <w:r>
        <w:rPr>
          <w:rStyle w:val="FootnoteReference"/>
        </w:rPr>
        <w:footnoteRef/>
      </w:r>
      <w:r>
        <w:t xml:space="preserve"> Source: IRADE report on CBET (</w:t>
      </w:r>
      <w:r w:rsidRPr="0009025F">
        <w:t>https://irade.org/Final%20report%20of%20study_NSB%20India.pdf</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0AF26" w14:textId="77777777" w:rsidR="00B01EE7" w:rsidRDefault="00B01EE7">
    <w:pPr>
      <w:pStyle w:val="Header"/>
    </w:pPr>
    <w:r>
      <w:rPr>
        <w:noProof/>
        <w:lang w:eastAsia="en-US"/>
      </w:rPr>
      <w:drawing>
        <wp:inline distT="0" distB="0" distL="0" distR="0" wp14:anchorId="13E197F2" wp14:editId="508EE160">
          <wp:extent cx="1760508" cy="33776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170" cy="346332"/>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60501" w14:textId="5C34C4D0" w:rsidR="00EB2EB3" w:rsidRPr="00E4255D" w:rsidRDefault="00EB2EB3" w:rsidP="00E6309D">
    <w:pPr>
      <w:pStyle w:val="Header"/>
    </w:pPr>
    <w:r>
      <w:rPr>
        <w:noProof/>
        <w:lang w:eastAsia="en-US"/>
      </w:rPr>
      <mc:AlternateContent>
        <mc:Choice Requires="wps">
          <w:drawing>
            <wp:anchor distT="0" distB="0" distL="114300" distR="114300" simplePos="0" relativeHeight="251658240" behindDoc="0" locked="0" layoutInCell="1" allowOverlap="1" wp14:anchorId="3ECE037E" wp14:editId="138A4DB1">
              <wp:simplePos x="0" y="0"/>
              <wp:positionH relativeFrom="page">
                <wp:align>left</wp:align>
              </wp:positionH>
              <wp:positionV relativeFrom="paragraph">
                <wp:posOffset>-449249</wp:posOffset>
              </wp:positionV>
              <wp:extent cx="7776376" cy="8091502"/>
              <wp:effectExtent l="0" t="0" r="0" b="508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6376" cy="8091502"/>
                      </a:xfrm>
                      <a:prstGeom prst="rect">
                        <a:avLst/>
                      </a:prstGeom>
                      <a:solidFill>
                        <a:schemeClr val="accent1"/>
                      </a:solidFill>
                      <a:ln>
                        <a:noFill/>
                      </a:ln>
                    </wps:spPr>
                    <wps:txbx>
                      <w:txbxContent>
                        <w:p w14:paraId="14E5CA65" w14:textId="77777777" w:rsidR="00EB2EB3" w:rsidRDefault="00EB2EB3" w:rsidP="00AB02B8"/>
                      </w:txbxContent>
                    </wps:txbx>
                    <wps:bodyPr rot="0" vert="horz" wrap="square" lIns="91440" tIns="4114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E037E" id="_x0000_t202" coordsize="21600,21600" o:spt="202" path="m,l,21600r21600,l21600,xe">
              <v:stroke joinstyle="miter"/>
              <v:path gradientshapeok="t" o:connecttype="rect"/>
            </v:shapetype>
            <v:shape id="Text Box 11" o:spid="_x0000_s1028" type="#_x0000_t202" style="position:absolute;left:0;text-align:left;margin-left:0;margin-top:-35.35pt;width:612.3pt;height:637.1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" fillcolor="#002776 [3204]" stroked="f">
              <v:textbox inset=",324pt">
                <w:txbxContent>
                  <w:p w14:paraId="14E5CA65" w14:textId="77777777" w:rsidR="00EB2EB3" w:rsidRDefault="00EB2EB3" w:rsidP="00AB02B8"/>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33A6DB48"/>
    <w:lvl w:ilvl="0">
      <w:start w:val="1"/>
      <w:numFmt w:val="bullet"/>
      <w:pStyle w:val="ListBullet"/>
      <w:lvlText w:val=""/>
      <w:lvlJc w:val="left"/>
      <w:pPr>
        <w:tabs>
          <w:tab w:val="num" w:pos="5760"/>
        </w:tabs>
        <w:ind w:left="5760" w:hanging="360"/>
      </w:pPr>
      <w:rPr>
        <w:rFonts w:ascii="Symbol" w:hAnsi="Symbol" w:hint="default"/>
      </w:rPr>
    </w:lvl>
  </w:abstractNum>
  <w:abstractNum w:abstractNumId="1" w15:restartNumberingAfterBreak="0">
    <w:nsid w:val="02B57CE7"/>
    <w:multiLevelType w:val="hybridMultilevel"/>
    <w:tmpl w:val="BA003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E385C"/>
    <w:multiLevelType w:val="hybridMultilevel"/>
    <w:tmpl w:val="AC2E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51813"/>
    <w:multiLevelType w:val="hybridMultilevel"/>
    <w:tmpl w:val="6E4A90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9806D2"/>
    <w:multiLevelType w:val="multilevel"/>
    <w:tmpl w:val="E1C4C8FC"/>
    <w:lvl w:ilvl="0">
      <w:start w:val="1"/>
      <w:numFmt w:val="decimal"/>
      <w:lvlText w:val="%1."/>
      <w:lvlJc w:val="left"/>
      <w:pPr>
        <w:ind w:left="360" w:hanging="360"/>
      </w:pPr>
    </w:lvl>
    <w:lvl w:ilvl="1">
      <w:start w:val="1"/>
      <w:numFmt w:val="decimal"/>
      <w:pStyle w:val="Heading2"/>
      <w:lvlText w:val="%1.%2"/>
      <w:lvlJc w:val="left"/>
      <w:pPr>
        <w:ind w:left="576" w:hanging="576"/>
      </w:pPr>
      <w:rPr>
        <w:b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013536D"/>
    <w:multiLevelType w:val="hybridMultilevel"/>
    <w:tmpl w:val="7ADA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F4724"/>
    <w:multiLevelType w:val="hybridMultilevel"/>
    <w:tmpl w:val="00923A90"/>
    <w:lvl w:ilvl="0" w:tplc="2228A248">
      <w:start w:val="1"/>
      <w:numFmt w:val="bullet"/>
      <w:lvlText w:val="•"/>
      <w:lvlJc w:val="left"/>
      <w:pPr>
        <w:tabs>
          <w:tab w:val="num" w:pos="720"/>
        </w:tabs>
        <w:ind w:left="720" w:hanging="360"/>
      </w:pPr>
      <w:rPr>
        <w:rFonts w:ascii="Arial" w:hAnsi="Arial" w:hint="default"/>
      </w:rPr>
    </w:lvl>
    <w:lvl w:ilvl="1" w:tplc="3B70C7CE" w:tentative="1">
      <w:start w:val="1"/>
      <w:numFmt w:val="bullet"/>
      <w:lvlText w:val="•"/>
      <w:lvlJc w:val="left"/>
      <w:pPr>
        <w:tabs>
          <w:tab w:val="num" w:pos="1440"/>
        </w:tabs>
        <w:ind w:left="1440" w:hanging="360"/>
      </w:pPr>
      <w:rPr>
        <w:rFonts w:ascii="Arial" w:hAnsi="Arial" w:hint="default"/>
      </w:rPr>
    </w:lvl>
    <w:lvl w:ilvl="2" w:tplc="E0FA6672" w:tentative="1">
      <w:start w:val="1"/>
      <w:numFmt w:val="bullet"/>
      <w:lvlText w:val="•"/>
      <w:lvlJc w:val="left"/>
      <w:pPr>
        <w:tabs>
          <w:tab w:val="num" w:pos="2160"/>
        </w:tabs>
        <w:ind w:left="2160" w:hanging="360"/>
      </w:pPr>
      <w:rPr>
        <w:rFonts w:ascii="Arial" w:hAnsi="Arial" w:hint="default"/>
      </w:rPr>
    </w:lvl>
    <w:lvl w:ilvl="3" w:tplc="9984E8D8" w:tentative="1">
      <w:start w:val="1"/>
      <w:numFmt w:val="bullet"/>
      <w:lvlText w:val="•"/>
      <w:lvlJc w:val="left"/>
      <w:pPr>
        <w:tabs>
          <w:tab w:val="num" w:pos="2880"/>
        </w:tabs>
        <w:ind w:left="2880" w:hanging="360"/>
      </w:pPr>
      <w:rPr>
        <w:rFonts w:ascii="Arial" w:hAnsi="Arial" w:hint="default"/>
      </w:rPr>
    </w:lvl>
    <w:lvl w:ilvl="4" w:tplc="428C6782" w:tentative="1">
      <w:start w:val="1"/>
      <w:numFmt w:val="bullet"/>
      <w:lvlText w:val="•"/>
      <w:lvlJc w:val="left"/>
      <w:pPr>
        <w:tabs>
          <w:tab w:val="num" w:pos="3600"/>
        </w:tabs>
        <w:ind w:left="3600" w:hanging="360"/>
      </w:pPr>
      <w:rPr>
        <w:rFonts w:ascii="Arial" w:hAnsi="Arial" w:hint="default"/>
      </w:rPr>
    </w:lvl>
    <w:lvl w:ilvl="5" w:tplc="49268AE4" w:tentative="1">
      <w:start w:val="1"/>
      <w:numFmt w:val="bullet"/>
      <w:lvlText w:val="•"/>
      <w:lvlJc w:val="left"/>
      <w:pPr>
        <w:tabs>
          <w:tab w:val="num" w:pos="4320"/>
        </w:tabs>
        <w:ind w:left="4320" w:hanging="360"/>
      </w:pPr>
      <w:rPr>
        <w:rFonts w:ascii="Arial" w:hAnsi="Arial" w:hint="default"/>
      </w:rPr>
    </w:lvl>
    <w:lvl w:ilvl="6" w:tplc="BEA07B42" w:tentative="1">
      <w:start w:val="1"/>
      <w:numFmt w:val="bullet"/>
      <w:lvlText w:val="•"/>
      <w:lvlJc w:val="left"/>
      <w:pPr>
        <w:tabs>
          <w:tab w:val="num" w:pos="5040"/>
        </w:tabs>
        <w:ind w:left="5040" w:hanging="360"/>
      </w:pPr>
      <w:rPr>
        <w:rFonts w:ascii="Arial" w:hAnsi="Arial" w:hint="default"/>
      </w:rPr>
    </w:lvl>
    <w:lvl w:ilvl="7" w:tplc="310059D2" w:tentative="1">
      <w:start w:val="1"/>
      <w:numFmt w:val="bullet"/>
      <w:lvlText w:val="•"/>
      <w:lvlJc w:val="left"/>
      <w:pPr>
        <w:tabs>
          <w:tab w:val="num" w:pos="5760"/>
        </w:tabs>
        <w:ind w:left="5760" w:hanging="360"/>
      </w:pPr>
      <w:rPr>
        <w:rFonts w:ascii="Arial" w:hAnsi="Arial" w:hint="default"/>
      </w:rPr>
    </w:lvl>
    <w:lvl w:ilvl="8" w:tplc="44643B0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44A19BC"/>
    <w:multiLevelType w:val="hybridMultilevel"/>
    <w:tmpl w:val="77F43758"/>
    <w:lvl w:ilvl="0" w:tplc="B1AC85F4">
      <w:start w:val="1"/>
      <w:numFmt w:val="bullet"/>
      <w:pStyle w:val="Bullets"/>
      <w:lvlText w:val=""/>
      <w:lvlJc w:val="left"/>
      <w:pPr>
        <w:tabs>
          <w:tab w:val="num" w:pos="360"/>
        </w:tabs>
        <w:ind w:left="360" w:hanging="360"/>
      </w:pPr>
      <w:rPr>
        <w:rFonts w:ascii="Wingdings" w:hAnsi="Wingdings" w:cs="Times New Roman" w:hint="default"/>
        <w:sz w:val="22"/>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5EC4306"/>
    <w:multiLevelType w:val="hybridMultilevel"/>
    <w:tmpl w:val="08B6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F366B6"/>
    <w:multiLevelType w:val="hybridMultilevel"/>
    <w:tmpl w:val="57EC8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4D75DF"/>
    <w:multiLevelType w:val="hybridMultilevel"/>
    <w:tmpl w:val="57BACED6"/>
    <w:lvl w:ilvl="0" w:tplc="A0D222AA">
      <w:start w:val="1"/>
      <w:numFmt w:val="bullet"/>
      <w:lvlText w:val="•"/>
      <w:lvlJc w:val="left"/>
      <w:pPr>
        <w:tabs>
          <w:tab w:val="num" w:pos="720"/>
        </w:tabs>
        <w:ind w:left="720" w:hanging="360"/>
      </w:pPr>
      <w:rPr>
        <w:rFonts w:ascii="Arial" w:hAnsi="Arial" w:hint="default"/>
      </w:rPr>
    </w:lvl>
    <w:lvl w:ilvl="1" w:tplc="3290252E">
      <w:start w:val="1"/>
      <w:numFmt w:val="lowerRoman"/>
      <w:lvlText w:val="%2)"/>
      <w:lvlJc w:val="right"/>
      <w:pPr>
        <w:tabs>
          <w:tab w:val="num" w:pos="1440"/>
        </w:tabs>
        <w:ind w:left="1440" w:hanging="360"/>
      </w:pPr>
    </w:lvl>
    <w:lvl w:ilvl="2" w:tplc="D51646F4" w:tentative="1">
      <w:start w:val="1"/>
      <w:numFmt w:val="bullet"/>
      <w:lvlText w:val="•"/>
      <w:lvlJc w:val="left"/>
      <w:pPr>
        <w:tabs>
          <w:tab w:val="num" w:pos="2160"/>
        </w:tabs>
        <w:ind w:left="2160" w:hanging="360"/>
      </w:pPr>
      <w:rPr>
        <w:rFonts w:ascii="Arial" w:hAnsi="Arial" w:hint="default"/>
      </w:rPr>
    </w:lvl>
    <w:lvl w:ilvl="3" w:tplc="785AA488" w:tentative="1">
      <w:start w:val="1"/>
      <w:numFmt w:val="bullet"/>
      <w:lvlText w:val="•"/>
      <w:lvlJc w:val="left"/>
      <w:pPr>
        <w:tabs>
          <w:tab w:val="num" w:pos="2880"/>
        </w:tabs>
        <w:ind w:left="2880" w:hanging="360"/>
      </w:pPr>
      <w:rPr>
        <w:rFonts w:ascii="Arial" w:hAnsi="Arial" w:hint="default"/>
      </w:rPr>
    </w:lvl>
    <w:lvl w:ilvl="4" w:tplc="8800FDFC" w:tentative="1">
      <w:start w:val="1"/>
      <w:numFmt w:val="bullet"/>
      <w:lvlText w:val="•"/>
      <w:lvlJc w:val="left"/>
      <w:pPr>
        <w:tabs>
          <w:tab w:val="num" w:pos="3600"/>
        </w:tabs>
        <w:ind w:left="3600" w:hanging="360"/>
      </w:pPr>
      <w:rPr>
        <w:rFonts w:ascii="Arial" w:hAnsi="Arial" w:hint="default"/>
      </w:rPr>
    </w:lvl>
    <w:lvl w:ilvl="5" w:tplc="576EA114" w:tentative="1">
      <w:start w:val="1"/>
      <w:numFmt w:val="bullet"/>
      <w:lvlText w:val="•"/>
      <w:lvlJc w:val="left"/>
      <w:pPr>
        <w:tabs>
          <w:tab w:val="num" w:pos="4320"/>
        </w:tabs>
        <w:ind w:left="4320" w:hanging="360"/>
      </w:pPr>
      <w:rPr>
        <w:rFonts w:ascii="Arial" w:hAnsi="Arial" w:hint="default"/>
      </w:rPr>
    </w:lvl>
    <w:lvl w:ilvl="6" w:tplc="1F4ACE0A" w:tentative="1">
      <w:start w:val="1"/>
      <w:numFmt w:val="bullet"/>
      <w:lvlText w:val="•"/>
      <w:lvlJc w:val="left"/>
      <w:pPr>
        <w:tabs>
          <w:tab w:val="num" w:pos="5040"/>
        </w:tabs>
        <w:ind w:left="5040" w:hanging="360"/>
      </w:pPr>
      <w:rPr>
        <w:rFonts w:ascii="Arial" w:hAnsi="Arial" w:hint="default"/>
      </w:rPr>
    </w:lvl>
    <w:lvl w:ilvl="7" w:tplc="D99CBACC" w:tentative="1">
      <w:start w:val="1"/>
      <w:numFmt w:val="bullet"/>
      <w:lvlText w:val="•"/>
      <w:lvlJc w:val="left"/>
      <w:pPr>
        <w:tabs>
          <w:tab w:val="num" w:pos="5760"/>
        </w:tabs>
        <w:ind w:left="5760" w:hanging="360"/>
      </w:pPr>
      <w:rPr>
        <w:rFonts w:ascii="Arial" w:hAnsi="Arial" w:hint="default"/>
      </w:rPr>
    </w:lvl>
    <w:lvl w:ilvl="8" w:tplc="CC6CD5D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1D68A1"/>
    <w:multiLevelType w:val="hybridMultilevel"/>
    <w:tmpl w:val="22E038D4"/>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F292901"/>
    <w:multiLevelType w:val="singleLevel"/>
    <w:tmpl w:val="F4620E72"/>
    <w:lvl w:ilvl="0">
      <w:start w:val="1"/>
      <w:numFmt w:val="bullet"/>
      <w:pStyle w:val="08Accomplishments"/>
      <w:lvlText w:val=""/>
      <w:lvlJc w:val="left"/>
      <w:pPr>
        <w:tabs>
          <w:tab w:val="num" w:pos="1872"/>
        </w:tabs>
        <w:ind w:left="1872" w:hanging="432"/>
      </w:pPr>
      <w:rPr>
        <w:rFonts w:ascii="Symbol" w:hAnsi="Symbol" w:hint="default"/>
        <w:sz w:val="24"/>
      </w:rPr>
    </w:lvl>
  </w:abstractNum>
  <w:abstractNum w:abstractNumId="13" w15:restartNumberingAfterBreak="0">
    <w:nsid w:val="1F384D8F"/>
    <w:multiLevelType w:val="hybridMultilevel"/>
    <w:tmpl w:val="55EA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E42B53"/>
    <w:multiLevelType w:val="hybridMultilevel"/>
    <w:tmpl w:val="6FF2F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CB38CD"/>
    <w:multiLevelType w:val="hybridMultilevel"/>
    <w:tmpl w:val="0B06657A"/>
    <w:lvl w:ilvl="0" w:tplc="0409000B">
      <w:start w:val="1"/>
      <w:numFmt w:val="bullet"/>
      <w:lvlText w:val=""/>
      <w:lvlJc w:val="left"/>
      <w:pPr>
        <w:ind w:left="720" w:hanging="360"/>
      </w:pPr>
      <w:rPr>
        <w:rFonts w:ascii="Wingdings" w:hAnsi="Wingdings" w:hint="default"/>
        <w:b/>
      </w:rPr>
    </w:lvl>
    <w:lvl w:ilvl="1" w:tplc="607C0072">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A764C6"/>
    <w:multiLevelType w:val="singleLevel"/>
    <w:tmpl w:val="57FCC510"/>
    <w:lvl w:ilvl="0">
      <w:start w:val="1"/>
      <w:numFmt w:val="bullet"/>
      <w:pStyle w:val="ListBullet3"/>
      <w:lvlText w:val="·"/>
      <w:lvlJc w:val="left"/>
      <w:pPr>
        <w:tabs>
          <w:tab w:val="num" w:pos="926"/>
        </w:tabs>
        <w:ind w:left="926" w:hanging="360"/>
      </w:pPr>
      <w:rPr>
        <w:rFonts w:ascii="Times New Roman" w:hAnsi="Times New Roman" w:hint="default"/>
      </w:rPr>
    </w:lvl>
  </w:abstractNum>
  <w:abstractNum w:abstractNumId="17" w15:restartNumberingAfterBreak="0">
    <w:nsid w:val="33224A89"/>
    <w:multiLevelType w:val="hybridMultilevel"/>
    <w:tmpl w:val="6FF2F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4D807D7"/>
    <w:multiLevelType w:val="hybridMultilevel"/>
    <w:tmpl w:val="8720808C"/>
    <w:lvl w:ilvl="0" w:tplc="9EF82674">
      <w:start w:val="1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455AFE"/>
    <w:multiLevelType w:val="multilevel"/>
    <w:tmpl w:val="A2368C24"/>
    <w:lvl w:ilvl="0">
      <w:start w:val="1"/>
      <w:numFmt w:val="bullet"/>
      <w:pStyle w:val="Bulletlevel1"/>
      <w:lvlText w:val=""/>
      <w:lvlJc w:val="left"/>
      <w:pPr>
        <w:tabs>
          <w:tab w:val="num" w:pos="360"/>
        </w:tabs>
        <w:ind w:left="360" w:hanging="358"/>
      </w:pPr>
      <w:rPr>
        <w:rFonts w:ascii="Symbol" w:hAnsi="Symbol" w:hint="default"/>
      </w:rPr>
    </w:lvl>
    <w:lvl w:ilvl="1">
      <w:start w:val="1"/>
      <w:numFmt w:val="bullet"/>
      <w:lvlText w:val="–"/>
      <w:lvlJc w:val="left"/>
      <w:pPr>
        <w:tabs>
          <w:tab w:val="num" w:pos="348"/>
        </w:tabs>
        <w:ind w:left="348" w:hanging="173"/>
      </w:pPr>
      <w:rPr>
        <w:rFonts w:ascii="Calibri" w:hAnsi="Calibri" w:hint="default"/>
      </w:rPr>
    </w:lvl>
    <w:lvl w:ilvl="2">
      <w:start w:val="1"/>
      <w:numFmt w:val="bullet"/>
      <w:lvlText w:val=""/>
      <w:lvlJc w:val="left"/>
      <w:pPr>
        <w:tabs>
          <w:tab w:val="num" w:pos="520"/>
        </w:tabs>
        <w:ind w:left="520" w:hanging="172"/>
      </w:pPr>
      <w:rPr>
        <w:rFonts w:ascii="Symbol" w:hAnsi="Symbol" w:hint="default"/>
      </w:rPr>
    </w:lvl>
    <w:lvl w:ilvl="3">
      <w:start w:val="1"/>
      <w:numFmt w:val="bullet"/>
      <w:lvlText w:val="–"/>
      <w:lvlJc w:val="left"/>
      <w:pPr>
        <w:tabs>
          <w:tab w:val="num" w:pos="693"/>
        </w:tabs>
        <w:ind w:left="693" w:hanging="173"/>
      </w:pPr>
      <w:rPr>
        <w:rFonts w:ascii="Calibri" w:hAnsi="Calibri" w:hint="default"/>
      </w:rPr>
    </w:lvl>
    <w:lvl w:ilvl="4">
      <w:start w:val="1"/>
      <w:numFmt w:val="bullet"/>
      <w:lvlText w:val=""/>
      <w:lvlJc w:val="left"/>
      <w:pPr>
        <w:tabs>
          <w:tab w:val="num" w:pos="866"/>
        </w:tabs>
        <w:ind w:left="866" w:hanging="173"/>
      </w:pPr>
      <w:rPr>
        <w:rFonts w:ascii="Symbol" w:hAnsi="Symbol" w:hint="default"/>
        <w:color w:val="auto"/>
      </w:rPr>
    </w:lvl>
    <w:lvl w:ilvl="5">
      <w:start w:val="1"/>
      <w:numFmt w:val="bullet"/>
      <w:lvlText w:val="–"/>
      <w:lvlJc w:val="left"/>
      <w:pPr>
        <w:tabs>
          <w:tab w:val="num" w:pos="1039"/>
        </w:tabs>
        <w:ind w:left="1039" w:hanging="173"/>
      </w:pPr>
      <w:rPr>
        <w:rFonts w:ascii="Calibri" w:hAnsi="Calibri" w:hint="default"/>
      </w:rPr>
    </w:lvl>
    <w:lvl w:ilvl="6">
      <w:start w:val="1"/>
      <w:numFmt w:val="bullet"/>
      <w:lvlText w:val=""/>
      <w:lvlJc w:val="left"/>
      <w:pPr>
        <w:tabs>
          <w:tab w:val="num" w:pos="1212"/>
        </w:tabs>
        <w:ind w:left="1212" w:hanging="173"/>
      </w:pPr>
      <w:rPr>
        <w:rFonts w:ascii="Symbol" w:hAnsi="Symbol" w:hint="default"/>
        <w:color w:val="auto"/>
      </w:rPr>
    </w:lvl>
    <w:lvl w:ilvl="7">
      <w:start w:val="1"/>
      <w:numFmt w:val="bullet"/>
      <w:lvlText w:val="–"/>
      <w:lvlJc w:val="left"/>
      <w:pPr>
        <w:tabs>
          <w:tab w:val="num" w:pos="1384"/>
        </w:tabs>
        <w:ind w:left="1384" w:hanging="172"/>
      </w:pPr>
      <w:rPr>
        <w:rFonts w:ascii="Calibri" w:hAnsi="Calibri" w:hint="default"/>
      </w:rPr>
    </w:lvl>
    <w:lvl w:ilvl="8">
      <w:start w:val="1"/>
      <w:numFmt w:val="bullet"/>
      <w:lvlText w:val=""/>
      <w:lvlJc w:val="left"/>
      <w:pPr>
        <w:tabs>
          <w:tab w:val="num" w:pos="1557"/>
        </w:tabs>
        <w:ind w:left="1557" w:hanging="173"/>
      </w:pPr>
      <w:rPr>
        <w:rFonts w:ascii="Symbol" w:hAnsi="Symbol" w:hint="default"/>
      </w:rPr>
    </w:lvl>
  </w:abstractNum>
  <w:abstractNum w:abstractNumId="20" w15:restartNumberingAfterBreak="0">
    <w:nsid w:val="455B09EE"/>
    <w:multiLevelType w:val="hybridMultilevel"/>
    <w:tmpl w:val="6682E518"/>
    <w:lvl w:ilvl="0" w:tplc="4D147472">
      <w:start w:val="2"/>
      <w:numFmt w:val="lowerRoman"/>
      <w:lvlText w:val="%1)"/>
      <w:lvlJc w:val="right"/>
      <w:pPr>
        <w:tabs>
          <w:tab w:val="num" w:pos="720"/>
        </w:tabs>
        <w:ind w:left="720" w:hanging="360"/>
      </w:pPr>
    </w:lvl>
    <w:lvl w:ilvl="1" w:tplc="AC721928">
      <w:start w:val="1"/>
      <w:numFmt w:val="lowerRoman"/>
      <w:lvlText w:val="%2)"/>
      <w:lvlJc w:val="right"/>
      <w:pPr>
        <w:tabs>
          <w:tab w:val="num" w:pos="1440"/>
        </w:tabs>
        <w:ind w:left="1440" w:hanging="360"/>
      </w:pPr>
    </w:lvl>
    <w:lvl w:ilvl="2" w:tplc="658AE862" w:tentative="1">
      <w:start w:val="1"/>
      <w:numFmt w:val="lowerRoman"/>
      <w:lvlText w:val="%3)"/>
      <w:lvlJc w:val="right"/>
      <w:pPr>
        <w:tabs>
          <w:tab w:val="num" w:pos="2160"/>
        </w:tabs>
        <w:ind w:left="2160" w:hanging="360"/>
      </w:pPr>
    </w:lvl>
    <w:lvl w:ilvl="3" w:tplc="BC8CD3BE" w:tentative="1">
      <w:start w:val="1"/>
      <w:numFmt w:val="lowerRoman"/>
      <w:lvlText w:val="%4)"/>
      <w:lvlJc w:val="right"/>
      <w:pPr>
        <w:tabs>
          <w:tab w:val="num" w:pos="2880"/>
        </w:tabs>
        <w:ind w:left="2880" w:hanging="360"/>
      </w:pPr>
    </w:lvl>
    <w:lvl w:ilvl="4" w:tplc="D79ACC2A" w:tentative="1">
      <w:start w:val="1"/>
      <w:numFmt w:val="lowerRoman"/>
      <w:lvlText w:val="%5)"/>
      <w:lvlJc w:val="right"/>
      <w:pPr>
        <w:tabs>
          <w:tab w:val="num" w:pos="3600"/>
        </w:tabs>
        <w:ind w:left="3600" w:hanging="360"/>
      </w:pPr>
    </w:lvl>
    <w:lvl w:ilvl="5" w:tplc="E9E6B0F2" w:tentative="1">
      <w:start w:val="1"/>
      <w:numFmt w:val="lowerRoman"/>
      <w:lvlText w:val="%6)"/>
      <w:lvlJc w:val="right"/>
      <w:pPr>
        <w:tabs>
          <w:tab w:val="num" w:pos="4320"/>
        </w:tabs>
        <w:ind w:left="4320" w:hanging="360"/>
      </w:pPr>
    </w:lvl>
    <w:lvl w:ilvl="6" w:tplc="C36EF772" w:tentative="1">
      <w:start w:val="1"/>
      <w:numFmt w:val="lowerRoman"/>
      <w:lvlText w:val="%7)"/>
      <w:lvlJc w:val="right"/>
      <w:pPr>
        <w:tabs>
          <w:tab w:val="num" w:pos="5040"/>
        </w:tabs>
        <w:ind w:left="5040" w:hanging="360"/>
      </w:pPr>
    </w:lvl>
    <w:lvl w:ilvl="7" w:tplc="5BECDABC" w:tentative="1">
      <w:start w:val="1"/>
      <w:numFmt w:val="lowerRoman"/>
      <w:lvlText w:val="%8)"/>
      <w:lvlJc w:val="right"/>
      <w:pPr>
        <w:tabs>
          <w:tab w:val="num" w:pos="5760"/>
        </w:tabs>
        <w:ind w:left="5760" w:hanging="360"/>
      </w:pPr>
    </w:lvl>
    <w:lvl w:ilvl="8" w:tplc="0960165A" w:tentative="1">
      <w:start w:val="1"/>
      <w:numFmt w:val="lowerRoman"/>
      <w:lvlText w:val="%9)"/>
      <w:lvlJc w:val="right"/>
      <w:pPr>
        <w:tabs>
          <w:tab w:val="num" w:pos="6480"/>
        </w:tabs>
        <w:ind w:left="6480" w:hanging="360"/>
      </w:pPr>
    </w:lvl>
  </w:abstractNum>
  <w:abstractNum w:abstractNumId="21" w15:restartNumberingAfterBreak="0">
    <w:nsid w:val="481B7B5F"/>
    <w:multiLevelType w:val="singleLevel"/>
    <w:tmpl w:val="28FCC028"/>
    <w:lvl w:ilvl="0">
      <w:start w:val="1"/>
      <w:numFmt w:val="bullet"/>
      <w:pStyle w:val="ListBullet2"/>
      <w:lvlText w:val=""/>
      <w:lvlJc w:val="left"/>
      <w:pPr>
        <w:tabs>
          <w:tab w:val="num" w:pos="643"/>
        </w:tabs>
        <w:ind w:left="643" w:hanging="360"/>
      </w:pPr>
      <w:rPr>
        <w:rFonts w:ascii="Symbol" w:hAnsi="Symbol" w:hint="default"/>
      </w:rPr>
    </w:lvl>
  </w:abstractNum>
  <w:abstractNum w:abstractNumId="22" w15:restartNumberingAfterBreak="0">
    <w:nsid w:val="48BD2EEE"/>
    <w:multiLevelType w:val="multilevel"/>
    <w:tmpl w:val="591872BA"/>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val="0"/>
        <w:i w:val="0"/>
        <w:caps w:val="0"/>
        <w:strike w:val="0"/>
        <w:dstrike w:val="0"/>
        <w:vanish w:val="0"/>
        <w:sz w:val="24"/>
        <w:vertAlign w:val="base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C5D5CC6"/>
    <w:multiLevelType w:val="hybridMultilevel"/>
    <w:tmpl w:val="B02C2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B017D"/>
    <w:multiLevelType w:val="hybridMultilevel"/>
    <w:tmpl w:val="07F47CB6"/>
    <w:lvl w:ilvl="0" w:tplc="294A7720">
      <w:start w:val="1"/>
      <w:numFmt w:val="bullet"/>
      <w:pStyle w:val="NRELBullet0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46C02B4"/>
    <w:multiLevelType w:val="hybridMultilevel"/>
    <w:tmpl w:val="36524914"/>
    <w:lvl w:ilvl="0" w:tplc="09F8E9DA">
      <w:start w:val="1"/>
      <w:numFmt w:val="bullet"/>
      <w:pStyle w:val="Callout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6C71B0"/>
    <w:multiLevelType w:val="hybridMultilevel"/>
    <w:tmpl w:val="96A84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700C3D"/>
    <w:multiLevelType w:val="hybridMultilevel"/>
    <w:tmpl w:val="DF123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EB0361"/>
    <w:multiLevelType w:val="hybridMultilevel"/>
    <w:tmpl w:val="19E24EB2"/>
    <w:lvl w:ilvl="0" w:tplc="61100190">
      <w:start w:val="1"/>
      <w:numFmt w:val="bullet"/>
      <w:pStyle w:val="ResumeDash"/>
      <w:lvlText w:val="-"/>
      <w:lvlJc w:val="left"/>
      <w:pPr>
        <w:ind w:left="4320" w:hanging="360"/>
      </w:pPr>
      <w:rPr>
        <w:rFonts w:ascii="Courier New" w:hAnsi="Courier New"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9" w15:restartNumberingAfterBreak="0">
    <w:nsid w:val="58940008"/>
    <w:multiLevelType w:val="hybridMultilevel"/>
    <w:tmpl w:val="BFAA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37E18"/>
    <w:multiLevelType w:val="hybridMultilevel"/>
    <w:tmpl w:val="563CC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6D5B3F"/>
    <w:multiLevelType w:val="hybridMultilevel"/>
    <w:tmpl w:val="8BBAD6AC"/>
    <w:lvl w:ilvl="0" w:tplc="272E85FC">
      <w:start w:val="1"/>
      <w:numFmt w:val="bullet"/>
      <w:lvlText w:val="•"/>
      <w:lvlJc w:val="left"/>
      <w:pPr>
        <w:tabs>
          <w:tab w:val="num" w:pos="720"/>
        </w:tabs>
        <w:ind w:left="720" w:hanging="360"/>
      </w:pPr>
      <w:rPr>
        <w:rFonts w:ascii="Arial" w:hAnsi="Arial" w:hint="default"/>
      </w:rPr>
    </w:lvl>
    <w:lvl w:ilvl="1" w:tplc="8AAC85EC" w:tentative="1">
      <w:start w:val="1"/>
      <w:numFmt w:val="bullet"/>
      <w:lvlText w:val="•"/>
      <w:lvlJc w:val="left"/>
      <w:pPr>
        <w:tabs>
          <w:tab w:val="num" w:pos="1440"/>
        </w:tabs>
        <w:ind w:left="1440" w:hanging="360"/>
      </w:pPr>
      <w:rPr>
        <w:rFonts w:ascii="Arial" w:hAnsi="Arial" w:hint="default"/>
      </w:rPr>
    </w:lvl>
    <w:lvl w:ilvl="2" w:tplc="2878E7D2" w:tentative="1">
      <w:start w:val="1"/>
      <w:numFmt w:val="bullet"/>
      <w:lvlText w:val="•"/>
      <w:lvlJc w:val="left"/>
      <w:pPr>
        <w:tabs>
          <w:tab w:val="num" w:pos="2160"/>
        </w:tabs>
        <w:ind w:left="2160" w:hanging="360"/>
      </w:pPr>
      <w:rPr>
        <w:rFonts w:ascii="Arial" w:hAnsi="Arial" w:hint="default"/>
      </w:rPr>
    </w:lvl>
    <w:lvl w:ilvl="3" w:tplc="0D223FAC" w:tentative="1">
      <w:start w:val="1"/>
      <w:numFmt w:val="bullet"/>
      <w:lvlText w:val="•"/>
      <w:lvlJc w:val="left"/>
      <w:pPr>
        <w:tabs>
          <w:tab w:val="num" w:pos="2880"/>
        </w:tabs>
        <w:ind w:left="2880" w:hanging="360"/>
      </w:pPr>
      <w:rPr>
        <w:rFonts w:ascii="Arial" w:hAnsi="Arial" w:hint="default"/>
      </w:rPr>
    </w:lvl>
    <w:lvl w:ilvl="4" w:tplc="FAAC2DCE" w:tentative="1">
      <w:start w:val="1"/>
      <w:numFmt w:val="bullet"/>
      <w:lvlText w:val="•"/>
      <w:lvlJc w:val="left"/>
      <w:pPr>
        <w:tabs>
          <w:tab w:val="num" w:pos="3600"/>
        </w:tabs>
        <w:ind w:left="3600" w:hanging="360"/>
      </w:pPr>
      <w:rPr>
        <w:rFonts w:ascii="Arial" w:hAnsi="Arial" w:hint="default"/>
      </w:rPr>
    </w:lvl>
    <w:lvl w:ilvl="5" w:tplc="99AAB3FA" w:tentative="1">
      <w:start w:val="1"/>
      <w:numFmt w:val="bullet"/>
      <w:lvlText w:val="•"/>
      <w:lvlJc w:val="left"/>
      <w:pPr>
        <w:tabs>
          <w:tab w:val="num" w:pos="4320"/>
        </w:tabs>
        <w:ind w:left="4320" w:hanging="360"/>
      </w:pPr>
      <w:rPr>
        <w:rFonts w:ascii="Arial" w:hAnsi="Arial" w:hint="default"/>
      </w:rPr>
    </w:lvl>
    <w:lvl w:ilvl="6" w:tplc="247E5BC0" w:tentative="1">
      <w:start w:val="1"/>
      <w:numFmt w:val="bullet"/>
      <w:lvlText w:val="•"/>
      <w:lvlJc w:val="left"/>
      <w:pPr>
        <w:tabs>
          <w:tab w:val="num" w:pos="5040"/>
        </w:tabs>
        <w:ind w:left="5040" w:hanging="360"/>
      </w:pPr>
      <w:rPr>
        <w:rFonts w:ascii="Arial" w:hAnsi="Arial" w:hint="default"/>
      </w:rPr>
    </w:lvl>
    <w:lvl w:ilvl="7" w:tplc="648E10A4" w:tentative="1">
      <w:start w:val="1"/>
      <w:numFmt w:val="bullet"/>
      <w:lvlText w:val="•"/>
      <w:lvlJc w:val="left"/>
      <w:pPr>
        <w:tabs>
          <w:tab w:val="num" w:pos="5760"/>
        </w:tabs>
        <w:ind w:left="5760" w:hanging="360"/>
      </w:pPr>
      <w:rPr>
        <w:rFonts w:ascii="Arial" w:hAnsi="Arial" w:hint="default"/>
      </w:rPr>
    </w:lvl>
    <w:lvl w:ilvl="8" w:tplc="C548FF7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E59568C"/>
    <w:multiLevelType w:val="hybridMultilevel"/>
    <w:tmpl w:val="0F08F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824C60"/>
    <w:multiLevelType w:val="hybridMultilevel"/>
    <w:tmpl w:val="B4DE2C98"/>
    <w:lvl w:ilvl="0" w:tplc="C62E83F4">
      <w:start w:val="3"/>
      <w:numFmt w:val="decimal"/>
      <w:pStyle w:val="DeliverableTabl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C512FD"/>
    <w:multiLevelType w:val="singleLevel"/>
    <w:tmpl w:val="33AA58D0"/>
    <w:lvl w:ilvl="0">
      <w:start w:val="1"/>
      <w:numFmt w:val="bullet"/>
      <w:pStyle w:val="ListBullet4"/>
      <w:lvlText w:val="-"/>
      <w:lvlJc w:val="left"/>
      <w:pPr>
        <w:tabs>
          <w:tab w:val="num" w:pos="1209"/>
        </w:tabs>
        <w:ind w:left="1209" w:hanging="360"/>
      </w:pPr>
      <w:rPr>
        <w:rFonts w:ascii="Times New Roman" w:hAnsi="Times New Roman" w:hint="default"/>
      </w:rPr>
    </w:lvl>
  </w:abstractNum>
  <w:abstractNum w:abstractNumId="35" w15:restartNumberingAfterBreak="0">
    <w:nsid w:val="66307D26"/>
    <w:multiLevelType w:val="hybridMultilevel"/>
    <w:tmpl w:val="70EA5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B4742B"/>
    <w:multiLevelType w:val="hybridMultilevel"/>
    <w:tmpl w:val="BF2E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951C8B"/>
    <w:multiLevelType w:val="hybridMultilevel"/>
    <w:tmpl w:val="8C983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A5530D"/>
    <w:multiLevelType w:val="hybridMultilevel"/>
    <w:tmpl w:val="7CAEAEE0"/>
    <w:lvl w:ilvl="0" w:tplc="E24868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785B6A"/>
    <w:multiLevelType w:val="hybridMultilevel"/>
    <w:tmpl w:val="535C6C90"/>
    <w:lvl w:ilvl="0" w:tplc="3F5AB52A">
      <w:start w:val="1"/>
      <w:numFmt w:val="bullet"/>
      <w:lvlText w:val="•"/>
      <w:lvlJc w:val="left"/>
      <w:pPr>
        <w:tabs>
          <w:tab w:val="num" w:pos="720"/>
        </w:tabs>
        <w:ind w:left="720" w:hanging="360"/>
      </w:pPr>
      <w:rPr>
        <w:rFonts w:ascii="Arial" w:hAnsi="Arial" w:hint="default"/>
      </w:rPr>
    </w:lvl>
    <w:lvl w:ilvl="1" w:tplc="BD5AC358" w:tentative="1">
      <w:start w:val="1"/>
      <w:numFmt w:val="bullet"/>
      <w:lvlText w:val="•"/>
      <w:lvlJc w:val="left"/>
      <w:pPr>
        <w:tabs>
          <w:tab w:val="num" w:pos="1440"/>
        </w:tabs>
        <w:ind w:left="1440" w:hanging="360"/>
      </w:pPr>
      <w:rPr>
        <w:rFonts w:ascii="Arial" w:hAnsi="Arial" w:hint="default"/>
      </w:rPr>
    </w:lvl>
    <w:lvl w:ilvl="2" w:tplc="AB7AE366" w:tentative="1">
      <w:start w:val="1"/>
      <w:numFmt w:val="bullet"/>
      <w:lvlText w:val="•"/>
      <w:lvlJc w:val="left"/>
      <w:pPr>
        <w:tabs>
          <w:tab w:val="num" w:pos="2160"/>
        </w:tabs>
        <w:ind w:left="2160" w:hanging="360"/>
      </w:pPr>
      <w:rPr>
        <w:rFonts w:ascii="Arial" w:hAnsi="Arial" w:hint="default"/>
      </w:rPr>
    </w:lvl>
    <w:lvl w:ilvl="3" w:tplc="6AFA84D4" w:tentative="1">
      <w:start w:val="1"/>
      <w:numFmt w:val="bullet"/>
      <w:lvlText w:val="•"/>
      <w:lvlJc w:val="left"/>
      <w:pPr>
        <w:tabs>
          <w:tab w:val="num" w:pos="2880"/>
        </w:tabs>
        <w:ind w:left="2880" w:hanging="360"/>
      </w:pPr>
      <w:rPr>
        <w:rFonts w:ascii="Arial" w:hAnsi="Arial" w:hint="default"/>
      </w:rPr>
    </w:lvl>
    <w:lvl w:ilvl="4" w:tplc="3210F10C" w:tentative="1">
      <w:start w:val="1"/>
      <w:numFmt w:val="bullet"/>
      <w:lvlText w:val="•"/>
      <w:lvlJc w:val="left"/>
      <w:pPr>
        <w:tabs>
          <w:tab w:val="num" w:pos="3600"/>
        </w:tabs>
        <w:ind w:left="3600" w:hanging="360"/>
      </w:pPr>
      <w:rPr>
        <w:rFonts w:ascii="Arial" w:hAnsi="Arial" w:hint="default"/>
      </w:rPr>
    </w:lvl>
    <w:lvl w:ilvl="5" w:tplc="12EC526A" w:tentative="1">
      <w:start w:val="1"/>
      <w:numFmt w:val="bullet"/>
      <w:lvlText w:val="•"/>
      <w:lvlJc w:val="left"/>
      <w:pPr>
        <w:tabs>
          <w:tab w:val="num" w:pos="4320"/>
        </w:tabs>
        <w:ind w:left="4320" w:hanging="360"/>
      </w:pPr>
      <w:rPr>
        <w:rFonts w:ascii="Arial" w:hAnsi="Arial" w:hint="default"/>
      </w:rPr>
    </w:lvl>
    <w:lvl w:ilvl="6" w:tplc="2DEE83F8" w:tentative="1">
      <w:start w:val="1"/>
      <w:numFmt w:val="bullet"/>
      <w:lvlText w:val="•"/>
      <w:lvlJc w:val="left"/>
      <w:pPr>
        <w:tabs>
          <w:tab w:val="num" w:pos="5040"/>
        </w:tabs>
        <w:ind w:left="5040" w:hanging="360"/>
      </w:pPr>
      <w:rPr>
        <w:rFonts w:ascii="Arial" w:hAnsi="Arial" w:hint="default"/>
      </w:rPr>
    </w:lvl>
    <w:lvl w:ilvl="7" w:tplc="569048B6" w:tentative="1">
      <w:start w:val="1"/>
      <w:numFmt w:val="bullet"/>
      <w:lvlText w:val="•"/>
      <w:lvlJc w:val="left"/>
      <w:pPr>
        <w:tabs>
          <w:tab w:val="num" w:pos="5760"/>
        </w:tabs>
        <w:ind w:left="5760" w:hanging="360"/>
      </w:pPr>
      <w:rPr>
        <w:rFonts w:ascii="Arial" w:hAnsi="Arial" w:hint="default"/>
      </w:rPr>
    </w:lvl>
    <w:lvl w:ilvl="8" w:tplc="BC802D4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CCF75BB"/>
    <w:multiLevelType w:val="hybridMultilevel"/>
    <w:tmpl w:val="AEE4E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DA57C35"/>
    <w:multiLevelType w:val="hybridMultilevel"/>
    <w:tmpl w:val="7CA4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6B7A9B"/>
    <w:multiLevelType w:val="hybridMultilevel"/>
    <w:tmpl w:val="D0AE2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84335C"/>
    <w:multiLevelType w:val="hybridMultilevel"/>
    <w:tmpl w:val="00146494"/>
    <w:lvl w:ilvl="0" w:tplc="04090001">
      <w:start w:val="1"/>
      <w:numFmt w:val="bullet"/>
      <w:lvlText w:val=""/>
      <w:lvlJc w:val="left"/>
      <w:pPr>
        <w:ind w:left="720" w:hanging="360"/>
      </w:pPr>
      <w:rPr>
        <w:rFonts w:ascii="Symbol" w:hAnsi="Symbol" w:hint="default"/>
      </w:rPr>
    </w:lvl>
    <w:lvl w:ilvl="1" w:tplc="04090003">
      <w:start w:val="1"/>
      <w:numFmt w:val="bullet"/>
      <w:pStyle w:val="Bullet2"/>
      <w:lvlText w:val="o"/>
      <w:lvlJc w:val="left"/>
      <w:pPr>
        <w:ind w:left="1440" w:hanging="360"/>
      </w:pPr>
      <w:rPr>
        <w:rFonts w:ascii="Calibri" w:hAnsi="Calibri" w:hint="default"/>
        <w:sz w:val="18"/>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2962428">
    <w:abstractNumId w:val="0"/>
  </w:num>
  <w:num w:numId="2" w16cid:durableId="1102989145">
    <w:abstractNumId w:val="43"/>
  </w:num>
  <w:num w:numId="3" w16cid:durableId="1415275266">
    <w:abstractNumId w:val="25"/>
  </w:num>
  <w:num w:numId="4" w16cid:durableId="1779136279">
    <w:abstractNumId w:val="21"/>
  </w:num>
  <w:num w:numId="5" w16cid:durableId="202793074">
    <w:abstractNumId w:val="16"/>
  </w:num>
  <w:num w:numId="6" w16cid:durableId="88430236">
    <w:abstractNumId w:val="34"/>
  </w:num>
  <w:num w:numId="7" w16cid:durableId="1485780087">
    <w:abstractNumId w:val="24"/>
  </w:num>
  <w:num w:numId="8" w16cid:durableId="677469764">
    <w:abstractNumId w:val="28"/>
  </w:num>
  <w:num w:numId="9" w16cid:durableId="404183238">
    <w:abstractNumId w:val="12"/>
  </w:num>
  <w:num w:numId="10" w16cid:durableId="1721855664">
    <w:abstractNumId w:val="22"/>
  </w:num>
  <w:num w:numId="11" w16cid:durableId="1040668400">
    <w:abstractNumId w:val="19"/>
  </w:num>
  <w:num w:numId="12" w16cid:durableId="1875582390">
    <w:abstractNumId w:val="7"/>
  </w:num>
  <w:num w:numId="13" w16cid:durableId="1857114397">
    <w:abstractNumId w:val="33"/>
  </w:num>
  <w:num w:numId="14" w16cid:durableId="262148356">
    <w:abstractNumId w:val="4"/>
  </w:num>
  <w:num w:numId="15" w16cid:durableId="1906722969">
    <w:abstractNumId w:val="30"/>
  </w:num>
  <w:num w:numId="16" w16cid:durableId="87194760">
    <w:abstractNumId w:val="14"/>
  </w:num>
  <w:num w:numId="17" w16cid:durableId="1437290459">
    <w:abstractNumId w:val="40"/>
  </w:num>
  <w:num w:numId="18" w16cid:durableId="481626961">
    <w:abstractNumId w:val="27"/>
  </w:num>
  <w:num w:numId="19" w16cid:durableId="1180389433">
    <w:abstractNumId w:val="18"/>
  </w:num>
  <w:num w:numId="20" w16cid:durableId="1127969210">
    <w:abstractNumId w:val="17"/>
  </w:num>
  <w:num w:numId="21" w16cid:durableId="647979588">
    <w:abstractNumId w:val="11"/>
  </w:num>
  <w:num w:numId="22" w16cid:durableId="1174760389">
    <w:abstractNumId w:val="35"/>
  </w:num>
  <w:num w:numId="23" w16cid:durableId="1238201714">
    <w:abstractNumId w:val="1"/>
  </w:num>
  <w:num w:numId="24" w16cid:durableId="477957691">
    <w:abstractNumId w:val="13"/>
  </w:num>
  <w:num w:numId="25" w16cid:durableId="1684673356">
    <w:abstractNumId w:val="37"/>
  </w:num>
  <w:num w:numId="26" w16cid:durableId="2102680630">
    <w:abstractNumId w:val="32"/>
  </w:num>
  <w:num w:numId="27" w16cid:durableId="177624510">
    <w:abstractNumId w:val="9"/>
  </w:num>
  <w:num w:numId="28" w16cid:durableId="15036783">
    <w:abstractNumId w:val="15"/>
  </w:num>
  <w:num w:numId="29" w16cid:durableId="1869025873">
    <w:abstractNumId w:val="29"/>
  </w:num>
  <w:num w:numId="30" w16cid:durableId="1133671600">
    <w:abstractNumId w:val="26"/>
  </w:num>
  <w:num w:numId="31" w16cid:durableId="933241548">
    <w:abstractNumId w:val="3"/>
  </w:num>
  <w:num w:numId="32" w16cid:durableId="578177999">
    <w:abstractNumId w:val="2"/>
  </w:num>
  <w:num w:numId="33" w16cid:durableId="1299148243">
    <w:abstractNumId w:val="42"/>
  </w:num>
  <w:num w:numId="34" w16cid:durableId="532962691">
    <w:abstractNumId w:val="38"/>
  </w:num>
  <w:num w:numId="35" w16cid:durableId="42027766">
    <w:abstractNumId w:val="5"/>
  </w:num>
  <w:num w:numId="36" w16cid:durableId="1463966212">
    <w:abstractNumId w:val="8"/>
  </w:num>
  <w:num w:numId="37" w16cid:durableId="1908026940">
    <w:abstractNumId w:val="36"/>
  </w:num>
  <w:num w:numId="38" w16cid:durableId="431707728">
    <w:abstractNumId w:val="41"/>
  </w:num>
  <w:num w:numId="39" w16cid:durableId="515966153">
    <w:abstractNumId w:val="23"/>
  </w:num>
  <w:num w:numId="40" w16cid:durableId="507906417">
    <w:abstractNumId w:val="31"/>
  </w:num>
  <w:num w:numId="41" w16cid:durableId="378016680">
    <w:abstractNumId w:val="10"/>
  </w:num>
  <w:num w:numId="42" w16cid:durableId="2056925835">
    <w:abstractNumId w:val="20"/>
  </w:num>
  <w:num w:numId="43" w16cid:durableId="452554907">
    <w:abstractNumId w:val="39"/>
  </w:num>
  <w:num w:numId="44" w16cid:durableId="881282918">
    <w:abstractNumId w:val="6"/>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anerjee, Rajeswar">
    <w15:presenceInfo w15:providerId="AD" w15:userId="S::rajbanerjee@deloitte.com::b4ff5a26-7e17-4c5f-975b-d63f3f91df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embedSystemFonts/>
  <w:bordersDoNotSurroundHeader/>
  <w:bordersDoNotSurroundFooter/>
  <w:activeWritingStyle w:appName="MSWord" w:lang="en-US" w:vendorID="64" w:dllVersion="6" w:nlCheck="1" w:checkStyle="1"/>
  <w:activeWritingStyle w:appName="MSWord" w:lang="en-GB" w:vendorID="64" w:dllVersion="6" w:nlCheck="1" w:checkStyle="1"/>
  <w:activeWritingStyle w:appName="MSWord" w:lang="es-ES" w:vendorID="64" w:dllVersion="6" w:nlCheck="1" w:checkStyle="0"/>
  <w:activeWritingStyle w:appName="MSWord" w:lang="es-GT" w:vendorID="64" w:dllVersion="6" w:nlCheck="1" w:checkStyle="1"/>
  <w:activeWritingStyle w:appName="MSWord" w:lang="es-SV" w:vendorID="64" w:dllVersion="6" w:nlCheck="1" w:checkStyle="1"/>
  <w:activeWritingStyle w:appName="MSWord" w:lang="fr-FR" w:vendorID="64" w:dllVersion="6" w:nlCheck="1" w:checkStyle="1"/>
  <w:activeWritingStyle w:appName="MSWord" w:lang="es-ES_tradnl" w:vendorID="64" w:dllVersion="6" w:nlCheck="1" w:checkStyle="0"/>
  <w:activeWritingStyle w:appName="MSWord" w:lang="es-MX" w:vendorID="64" w:dllVersion="6" w:nlCheck="1" w:checkStyle="0"/>
  <w:activeWritingStyle w:appName="MSWord" w:lang="en-US"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es-CO" w:vendorID="64" w:dllVersion="0" w:nlCheck="1" w:checkStyle="0"/>
  <w:activeWritingStyle w:appName="MSWord" w:lang="es-CO" w:vendorID="64" w:dllVersion="6" w:nlCheck="1" w:checkStyle="0"/>
  <w:activeWritingStyle w:appName="MSWord" w:lang="es-PE" w:vendorID="64" w:dllVersion="0" w:nlCheck="1" w:checkStyle="0"/>
  <w:activeWritingStyle w:appName="MSWord" w:lang="es-ES" w:vendorID="64" w:dllVersion="0" w:nlCheck="1" w:checkStyle="0"/>
  <w:activeWritingStyle w:appName="MSWord" w:lang="en-AU" w:vendorID="64" w:dllVersion="0" w:nlCheck="1" w:checkStyle="0"/>
  <w:activeWritingStyle w:appName="MSWord" w:lang="fr-FR" w:vendorID="64" w:dllVersion="0" w:nlCheck="1" w:checkStyle="0"/>
  <w:activeWritingStyle w:appName="MSWord" w:lang="en-JM"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7C1"/>
    <w:rsid w:val="00000837"/>
    <w:rsid w:val="00000B77"/>
    <w:rsid w:val="000015B6"/>
    <w:rsid w:val="00001B1D"/>
    <w:rsid w:val="00001F37"/>
    <w:rsid w:val="00002583"/>
    <w:rsid w:val="000027E9"/>
    <w:rsid w:val="00002F30"/>
    <w:rsid w:val="0000300C"/>
    <w:rsid w:val="00003CAD"/>
    <w:rsid w:val="00003D78"/>
    <w:rsid w:val="00006517"/>
    <w:rsid w:val="0000664E"/>
    <w:rsid w:val="000067F4"/>
    <w:rsid w:val="00006932"/>
    <w:rsid w:val="00007097"/>
    <w:rsid w:val="000070F8"/>
    <w:rsid w:val="000078DD"/>
    <w:rsid w:val="00007B68"/>
    <w:rsid w:val="00007E42"/>
    <w:rsid w:val="0001065C"/>
    <w:rsid w:val="00010D26"/>
    <w:rsid w:val="0001119D"/>
    <w:rsid w:val="000114A0"/>
    <w:rsid w:val="00011B32"/>
    <w:rsid w:val="00011E1B"/>
    <w:rsid w:val="00011E6B"/>
    <w:rsid w:val="00011F75"/>
    <w:rsid w:val="000124AD"/>
    <w:rsid w:val="00012552"/>
    <w:rsid w:val="00013182"/>
    <w:rsid w:val="0001385F"/>
    <w:rsid w:val="0001390B"/>
    <w:rsid w:val="00013EF8"/>
    <w:rsid w:val="000144AF"/>
    <w:rsid w:val="000146F3"/>
    <w:rsid w:val="000149B2"/>
    <w:rsid w:val="00014A6D"/>
    <w:rsid w:val="00014F5C"/>
    <w:rsid w:val="00015177"/>
    <w:rsid w:val="00015196"/>
    <w:rsid w:val="0001537D"/>
    <w:rsid w:val="000160ED"/>
    <w:rsid w:val="000163A3"/>
    <w:rsid w:val="000163DA"/>
    <w:rsid w:val="00016531"/>
    <w:rsid w:val="000165F3"/>
    <w:rsid w:val="00016936"/>
    <w:rsid w:val="000169E2"/>
    <w:rsid w:val="00016D35"/>
    <w:rsid w:val="00016F3D"/>
    <w:rsid w:val="00016FF1"/>
    <w:rsid w:val="00017121"/>
    <w:rsid w:val="000172CA"/>
    <w:rsid w:val="000175C4"/>
    <w:rsid w:val="00017912"/>
    <w:rsid w:val="00020083"/>
    <w:rsid w:val="00020BA1"/>
    <w:rsid w:val="00020D1C"/>
    <w:rsid w:val="00020F2E"/>
    <w:rsid w:val="000212D8"/>
    <w:rsid w:val="00021324"/>
    <w:rsid w:val="00021B8D"/>
    <w:rsid w:val="00021BA6"/>
    <w:rsid w:val="00022272"/>
    <w:rsid w:val="000224E7"/>
    <w:rsid w:val="000225BB"/>
    <w:rsid w:val="0002277E"/>
    <w:rsid w:val="00022E13"/>
    <w:rsid w:val="00022F97"/>
    <w:rsid w:val="0002305B"/>
    <w:rsid w:val="0002320F"/>
    <w:rsid w:val="0002379A"/>
    <w:rsid w:val="00023D3A"/>
    <w:rsid w:val="00023DB9"/>
    <w:rsid w:val="00023E7E"/>
    <w:rsid w:val="00023F59"/>
    <w:rsid w:val="000245CF"/>
    <w:rsid w:val="0002482C"/>
    <w:rsid w:val="00024F84"/>
    <w:rsid w:val="00024F8C"/>
    <w:rsid w:val="00025589"/>
    <w:rsid w:val="00025D34"/>
    <w:rsid w:val="00025E79"/>
    <w:rsid w:val="0002616B"/>
    <w:rsid w:val="00026C16"/>
    <w:rsid w:val="00026F21"/>
    <w:rsid w:val="00027344"/>
    <w:rsid w:val="00027ADF"/>
    <w:rsid w:val="00027CD5"/>
    <w:rsid w:val="00027CF8"/>
    <w:rsid w:val="00027F9A"/>
    <w:rsid w:val="000308C2"/>
    <w:rsid w:val="0003149E"/>
    <w:rsid w:val="00031823"/>
    <w:rsid w:val="000322E0"/>
    <w:rsid w:val="00033525"/>
    <w:rsid w:val="00033992"/>
    <w:rsid w:val="000344E3"/>
    <w:rsid w:val="000346FD"/>
    <w:rsid w:val="00035194"/>
    <w:rsid w:val="00035412"/>
    <w:rsid w:val="000355A7"/>
    <w:rsid w:val="000355EA"/>
    <w:rsid w:val="00035A01"/>
    <w:rsid w:val="00036549"/>
    <w:rsid w:val="00036B06"/>
    <w:rsid w:val="00036CBD"/>
    <w:rsid w:val="000375E9"/>
    <w:rsid w:val="00037CF0"/>
    <w:rsid w:val="00037FDA"/>
    <w:rsid w:val="00040D88"/>
    <w:rsid w:val="000412CF"/>
    <w:rsid w:val="0004189A"/>
    <w:rsid w:val="00041C67"/>
    <w:rsid w:val="00041EC2"/>
    <w:rsid w:val="00042429"/>
    <w:rsid w:val="000424BD"/>
    <w:rsid w:val="000424FA"/>
    <w:rsid w:val="0004255B"/>
    <w:rsid w:val="00042B13"/>
    <w:rsid w:val="00042C47"/>
    <w:rsid w:val="00043553"/>
    <w:rsid w:val="00043650"/>
    <w:rsid w:val="00043836"/>
    <w:rsid w:val="00043E63"/>
    <w:rsid w:val="00044968"/>
    <w:rsid w:val="00044B88"/>
    <w:rsid w:val="00044D02"/>
    <w:rsid w:val="00044E2C"/>
    <w:rsid w:val="0004507A"/>
    <w:rsid w:val="000458FD"/>
    <w:rsid w:val="00045F61"/>
    <w:rsid w:val="00046892"/>
    <w:rsid w:val="00046DF7"/>
    <w:rsid w:val="00046ED5"/>
    <w:rsid w:val="00047049"/>
    <w:rsid w:val="000473AD"/>
    <w:rsid w:val="000475C9"/>
    <w:rsid w:val="00047AAF"/>
    <w:rsid w:val="0005047D"/>
    <w:rsid w:val="00050CE6"/>
    <w:rsid w:val="00051296"/>
    <w:rsid w:val="0005130D"/>
    <w:rsid w:val="000517A3"/>
    <w:rsid w:val="0005194A"/>
    <w:rsid w:val="00051A3E"/>
    <w:rsid w:val="00051E95"/>
    <w:rsid w:val="00051F98"/>
    <w:rsid w:val="00052112"/>
    <w:rsid w:val="00052118"/>
    <w:rsid w:val="00052127"/>
    <w:rsid w:val="000522DB"/>
    <w:rsid w:val="0005262A"/>
    <w:rsid w:val="00052656"/>
    <w:rsid w:val="00052AD9"/>
    <w:rsid w:val="00052D9B"/>
    <w:rsid w:val="0005364D"/>
    <w:rsid w:val="000541C5"/>
    <w:rsid w:val="00054E60"/>
    <w:rsid w:val="00055331"/>
    <w:rsid w:val="000553B0"/>
    <w:rsid w:val="0005540D"/>
    <w:rsid w:val="00055992"/>
    <w:rsid w:val="000559E5"/>
    <w:rsid w:val="00056204"/>
    <w:rsid w:val="000564BE"/>
    <w:rsid w:val="000565FD"/>
    <w:rsid w:val="000566B2"/>
    <w:rsid w:val="0005671F"/>
    <w:rsid w:val="0005681E"/>
    <w:rsid w:val="000568B6"/>
    <w:rsid w:val="000569B9"/>
    <w:rsid w:val="00056AE9"/>
    <w:rsid w:val="00056BD4"/>
    <w:rsid w:val="00056CA4"/>
    <w:rsid w:val="00056DAE"/>
    <w:rsid w:val="00056DB4"/>
    <w:rsid w:val="00056E97"/>
    <w:rsid w:val="0005732C"/>
    <w:rsid w:val="0005765B"/>
    <w:rsid w:val="00057FAD"/>
    <w:rsid w:val="00060464"/>
    <w:rsid w:val="00060DB3"/>
    <w:rsid w:val="00060E37"/>
    <w:rsid w:val="00060F1A"/>
    <w:rsid w:val="00061006"/>
    <w:rsid w:val="000611C9"/>
    <w:rsid w:val="00061498"/>
    <w:rsid w:val="000614C3"/>
    <w:rsid w:val="00061A0B"/>
    <w:rsid w:val="00061CC9"/>
    <w:rsid w:val="00061CEC"/>
    <w:rsid w:val="000622CB"/>
    <w:rsid w:val="0006273C"/>
    <w:rsid w:val="00062801"/>
    <w:rsid w:val="00062D2F"/>
    <w:rsid w:val="00062FC7"/>
    <w:rsid w:val="0006367D"/>
    <w:rsid w:val="00063BA9"/>
    <w:rsid w:val="00064168"/>
    <w:rsid w:val="000641F1"/>
    <w:rsid w:val="000646C5"/>
    <w:rsid w:val="0006471C"/>
    <w:rsid w:val="00064762"/>
    <w:rsid w:val="0006489A"/>
    <w:rsid w:val="00064F26"/>
    <w:rsid w:val="00065A63"/>
    <w:rsid w:val="00065F7B"/>
    <w:rsid w:val="00066907"/>
    <w:rsid w:val="00066A8A"/>
    <w:rsid w:val="00066B0D"/>
    <w:rsid w:val="00066B4C"/>
    <w:rsid w:val="00066F50"/>
    <w:rsid w:val="00067918"/>
    <w:rsid w:val="00067B4C"/>
    <w:rsid w:val="00067EBA"/>
    <w:rsid w:val="00070185"/>
    <w:rsid w:val="000704C2"/>
    <w:rsid w:val="00070BD6"/>
    <w:rsid w:val="0007166F"/>
    <w:rsid w:val="00071A8B"/>
    <w:rsid w:val="00071AAC"/>
    <w:rsid w:val="00071AD4"/>
    <w:rsid w:val="00071AD7"/>
    <w:rsid w:val="00071BA9"/>
    <w:rsid w:val="00071D66"/>
    <w:rsid w:val="000721A6"/>
    <w:rsid w:val="00072AB1"/>
    <w:rsid w:val="00072B7F"/>
    <w:rsid w:val="00072F2A"/>
    <w:rsid w:val="000735F5"/>
    <w:rsid w:val="000738CB"/>
    <w:rsid w:val="00074A7C"/>
    <w:rsid w:val="00074AAC"/>
    <w:rsid w:val="00075595"/>
    <w:rsid w:val="00075A23"/>
    <w:rsid w:val="00075FDE"/>
    <w:rsid w:val="000765CA"/>
    <w:rsid w:val="00076CCD"/>
    <w:rsid w:val="00077EDE"/>
    <w:rsid w:val="00080235"/>
    <w:rsid w:val="000804FF"/>
    <w:rsid w:val="0008050A"/>
    <w:rsid w:val="000807EA"/>
    <w:rsid w:val="00080A7A"/>
    <w:rsid w:val="0008102D"/>
    <w:rsid w:val="00081072"/>
    <w:rsid w:val="00081137"/>
    <w:rsid w:val="000813A5"/>
    <w:rsid w:val="00081785"/>
    <w:rsid w:val="000818AC"/>
    <w:rsid w:val="00081FA8"/>
    <w:rsid w:val="00083772"/>
    <w:rsid w:val="0008382A"/>
    <w:rsid w:val="00083930"/>
    <w:rsid w:val="00083E34"/>
    <w:rsid w:val="0008414B"/>
    <w:rsid w:val="000846AB"/>
    <w:rsid w:val="00084C9E"/>
    <w:rsid w:val="00084DD1"/>
    <w:rsid w:val="0008523E"/>
    <w:rsid w:val="0008539D"/>
    <w:rsid w:val="000857EA"/>
    <w:rsid w:val="00085CA8"/>
    <w:rsid w:val="0008639B"/>
    <w:rsid w:val="00086A2F"/>
    <w:rsid w:val="000872DF"/>
    <w:rsid w:val="00087676"/>
    <w:rsid w:val="000878DC"/>
    <w:rsid w:val="00087920"/>
    <w:rsid w:val="00087C9D"/>
    <w:rsid w:val="00090158"/>
    <w:rsid w:val="0009025F"/>
    <w:rsid w:val="00090401"/>
    <w:rsid w:val="00090E44"/>
    <w:rsid w:val="000913C8"/>
    <w:rsid w:val="000921E1"/>
    <w:rsid w:val="00092285"/>
    <w:rsid w:val="000922D1"/>
    <w:rsid w:val="000928C9"/>
    <w:rsid w:val="00092C70"/>
    <w:rsid w:val="00093A89"/>
    <w:rsid w:val="00093A97"/>
    <w:rsid w:val="00093BFD"/>
    <w:rsid w:val="00094064"/>
    <w:rsid w:val="0009489D"/>
    <w:rsid w:val="000949DF"/>
    <w:rsid w:val="00094B56"/>
    <w:rsid w:val="00094DC9"/>
    <w:rsid w:val="000953F4"/>
    <w:rsid w:val="0009552A"/>
    <w:rsid w:val="00095600"/>
    <w:rsid w:val="00095796"/>
    <w:rsid w:val="0009665A"/>
    <w:rsid w:val="00096682"/>
    <w:rsid w:val="00096B0B"/>
    <w:rsid w:val="00096E91"/>
    <w:rsid w:val="0009729E"/>
    <w:rsid w:val="00097458"/>
    <w:rsid w:val="0009773F"/>
    <w:rsid w:val="0009794F"/>
    <w:rsid w:val="00097A02"/>
    <w:rsid w:val="00097A40"/>
    <w:rsid w:val="00097A53"/>
    <w:rsid w:val="000A00C9"/>
    <w:rsid w:val="000A01AA"/>
    <w:rsid w:val="000A0365"/>
    <w:rsid w:val="000A0F31"/>
    <w:rsid w:val="000A10C8"/>
    <w:rsid w:val="000A199A"/>
    <w:rsid w:val="000A1BC9"/>
    <w:rsid w:val="000A1CF9"/>
    <w:rsid w:val="000A1FB2"/>
    <w:rsid w:val="000A27E7"/>
    <w:rsid w:val="000A2AC6"/>
    <w:rsid w:val="000A2B6E"/>
    <w:rsid w:val="000A2D55"/>
    <w:rsid w:val="000A303A"/>
    <w:rsid w:val="000A3100"/>
    <w:rsid w:val="000A3524"/>
    <w:rsid w:val="000A4026"/>
    <w:rsid w:val="000A41DE"/>
    <w:rsid w:val="000A4966"/>
    <w:rsid w:val="000A4D39"/>
    <w:rsid w:val="000A516A"/>
    <w:rsid w:val="000A5A62"/>
    <w:rsid w:val="000A5AA6"/>
    <w:rsid w:val="000A5C19"/>
    <w:rsid w:val="000A6368"/>
    <w:rsid w:val="000A656A"/>
    <w:rsid w:val="000A69A0"/>
    <w:rsid w:val="000A6FAA"/>
    <w:rsid w:val="000A74DE"/>
    <w:rsid w:val="000A7536"/>
    <w:rsid w:val="000A75C6"/>
    <w:rsid w:val="000A7C5E"/>
    <w:rsid w:val="000B017D"/>
    <w:rsid w:val="000B05B4"/>
    <w:rsid w:val="000B09C7"/>
    <w:rsid w:val="000B09E5"/>
    <w:rsid w:val="000B0BE3"/>
    <w:rsid w:val="000B0C03"/>
    <w:rsid w:val="000B0C08"/>
    <w:rsid w:val="000B0D5A"/>
    <w:rsid w:val="000B103A"/>
    <w:rsid w:val="000B1341"/>
    <w:rsid w:val="000B1543"/>
    <w:rsid w:val="000B196E"/>
    <w:rsid w:val="000B1B80"/>
    <w:rsid w:val="000B1E1F"/>
    <w:rsid w:val="000B22E8"/>
    <w:rsid w:val="000B2416"/>
    <w:rsid w:val="000B26C4"/>
    <w:rsid w:val="000B2BB7"/>
    <w:rsid w:val="000B2EE4"/>
    <w:rsid w:val="000B3096"/>
    <w:rsid w:val="000B3202"/>
    <w:rsid w:val="000B32D1"/>
    <w:rsid w:val="000B3358"/>
    <w:rsid w:val="000B33D4"/>
    <w:rsid w:val="000B33F9"/>
    <w:rsid w:val="000B371B"/>
    <w:rsid w:val="000B38FD"/>
    <w:rsid w:val="000B3D36"/>
    <w:rsid w:val="000B4848"/>
    <w:rsid w:val="000B4A27"/>
    <w:rsid w:val="000B56A7"/>
    <w:rsid w:val="000B5893"/>
    <w:rsid w:val="000B5B5B"/>
    <w:rsid w:val="000B5C44"/>
    <w:rsid w:val="000B617B"/>
    <w:rsid w:val="000B63F5"/>
    <w:rsid w:val="000B647E"/>
    <w:rsid w:val="000B64C0"/>
    <w:rsid w:val="000B734D"/>
    <w:rsid w:val="000B7783"/>
    <w:rsid w:val="000B7A64"/>
    <w:rsid w:val="000B7AE2"/>
    <w:rsid w:val="000B7B48"/>
    <w:rsid w:val="000B7D83"/>
    <w:rsid w:val="000B7F74"/>
    <w:rsid w:val="000B7F9C"/>
    <w:rsid w:val="000C00B9"/>
    <w:rsid w:val="000C035E"/>
    <w:rsid w:val="000C0923"/>
    <w:rsid w:val="000C0C95"/>
    <w:rsid w:val="000C101B"/>
    <w:rsid w:val="000C101D"/>
    <w:rsid w:val="000C10A1"/>
    <w:rsid w:val="000C17F8"/>
    <w:rsid w:val="000C1CD0"/>
    <w:rsid w:val="000C1D67"/>
    <w:rsid w:val="000C1F81"/>
    <w:rsid w:val="000C229A"/>
    <w:rsid w:val="000C2362"/>
    <w:rsid w:val="000C23D5"/>
    <w:rsid w:val="000C272B"/>
    <w:rsid w:val="000C2A41"/>
    <w:rsid w:val="000C302C"/>
    <w:rsid w:val="000C330A"/>
    <w:rsid w:val="000C3439"/>
    <w:rsid w:val="000C3441"/>
    <w:rsid w:val="000C3916"/>
    <w:rsid w:val="000C3BB3"/>
    <w:rsid w:val="000C42BF"/>
    <w:rsid w:val="000C4420"/>
    <w:rsid w:val="000C49B9"/>
    <w:rsid w:val="000C4A63"/>
    <w:rsid w:val="000C4E7B"/>
    <w:rsid w:val="000C4F65"/>
    <w:rsid w:val="000C5290"/>
    <w:rsid w:val="000C53E5"/>
    <w:rsid w:val="000C5617"/>
    <w:rsid w:val="000C5A55"/>
    <w:rsid w:val="000C5D8F"/>
    <w:rsid w:val="000C630F"/>
    <w:rsid w:val="000C7145"/>
    <w:rsid w:val="000C72AB"/>
    <w:rsid w:val="000C756B"/>
    <w:rsid w:val="000C7ED4"/>
    <w:rsid w:val="000D06BB"/>
    <w:rsid w:val="000D075F"/>
    <w:rsid w:val="000D096E"/>
    <w:rsid w:val="000D0EB8"/>
    <w:rsid w:val="000D1088"/>
    <w:rsid w:val="000D19F0"/>
    <w:rsid w:val="000D1E53"/>
    <w:rsid w:val="000D1E69"/>
    <w:rsid w:val="000D1FC3"/>
    <w:rsid w:val="000D2038"/>
    <w:rsid w:val="000D2BE3"/>
    <w:rsid w:val="000D3310"/>
    <w:rsid w:val="000D35B5"/>
    <w:rsid w:val="000D3E0C"/>
    <w:rsid w:val="000D3E57"/>
    <w:rsid w:val="000D4111"/>
    <w:rsid w:val="000D44B3"/>
    <w:rsid w:val="000D506C"/>
    <w:rsid w:val="000D5382"/>
    <w:rsid w:val="000D5FE3"/>
    <w:rsid w:val="000D6387"/>
    <w:rsid w:val="000D6E24"/>
    <w:rsid w:val="000D6E77"/>
    <w:rsid w:val="000D7040"/>
    <w:rsid w:val="000D74EB"/>
    <w:rsid w:val="000D76D8"/>
    <w:rsid w:val="000D7BA8"/>
    <w:rsid w:val="000D7C07"/>
    <w:rsid w:val="000E00A7"/>
    <w:rsid w:val="000E06ED"/>
    <w:rsid w:val="000E0D60"/>
    <w:rsid w:val="000E1051"/>
    <w:rsid w:val="000E1903"/>
    <w:rsid w:val="000E1988"/>
    <w:rsid w:val="000E1DF9"/>
    <w:rsid w:val="000E22B2"/>
    <w:rsid w:val="000E24FB"/>
    <w:rsid w:val="000E25A4"/>
    <w:rsid w:val="000E3258"/>
    <w:rsid w:val="000E3338"/>
    <w:rsid w:val="000E33EC"/>
    <w:rsid w:val="000E3793"/>
    <w:rsid w:val="000E4196"/>
    <w:rsid w:val="000E4469"/>
    <w:rsid w:val="000E49AC"/>
    <w:rsid w:val="000E4C02"/>
    <w:rsid w:val="000E5216"/>
    <w:rsid w:val="000E559B"/>
    <w:rsid w:val="000E5828"/>
    <w:rsid w:val="000E59D1"/>
    <w:rsid w:val="000E5AA6"/>
    <w:rsid w:val="000E5B79"/>
    <w:rsid w:val="000E5BAD"/>
    <w:rsid w:val="000E5D68"/>
    <w:rsid w:val="000E5EBC"/>
    <w:rsid w:val="000E6145"/>
    <w:rsid w:val="000E620B"/>
    <w:rsid w:val="000E6713"/>
    <w:rsid w:val="000E6781"/>
    <w:rsid w:val="000E7AE2"/>
    <w:rsid w:val="000E7F4F"/>
    <w:rsid w:val="000F01C7"/>
    <w:rsid w:val="000F03E5"/>
    <w:rsid w:val="000F09AD"/>
    <w:rsid w:val="000F0AD8"/>
    <w:rsid w:val="000F1793"/>
    <w:rsid w:val="000F1B13"/>
    <w:rsid w:val="000F1CFD"/>
    <w:rsid w:val="000F1ED7"/>
    <w:rsid w:val="000F21D9"/>
    <w:rsid w:val="000F2404"/>
    <w:rsid w:val="000F29D9"/>
    <w:rsid w:val="000F2B00"/>
    <w:rsid w:val="000F2C08"/>
    <w:rsid w:val="000F2C6F"/>
    <w:rsid w:val="000F37E8"/>
    <w:rsid w:val="000F386E"/>
    <w:rsid w:val="000F3911"/>
    <w:rsid w:val="000F3F46"/>
    <w:rsid w:val="000F4176"/>
    <w:rsid w:val="000F4528"/>
    <w:rsid w:val="000F45A9"/>
    <w:rsid w:val="000F4606"/>
    <w:rsid w:val="000F4819"/>
    <w:rsid w:val="000F48F7"/>
    <w:rsid w:val="000F4C0C"/>
    <w:rsid w:val="000F4ED1"/>
    <w:rsid w:val="000F576F"/>
    <w:rsid w:val="000F5FBC"/>
    <w:rsid w:val="000F644F"/>
    <w:rsid w:val="000F64AA"/>
    <w:rsid w:val="000F66B6"/>
    <w:rsid w:val="000F6AAE"/>
    <w:rsid w:val="000F7652"/>
    <w:rsid w:val="00100509"/>
    <w:rsid w:val="00101370"/>
    <w:rsid w:val="001013DB"/>
    <w:rsid w:val="001019FB"/>
    <w:rsid w:val="00101CC5"/>
    <w:rsid w:val="00101E50"/>
    <w:rsid w:val="00101E74"/>
    <w:rsid w:val="001020E6"/>
    <w:rsid w:val="00102893"/>
    <w:rsid w:val="001028A8"/>
    <w:rsid w:val="001028F8"/>
    <w:rsid w:val="00102C16"/>
    <w:rsid w:val="00102D46"/>
    <w:rsid w:val="001034ED"/>
    <w:rsid w:val="001039E5"/>
    <w:rsid w:val="00103A04"/>
    <w:rsid w:val="00103A3F"/>
    <w:rsid w:val="00104440"/>
    <w:rsid w:val="001044E7"/>
    <w:rsid w:val="00104BD6"/>
    <w:rsid w:val="00104EB1"/>
    <w:rsid w:val="00105171"/>
    <w:rsid w:val="001052A3"/>
    <w:rsid w:val="00105500"/>
    <w:rsid w:val="00105750"/>
    <w:rsid w:val="00105AFC"/>
    <w:rsid w:val="00105BE8"/>
    <w:rsid w:val="00105DDD"/>
    <w:rsid w:val="001060E9"/>
    <w:rsid w:val="001061CE"/>
    <w:rsid w:val="0010628C"/>
    <w:rsid w:val="001062A7"/>
    <w:rsid w:val="001062FC"/>
    <w:rsid w:val="001063E3"/>
    <w:rsid w:val="001064A7"/>
    <w:rsid w:val="00106821"/>
    <w:rsid w:val="001068D8"/>
    <w:rsid w:val="00106B05"/>
    <w:rsid w:val="00106EE1"/>
    <w:rsid w:val="00106F65"/>
    <w:rsid w:val="0010725E"/>
    <w:rsid w:val="00107347"/>
    <w:rsid w:val="0010740C"/>
    <w:rsid w:val="0010756E"/>
    <w:rsid w:val="00107A8D"/>
    <w:rsid w:val="00110FE8"/>
    <w:rsid w:val="001116FC"/>
    <w:rsid w:val="00111702"/>
    <w:rsid w:val="00111715"/>
    <w:rsid w:val="00111A62"/>
    <w:rsid w:val="00111DE1"/>
    <w:rsid w:val="001120D0"/>
    <w:rsid w:val="001123C6"/>
    <w:rsid w:val="00112503"/>
    <w:rsid w:val="00112641"/>
    <w:rsid w:val="00112A91"/>
    <w:rsid w:val="00113040"/>
    <w:rsid w:val="00113356"/>
    <w:rsid w:val="00113B57"/>
    <w:rsid w:val="0011407D"/>
    <w:rsid w:val="001144D0"/>
    <w:rsid w:val="0011473C"/>
    <w:rsid w:val="001147A0"/>
    <w:rsid w:val="00114AF0"/>
    <w:rsid w:val="00114B18"/>
    <w:rsid w:val="00115028"/>
    <w:rsid w:val="001156FC"/>
    <w:rsid w:val="00115831"/>
    <w:rsid w:val="001159B1"/>
    <w:rsid w:val="00115A29"/>
    <w:rsid w:val="00115ECA"/>
    <w:rsid w:val="00116B72"/>
    <w:rsid w:val="00116C72"/>
    <w:rsid w:val="00116CB0"/>
    <w:rsid w:val="00117320"/>
    <w:rsid w:val="0011754C"/>
    <w:rsid w:val="00117728"/>
    <w:rsid w:val="00117DBF"/>
    <w:rsid w:val="00117F21"/>
    <w:rsid w:val="0012074A"/>
    <w:rsid w:val="00120D57"/>
    <w:rsid w:val="00121130"/>
    <w:rsid w:val="001211E0"/>
    <w:rsid w:val="00121512"/>
    <w:rsid w:val="00122955"/>
    <w:rsid w:val="00122B99"/>
    <w:rsid w:val="00122F57"/>
    <w:rsid w:val="001231C4"/>
    <w:rsid w:val="001231C8"/>
    <w:rsid w:val="00123744"/>
    <w:rsid w:val="00123816"/>
    <w:rsid w:val="00123A56"/>
    <w:rsid w:val="00123A5D"/>
    <w:rsid w:val="00123A9B"/>
    <w:rsid w:val="00124578"/>
    <w:rsid w:val="001246BD"/>
    <w:rsid w:val="00124A98"/>
    <w:rsid w:val="001250F3"/>
    <w:rsid w:val="00125133"/>
    <w:rsid w:val="00125413"/>
    <w:rsid w:val="0012550B"/>
    <w:rsid w:val="001256D0"/>
    <w:rsid w:val="00125999"/>
    <w:rsid w:val="00125C4B"/>
    <w:rsid w:val="00125CB3"/>
    <w:rsid w:val="00125D28"/>
    <w:rsid w:val="00126290"/>
    <w:rsid w:val="0012688A"/>
    <w:rsid w:val="00126B45"/>
    <w:rsid w:val="00126EB5"/>
    <w:rsid w:val="00127882"/>
    <w:rsid w:val="001305B1"/>
    <w:rsid w:val="00130623"/>
    <w:rsid w:val="00130A2D"/>
    <w:rsid w:val="00130BA6"/>
    <w:rsid w:val="00130E11"/>
    <w:rsid w:val="0013169D"/>
    <w:rsid w:val="00131F67"/>
    <w:rsid w:val="00131F69"/>
    <w:rsid w:val="00132D5D"/>
    <w:rsid w:val="00132EA3"/>
    <w:rsid w:val="0013305D"/>
    <w:rsid w:val="00133DB1"/>
    <w:rsid w:val="00134024"/>
    <w:rsid w:val="001340C3"/>
    <w:rsid w:val="0013486D"/>
    <w:rsid w:val="00134C86"/>
    <w:rsid w:val="0013550F"/>
    <w:rsid w:val="00135640"/>
    <w:rsid w:val="001359EF"/>
    <w:rsid w:val="00135E22"/>
    <w:rsid w:val="001362A2"/>
    <w:rsid w:val="00136392"/>
    <w:rsid w:val="00136668"/>
    <w:rsid w:val="00136713"/>
    <w:rsid w:val="001375FC"/>
    <w:rsid w:val="00137DBD"/>
    <w:rsid w:val="00140664"/>
    <w:rsid w:val="00140670"/>
    <w:rsid w:val="0014075E"/>
    <w:rsid w:val="00140F37"/>
    <w:rsid w:val="00140F8F"/>
    <w:rsid w:val="0014111D"/>
    <w:rsid w:val="00141570"/>
    <w:rsid w:val="001416FD"/>
    <w:rsid w:val="00141744"/>
    <w:rsid w:val="00141B51"/>
    <w:rsid w:val="00142241"/>
    <w:rsid w:val="0014270B"/>
    <w:rsid w:val="0014291D"/>
    <w:rsid w:val="001437FA"/>
    <w:rsid w:val="001438EC"/>
    <w:rsid w:val="00143A2C"/>
    <w:rsid w:val="00143F71"/>
    <w:rsid w:val="001440A8"/>
    <w:rsid w:val="0014439B"/>
    <w:rsid w:val="00144736"/>
    <w:rsid w:val="001448CE"/>
    <w:rsid w:val="00144F84"/>
    <w:rsid w:val="00145051"/>
    <w:rsid w:val="00145395"/>
    <w:rsid w:val="00145824"/>
    <w:rsid w:val="00145A60"/>
    <w:rsid w:val="00145C6F"/>
    <w:rsid w:val="00146608"/>
    <w:rsid w:val="00146FC9"/>
    <w:rsid w:val="0014747E"/>
    <w:rsid w:val="00147679"/>
    <w:rsid w:val="00147784"/>
    <w:rsid w:val="00147789"/>
    <w:rsid w:val="001478A5"/>
    <w:rsid w:val="001479CF"/>
    <w:rsid w:val="00147A18"/>
    <w:rsid w:val="00150195"/>
    <w:rsid w:val="00150784"/>
    <w:rsid w:val="001507C9"/>
    <w:rsid w:val="0015120C"/>
    <w:rsid w:val="00151FF1"/>
    <w:rsid w:val="0015205C"/>
    <w:rsid w:val="00152390"/>
    <w:rsid w:val="001529F3"/>
    <w:rsid w:val="00152F6F"/>
    <w:rsid w:val="001535CC"/>
    <w:rsid w:val="001537E7"/>
    <w:rsid w:val="001539BD"/>
    <w:rsid w:val="00153A90"/>
    <w:rsid w:val="00153AB2"/>
    <w:rsid w:val="00153CB4"/>
    <w:rsid w:val="001544DC"/>
    <w:rsid w:val="001544EE"/>
    <w:rsid w:val="00154B0E"/>
    <w:rsid w:val="00154BFB"/>
    <w:rsid w:val="00154D9B"/>
    <w:rsid w:val="00154F80"/>
    <w:rsid w:val="001550E5"/>
    <w:rsid w:val="00155128"/>
    <w:rsid w:val="00155162"/>
    <w:rsid w:val="00155639"/>
    <w:rsid w:val="00155784"/>
    <w:rsid w:val="00155BF4"/>
    <w:rsid w:val="00155EAE"/>
    <w:rsid w:val="00155EBF"/>
    <w:rsid w:val="00155F96"/>
    <w:rsid w:val="001562A4"/>
    <w:rsid w:val="001562B4"/>
    <w:rsid w:val="001562F7"/>
    <w:rsid w:val="00156354"/>
    <w:rsid w:val="00156981"/>
    <w:rsid w:val="00156B23"/>
    <w:rsid w:val="0015718C"/>
    <w:rsid w:val="0015738B"/>
    <w:rsid w:val="001575CF"/>
    <w:rsid w:val="00157B58"/>
    <w:rsid w:val="00157DB3"/>
    <w:rsid w:val="00157EB2"/>
    <w:rsid w:val="001601EE"/>
    <w:rsid w:val="001607F3"/>
    <w:rsid w:val="00160DB0"/>
    <w:rsid w:val="00161A61"/>
    <w:rsid w:val="00161B0D"/>
    <w:rsid w:val="001624E1"/>
    <w:rsid w:val="00162660"/>
    <w:rsid w:val="0016299C"/>
    <w:rsid w:val="0016310C"/>
    <w:rsid w:val="0016347D"/>
    <w:rsid w:val="001638BF"/>
    <w:rsid w:val="001638EF"/>
    <w:rsid w:val="00163D48"/>
    <w:rsid w:val="001640B1"/>
    <w:rsid w:val="001642C3"/>
    <w:rsid w:val="0016459F"/>
    <w:rsid w:val="001646FE"/>
    <w:rsid w:val="00164D29"/>
    <w:rsid w:val="00164EDB"/>
    <w:rsid w:val="00164F92"/>
    <w:rsid w:val="001650AF"/>
    <w:rsid w:val="00165385"/>
    <w:rsid w:val="00166AC0"/>
    <w:rsid w:val="00167333"/>
    <w:rsid w:val="00167853"/>
    <w:rsid w:val="001679D6"/>
    <w:rsid w:val="00167CEA"/>
    <w:rsid w:val="00167E6F"/>
    <w:rsid w:val="00167EDE"/>
    <w:rsid w:val="00170491"/>
    <w:rsid w:val="0017073A"/>
    <w:rsid w:val="00170D14"/>
    <w:rsid w:val="00170DBB"/>
    <w:rsid w:val="001716B7"/>
    <w:rsid w:val="001716EC"/>
    <w:rsid w:val="00171A24"/>
    <w:rsid w:val="00171FE3"/>
    <w:rsid w:val="0017243D"/>
    <w:rsid w:val="00172896"/>
    <w:rsid w:val="00172A6D"/>
    <w:rsid w:val="00172D8F"/>
    <w:rsid w:val="00173710"/>
    <w:rsid w:val="00173F69"/>
    <w:rsid w:val="0017404E"/>
    <w:rsid w:val="00174198"/>
    <w:rsid w:val="00174273"/>
    <w:rsid w:val="00174711"/>
    <w:rsid w:val="0017476D"/>
    <w:rsid w:val="00174B3D"/>
    <w:rsid w:val="00174D29"/>
    <w:rsid w:val="001756CC"/>
    <w:rsid w:val="00175E15"/>
    <w:rsid w:val="001763B6"/>
    <w:rsid w:val="00176FD1"/>
    <w:rsid w:val="001772A5"/>
    <w:rsid w:val="0017753A"/>
    <w:rsid w:val="00177832"/>
    <w:rsid w:val="00177D42"/>
    <w:rsid w:val="001800B5"/>
    <w:rsid w:val="00180192"/>
    <w:rsid w:val="0018035B"/>
    <w:rsid w:val="001805DB"/>
    <w:rsid w:val="001808F3"/>
    <w:rsid w:val="00180CD4"/>
    <w:rsid w:val="00181057"/>
    <w:rsid w:val="001817C2"/>
    <w:rsid w:val="00181B74"/>
    <w:rsid w:val="00181BE0"/>
    <w:rsid w:val="00182316"/>
    <w:rsid w:val="00182317"/>
    <w:rsid w:val="001828B7"/>
    <w:rsid w:val="00182B41"/>
    <w:rsid w:val="00182BDD"/>
    <w:rsid w:val="00182CC0"/>
    <w:rsid w:val="001835F2"/>
    <w:rsid w:val="00184B2D"/>
    <w:rsid w:val="00184D53"/>
    <w:rsid w:val="00184FCC"/>
    <w:rsid w:val="001857FB"/>
    <w:rsid w:val="00185DDA"/>
    <w:rsid w:val="00185FE9"/>
    <w:rsid w:val="00186128"/>
    <w:rsid w:val="001861F5"/>
    <w:rsid w:val="001868E9"/>
    <w:rsid w:val="00186B7E"/>
    <w:rsid w:val="0018719F"/>
    <w:rsid w:val="00187CD4"/>
    <w:rsid w:val="0019059F"/>
    <w:rsid w:val="0019092D"/>
    <w:rsid w:val="00190995"/>
    <w:rsid w:val="001909FE"/>
    <w:rsid w:val="00190A3D"/>
    <w:rsid w:val="00190ADE"/>
    <w:rsid w:val="00190E69"/>
    <w:rsid w:val="00191832"/>
    <w:rsid w:val="0019183A"/>
    <w:rsid w:val="0019192F"/>
    <w:rsid w:val="00192119"/>
    <w:rsid w:val="00193145"/>
    <w:rsid w:val="00193C67"/>
    <w:rsid w:val="00193C78"/>
    <w:rsid w:val="00194B06"/>
    <w:rsid w:val="00194CDA"/>
    <w:rsid w:val="001952CF"/>
    <w:rsid w:val="00195309"/>
    <w:rsid w:val="00195648"/>
    <w:rsid w:val="00195843"/>
    <w:rsid w:val="0019598B"/>
    <w:rsid w:val="00195A34"/>
    <w:rsid w:val="00195EE7"/>
    <w:rsid w:val="00196625"/>
    <w:rsid w:val="00196A02"/>
    <w:rsid w:val="00196B18"/>
    <w:rsid w:val="00196DD0"/>
    <w:rsid w:val="00197485"/>
    <w:rsid w:val="0019774A"/>
    <w:rsid w:val="00197807"/>
    <w:rsid w:val="00197870"/>
    <w:rsid w:val="00197949"/>
    <w:rsid w:val="001979D8"/>
    <w:rsid w:val="00197A41"/>
    <w:rsid w:val="00197AF8"/>
    <w:rsid w:val="00197C78"/>
    <w:rsid w:val="001A00EB"/>
    <w:rsid w:val="001A07F4"/>
    <w:rsid w:val="001A0ADB"/>
    <w:rsid w:val="001A0D6E"/>
    <w:rsid w:val="001A1003"/>
    <w:rsid w:val="001A10BE"/>
    <w:rsid w:val="001A141A"/>
    <w:rsid w:val="001A1FBE"/>
    <w:rsid w:val="001A2754"/>
    <w:rsid w:val="001A291F"/>
    <w:rsid w:val="001A2FC5"/>
    <w:rsid w:val="001A3026"/>
    <w:rsid w:val="001A3A41"/>
    <w:rsid w:val="001A3CE8"/>
    <w:rsid w:val="001A4A87"/>
    <w:rsid w:val="001A579C"/>
    <w:rsid w:val="001A5B25"/>
    <w:rsid w:val="001A6350"/>
    <w:rsid w:val="001A6754"/>
    <w:rsid w:val="001A6A0C"/>
    <w:rsid w:val="001A6C23"/>
    <w:rsid w:val="001A6F20"/>
    <w:rsid w:val="001A6FB9"/>
    <w:rsid w:val="001A7071"/>
    <w:rsid w:val="001A789B"/>
    <w:rsid w:val="001A7A6A"/>
    <w:rsid w:val="001A7C30"/>
    <w:rsid w:val="001B062B"/>
    <w:rsid w:val="001B0C1B"/>
    <w:rsid w:val="001B0E6D"/>
    <w:rsid w:val="001B0EA4"/>
    <w:rsid w:val="001B1592"/>
    <w:rsid w:val="001B170D"/>
    <w:rsid w:val="001B1C9C"/>
    <w:rsid w:val="001B1E9C"/>
    <w:rsid w:val="001B1EEB"/>
    <w:rsid w:val="001B2106"/>
    <w:rsid w:val="001B22FD"/>
    <w:rsid w:val="001B2517"/>
    <w:rsid w:val="001B3268"/>
    <w:rsid w:val="001B32F9"/>
    <w:rsid w:val="001B34A6"/>
    <w:rsid w:val="001B440B"/>
    <w:rsid w:val="001B440F"/>
    <w:rsid w:val="001B4484"/>
    <w:rsid w:val="001B463F"/>
    <w:rsid w:val="001B469F"/>
    <w:rsid w:val="001B4E82"/>
    <w:rsid w:val="001B51EE"/>
    <w:rsid w:val="001B522A"/>
    <w:rsid w:val="001B53D8"/>
    <w:rsid w:val="001B540C"/>
    <w:rsid w:val="001B5996"/>
    <w:rsid w:val="001B5C3F"/>
    <w:rsid w:val="001B5CB9"/>
    <w:rsid w:val="001B5FE4"/>
    <w:rsid w:val="001B6916"/>
    <w:rsid w:val="001B6AF6"/>
    <w:rsid w:val="001B6CAD"/>
    <w:rsid w:val="001B6E25"/>
    <w:rsid w:val="001B72D2"/>
    <w:rsid w:val="001B7573"/>
    <w:rsid w:val="001B7A1D"/>
    <w:rsid w:val="001C016A"/>
    <w:rsid w:val="001C0B12"/>
    <w:rsid w:val="001C0B9B"/>
    <w:rsid w:val="001C10C9"/>
    <w:rsid w:val="001C13B1"/>
    <w:rsid w:val="001C13D2"/>
    <w:rsid w:val="001C17C7"/>
    <w:rsid w:val="001C1816"/>
    <w:rsid w:val="001C1B3D"/>
    <w:rsid w:val="001C2451"/>
    <w:rsid w:val="001C2C4F"/>
    <w:rsid w:val="001C2C8C"/>
    <w:rsid w:val="001C2DAB"/>
    <w:rsid w:val="001C44F9"/>
    <w:rsid w:val="001C4AB4"/>
    <w:rsid w:val="001C4ADF"/>
    <w:rsid w:val="001C4E47"/>
    <w:rsid w:val="001C514D"/>
    <w:rsid w:val="001C52C3"/>
    <w:rsid w:val="001C56C5"/>
    <w:rsid w:val="001C5B58"/>
    <w:rsid w:val="001C6769"/>
    <w:rsid w:val="001C7702"/>
    <w:rsid w:val="001C7BE8"/>
    <w:rsid w:val="001D02C0"/>
    <w:rsid w:val="001D0453"/>
    <w:rsid w:val="001D045F"/>
    <w:rsid w:val="001D052F"/>
    <w:rsid w:val="001D0584"/>
    <w:rsid w:val="001D0654"/>
    <w:rsid w:val="001D0D9B"/>
    <w:rsid w:val="001D1399"/>
    <w:rsid w:val="001D1425"/>
    <w:rsid w:val="001D142B"/>
    <w:rsid w:val="001D14D2"/>
    <w:rsid w:val="001D14EC"/>
    <w:rsid w:val="001D163D"/>
    <w:rsid w:val="001D17A3"/>
    <w:rsid w:val="001D23BA"/>
    <w:rsid w:val="001D2492"/>
    <w:rsid w:val="001D24EF"/>
    <w:rsid w:val="001D26DB"/>
    <w:rsid w:val="001D2B4A"/>
    <w:rsid w:val="001D2B55"/>
    <w:rsid w:val="001D2E63"/>
    <w:rsid w:val="001D330E"/>
    <w:rsid w:val="001D37D0"/>
    <w:rsid w:val="001D381B"/>
    <w:rsid w:val="001D3DC4"/>
    <w:rsid w:val="001D444D"/>
    <w:rsid w:val="001D4558"/>
    <w:rsid w:val="001D4A37"/>
    <w:rsid w:val="001D4A6D"/>
    <w:rsid w:val="001D4D87"/>
    <w:rsid w:val="001D4E35"/>
    <w:rsid w:val="001D5371"/>
    <w:rsid w:val="001D5C0C"/>
    <w:rsid w:val="001D5FAF"/>
    <w:rsid w:val="001D5FFF"/>
    <w:rsid w:val="001D60D9"/>
    <w:rsid w:val="001D6A12"/>
    <w:rsid w:val="001D6AA0"/>
    <w:rsid w:val="001D7425"/>
    <w:rsid w:val="001D78BD"/>
    <w:rsid w:val="001D7A85"/>
    <w:rsid w:val="001D7B16"/>
    <w:rsid w:val="001D7F58"/>
    <w:rsid w:val="001E02F1"/>
    <w:rsid w:val="001E0691"/>
    <w:rsid w:val="001E075C"/>
    <w:rsid w:val="001E0F98"/>
    <w:rsid w:val="001E1FC3"/>
    <w:rsid w:val="001E210B"/>
    <w:rsid w:val="001E220D"/>
    <w:rsid w:val="001E2561"/>
    <w:rsid w:val="001E27AD"/>
    <w:rsid w:val="001E2F5C"/>
    <w:rsid w:val="001E32CD"/>
    <w:rsid w:val="001E38FA"/>
    <w:rsid w:val="001E3AFA"/>
    <w:rsid w:val="001E3BF3"/>
    <w:rsid w:val="001E4239"/>
    <w:rsid w:val="001E56E8"/>
    <w:rsid w:val="001E6078"/>
    <w:rsid w:val="001E60FF"/>
    <w:rsid w:val="001E6465"/>
    <w:rsid w:val="001E65AA"/>
    <w:rsid w:val="001E6720"/>
    <w:rsid w:val="001E751C"/>
    <w:rsid w:val="001E7A43"/>
    <w:rsid w:val="001F0E6D"/>
    <w:rsid w:val="001F104A"/>
    <w:rsid w:val="001F10C3"/>
    <w:rsid w:val="001F1473"/>
    <w:rsid w:val="001F178D"/>
    <w:rsid w:val="001F198B"/>
    <w:rsid w:val="001F215F"/>
    <w:rsid w:val="001F23EC"/>
    <w:rsid w:val="001F2E1F"/>
    <w:rsid w:val="001F2FED"/>
    <w:rsid w:val="001F3071"/>
    <w:rsid w:val="001F31A9"/>
    <w:rsid w:val="001F31F8"/>
    <w:rsid w:val="001F34BC"/>
    <w:rsid w:val="001F3511"/>
    <w:rsid w:val="001F36D6"/>
    <w:rsid w:val="001F3BFF"/>
    <w:rsid w:val="001F4788"/>
    <w:rsid w:val="001F47D0"/>
    <w:rsid w:val="001F4CFC"/>
    <w:rsid w:val="001F4F39"/>
    <w:rsid w:val="001F5522"/>
    <w:rsid w:val="001F5790"/>
    <w:rsid w:val="001F5B08"/>
    <w:rsid w:val="001F7134"/>
    <w:rsid w:val="001F7620"/>
    <w:rsid w:val="001F7C83"/>
    <w:rsid w:val="001F7D2C"/>
    <w:rsid w:val="001F7D3E"/>
    <w:rsid w:val="001F7FF2"/>
    <w:rsid w:val="002001EE"/>
    <w:rsid w:val="00200A16"/>
    <w:rsid w:val="00200E94"/>
    <w:rsid w:val="002011BD"/>
    <w:rsid w:val="0020143F"/>
    <w:rsid w:val="00201F86"/>
    <w:rsid w:val="0020207D"/>
    <w:rsid w:val="002024E7"/>
    <w:rsid w:val="002027BF"/>
    <w:rsid w:val="00202A3E"/>
    <w:rsid w:val="00202C42"/>
    <w:rsid w:val="002032C2"/>
    <w:rsid w:val="002037FC"/>
    <w:rsid w:val="00203963"/>
    <w:rsid w:val="00203BB7"/>
    <w:rsid w:val="00203D6F"/>
    <w:rsid w:val="00203DEE"/>
    <w:rsid w:val="00203EE0"/>
    <w:rsid w:val="00203F07"/>
    <w:rsid w:val="00203FBE"/>
    <w:rsid w:val="00204717"/>
    <w:rsid w:val="00204767"/>
    <w:rsid w:val="0020488B"/>
    <w:rsid w:val="0020491A"/>
    <w:rsid w:val="00204A49"/>
    <w:rsid w:val="00204A84"/>
    <w:rsid w:val="00204B26"/>
    <w:rsid w:val="00205166"/>
    <w:rsid w:val="002055F4"/>
    <w:rsid w:val="00205C53"/>
    <w:rsid w:val="00205C8E"/>
    <w:rsid w:val="00205D8C"/>
    <w:rsid w:val="002061CF"/>
    <w:rsid w:val="0020621D"/>
    <w:rsid w:val="002063ED"/>
    <w:rsid w:val="002067EC"/>
    <w:rsid w:val="00206879"/>
    <w:rsid w:val="00206B47"/>
    <w:rsid w:val="00206BCB"/>
    <w:rsid w:val="00206CF1"/>
    <w:rsid w:val="00206E74"/>
    <w:rsid w:val="002072BE"/>
    <w:rsid w:val="002075C4"/>
    <w:rsid w:val="00207A8D"/>
    <w:rsid w:val="00207F68"/>
    <w:rsid w:val="002100EE"/>
    <w:rsid w:val="00210253"/>
    <w:rsid w:val="002106C6"/>
    <w:rsid w:val="00210718"/>
    <w:rsid w:val="002108BA"/>
    <w:rsid w:val="00210AE1"/>
    <w:rsid w:val="00210BC8"/>
    <w:rsid w:val="00210D25"/>
    <w:rsid w:val="00211487"/>
    <w:rsid w:val="00211497"/>
    <w:rsid w:val="00211D82"/>
    <w:rsid w:val="00211E4F"/>
    <w:rsid w:val="0021288D"/>
    <w:rsid w:val="00212BCA"/>
    <w:rsid w:val="00212BFA"/>
    <w:rsid w:val="002131F4"/>
    <w:rsid w:val="00213459"/>
    <w:rsid w:val="00213EE7"/>
    <w:rsid w:val="00213FE9"/>
    <w:rsid w:val="00214D9C"/>
    <w:rsid w:val="00214F15"/>
    <w:rsid w:val="0021541D"/>
    <w:rsid w:val="002154BC"/>
    <w:rsid w:val="0021553A"/>
    <w:rsid w:val="0021570E"/>
    <w:rsid w:val="002159D7"/>
    <w:rsid w:val="00215CCB"/>
    <w:rsid w:val="00215E54"/>
    <w:rsid w:val="00215F33"/>
    <w:rsid w:val="00216098"/>
    <w:rsid w:val="00216380"/>
    <w:rsid w:val="00216DE7"/>
    <w:rsid w:val="00216DEB"/>
    <w:rsid w:val="002178A1"/>
    <w:rsid w:val="00217B29"/>
    <w:rsid w:val="00217CDB"/>
    <w:rsid w:val="00217E13"/>
    <w:rsid w:val="002200D5"/>
    <w:rsid w:val="002200FA"/>
    <w:rsid w:val="0022015D"/>
    <w:rsid w:val="00220843"/>
    <w:rsid w:val="00220A9D"/>
    <w:rsid w:val="002211F6"/>
    <w:rsid w:val="00221272"/>
    <w:rsid w:val="0022152A"/>
    <w:rsid w:val="00221A63"/>
    <w:rsid w:val="00221B79"/>
    <w:rsid w:val="0022202A"/>
    <w:rsid w:val="0022250C"/>
    <w:rsid w:val="00222524"/>
    <w:rsid w:val="0022282D"/>
    <w:rsid w:val="00222D37"/>
    <w:rsid w:val="00222F50"/>
    <w:rsid w:val="00223089"/>
    <w:rsid w:val="00223271"/>
    <w:rsid w:val="00223380"/>
    <w:rsid w:val="00223395"/>
    <w:rsid w:val="00223982"/>
    <w:rsid w:val="00223DB4"/>
    <w:rsid w:val="00224157"/>
    <w:rsid w:val="002241C6"/>
    <w:rsid w:val="00224835"/>
    <w:rsid w:val="00224AB3"/>
    <w:rsid w:val="0022500C"/>
    <w:rsid w:val="0022504E"/>
    <w:rsid w:val="0022607F"/>
    <w:rsid w:val="00226468"/>
    <w:rsid w:val="0022698E"/>
    <w:rsid w:val="00226A5D"/>
    <w:rsid w:val="00226C9E"/>
    <w:rsid w:val="002273B1"/>
    <w:rsid w:val="00227611"/>
    <w:rsid w:val="00227984"/>
    <w:rsid w:val="00227EA5"/>
    <w:rsid w:val="00230810"/>
    <w:rsid w:val="00230878"/>
    <w:rsid w:val="00230DBB"/>
    <w:rsid w:val="00230DC2"/>
    <w:rsid w:val="00230F37"/>
    <w:rsid w:val="002315D4"/>
    <w:rsid w:val="002322F5"/>
    <w:rsid w:val="00232380"/>
    <w:rsid w:val="002323C8"/>
    <w:rsid w:val="0023254F"/>
    <w:rsid w:val="00233DA6"/>
    <w:rsid w:val="002342F6"/>
    <w:rsid w:val="00234999"/>
    <w:rsid w:val="002349B2"/>
    <w:rsid w:val="00235D15"/>
    <w:rsid w:val="00236001"/>
    <w:rsid w:val="00236081"/>
    <w:rsid w:val="002366B7"/>
    <w:rsid w:val="00236FAD"/>
    <w:rsid w:val="00237351"/>
    <w:rsid w:val="00237680"/>
    <w:rsid w:val="002377A5"/>
    <w:rsid w:val="00237BCA"/>
    <w:rsid w:val="00237D85"/>
    <w:rsid w:val="00240498"/>
    <w:rsid w:val="00240965"/>
    <w:rsid w:val="00240C9B"/>
    <w:rsid w:val="00241601"/>
    <w:rsid w:val="00241797"/>
    <w:rsid w:val="0024181D"/>
    <w:rsid w:val="00241B87"/>
    <w:rsid w:val="00241E29"/>
    <w:rsid w:val="0024201D"/>
    <w:rsid w:val="0024219A"/>
    <w:rsid w:val="00242391"/>
    <w:rsid w:val="002429AC"/>
    <w:rsid w:val="00242D7A"/>
    <w:rsid w:val="00242F4B"/>
    <w:rsid w:val="002442A4"/>
    <w:rsid w:val="00244A0D"/>
    <w:rsid w:val="00244BED"/>
    <w:rsid w:val="00244E27"/>
    <w:rsid w:val="0024507D"/>
    <w:rsid w:val="0024547F"/>
    <w:rsid w:val="002456AE"/>
    <w:rsid w:val="00245857"/>
    <w:rsid w:val="00245AD8"/>
    <w:rsid w:val="00245B9A"/>
    <w:rsid w:val="00246305"/>
    <w:rsid w:val="002463CC"/>
    <w:rsid w:val="00246898"/>
    <w:rsid w:val="00247185"/>
    <w:rsid w:val="00247255"/>
    <w:rsid w:val="00247377"/>
    <w:rsid w:val="00247917"/>
    <w:rsid w:val="00247D9F"/>
    <w:rsid w:val="0025042D"/>
    <w:rsid w:val="00250775"/>
    <w:rsid w:val="00250838"/>
    <w:rsid w:val="00250B04"/>
    <w:rsid w:val="002512BB"/>
    <w:rsid w:val="00251F0B"/>
    <w:rsid w:val="00252784"/>
    <w:rsid w:val="00252A1B"/>
    <w:rsid w:val="00252B39"/>
    <w:rsid w:val="00252C15"/>
    <w:rsid w:val="00252CB4"/>
    <w:rsid w:val="00252D62"/>
    <w:rsid w:val="00252F4F"/>
    <w:rsid w:val="002534C8"/>
    <w:rsid w:val="0025392C"/>
    <w:rsid w:val="00253E9C"/>
    <w:rsid w:val="00253F98"/>
    <w:rsid w:val="002541F7"/>
    <w:rsid w:val="002545E6"/>
    <w:rsid w:val="00254C8A"/>
    <w:rsid w:val="00254F3C"/>
    <w:rsid w:val="0025518E"/>
    <w:rsid w:val="002556B8"/>
    <w:rsid w:val="0025636D"/>
    <w:rsid w:val="00256650"/>
    <w:rsid w:val="00256667"/>
    <w:rsid w:val="0025730F"/>
    <w:rsid w:val="00257794"/>
    <w:rsid w:val="00257867"/>
    <w:rsid w:val="00257B27"/>
    <w:rsid w:val="002600A9"/>
    <w:rsid w:val="00260827"/>
    <w:rsid w:val="00260C86"/>
    <w:rsid w:val="0026102B"/>
    <w:rsid w:val="002614D1"/>
    <w:rsid w:val="0026251E"/>
    <w:rsid w:val="002630C9"/>
    <w:rsid w:val="00263350"/>
    <w:rsid w:val="002639B4"/>
    <w:rsid w:val="00263A6B"/>
    <w:rsid w:val="00264911"/>
    <w:rsid w:val="00264DAE"/>
    <w:rsid w:val="002651BD"/>
    <w:rsid w:val="002651CB"/>
    <w:rsid w:val="002656EC"/>
    <w:rsid w:val="0026571B"/>
    <w:rsid w:val="00265BB9"/>
    <w:rsid w:val="00266019"/>
    <w:rsid w:val="00266290"/>
    <w:rsid w:val="00266743"/>
    <w:rsid w:val="00266AA8"/>
    <w:rsid w:val="00266ABD"/>
    <w:rsid w:val="00266F46"/>
    <w:rsid w:val="00266F78"/>
    <w:rsid w:val="00267259"/>
    <w:rsid w:val="0026795B"/>
    <w:rsid w:val="00267D57"/>
    <w:rsid w:val="00267DBF"/>
    <w:rsid w:val="00270588"/>
    <w:rsid w:val="00270D32"/>
    <w:rsid w:val="00270D98"/>
    <w:rsid w:val="002713EE"/>
    <w:rsid w:val="00271A02"/>
    <w:rsid w:val="00271AB5"/>
    <w:rsid w:val="00271E2B"/>
    <w:rsid w:val="00272683"/>
    <w:rsid w:val="002726D4"/>
    <w:rsid w:val="002727A5"/>
    <w:rsid w:val="00272C1F"/>
    <w:rsid w:val="0027320F"/>
    <w:rsid w:val="002734B5"/>
    <w:rsid w:val="002739C0"/>
    <w:rsid w:val="002739F0"/>
    <w:rsid w:val="00273A32"/>
    <w:rsid w:val="00273AB0"/>
    <w:rsid w:val="00273DA0"/>
    <w:rsid w:val="00273E4D"/>
    <w:rsid w:val="00273F1D"/>
    <w:rsid w:val="0027437C"/>
    <w:rsid w:val="0027445E"/>
    <w:rsid w:val="002745C2"/>
    <w:rsid w:val="00275047"/>
    <w:rsid w:val="00275736"/>
    <w:rsid w:val="00275F15"/>
    <w:rsid w:val="002760F1"/>
    <w:rsid w:val="0027637E"/>
    <w:rsid w:val="0027639F"/>
    <w:rsid w:val="00276818"/>
    <w:rsid w:val="00276AF6"/>
    <w:rsid w:val="00276B89"/>
    <w:rsid w:val="00276E79"/>
    <w:rsid w:val="002773E8"/>
    <w:rsid w:val="00277ADD"/>
    <w:rsid w:val="00280188"/>
    <w:rsid w:val="002804E1"/>
    <w:rsid w:val="00280522"/>
    <w:rsid w:val="002807D8"/>
    <w:rsid w:val="00280BA7"/>
    <w:rsid w:val="00280C6B"/>
    <w:rsid w:val="00280CBE"/>
    <w:rsid w:val="00281546"/>
    <w:rsid w:val="00281943"/>
    <w:rsid w:val="00281DA9"/>
    <w:rsid w:val="00281E7D"/>
    <w:rsid w:val="00282281"/>
    <w:rsid w:val="0028238D"/>
    <w:rsid w:val="002826B6"/>
    <w:rsid w:val="00282BEB"/>
    <w:rsid w:val="00282F1A"/>
    <w:rsid w:val="00283089"/>
    <w:rsid w:val="002832EF"/>
    <w:rsid w:val="002833D9"/>
    <w:rsid w:val="0028387C"/>
    <w:rsid w:val="00283967"/>
    <w:rsid w:val="002840A6"/>
    <w:rsid w:val="0028460E"/>
    <w:rsid w:val="00284637"/>
    <w:rsid w:val="002853CA"/>
    <w:rsid w:val="00285A6B"/>
    <w:rsid w:val="00285C6C"/>
    <w:rsid w:val="00285FE3"/>
    <w:rsid w:val="002864BF"/>
    <w:rsid w:val="00286B9D"/>
    <w:rsid w:val="00286FAB"/>
    <w:rsid w:val="00287331"/>
    <w:rsid w:val="002879A7"/>
    <w:rsid w:val="00287ABB"/>
    <w:rsid w:val="00287C35"/>
    <w:rsid w:val="0029006F"/>
    <w:rsid w:val="00290111"/>
    <w:rsid w:val="0029014B"/>
    <w:rsid w:val="00290711"/>
    <w:rsid w:val="00291812"/>
    <w:rsid w:val="00291A6A"/>
    <w:rsid w:val="00291AA1"/>
    <w:rsid w:val="00292009"/>
    <w:rsid w:val="00292692"/>
    <w:rsid w:val="002931D6"/>
    <w:rsid w:val="00293230"/>
    <w:rsid w:val="00294000"/>
    <w:rsid w:val="002949B4"/>
    <w:rsid w:val="00294E2E"/>
    <w:rsid w:val="00295005"/>
    <w:rsid w:val="00295594"/>
    <w:rsid w:val="002955A4"/>
    <w:rsid w:val="00295AC9"/>
    <w:rsid w:val="00295B84"/>
    <w:rsid w:val="00295C35"/>
    <w:rsid w:val="00295E07"/>
    <w:rsid w:val="00295E08"/>
    <w:rsid w:val="00295EDB"/>
    <w:rsid w:val="00296144"/>
    <w:rsid w:val="0029625F"/>
    <w:rsid w:val="0029648B"/>
    <w:rsid w:val="00296583"/>
    <w:rsid w:val="00296614"/>
    <w:rsid w:val="00296E79"/>
    <w:rsid w:val="002970D9"/>
    <w:rsid w:val="00297312"/>
    <w:rsid w:val="002A071D"/>
    <w:rsid w:val="002A09A9"/>
    <w:rsid w:val="002A0E2B"/>
    <w:rsid w:val="002A2205"/>
    <w:rsid w:val="002A22A5"/>
    <w:rsid w:val="002A22C4"/>
    <w:rsid w:val="002A2405"/>
    <w:rsid w:val="002A26DC"/>
    <w:rsid w:val="002A2934"/>
    <w:rsid w:val="002A2A0E"/>
    <w:rsid w:val="002A322B"/>
    <w:rsid w:val="002A3446"/>
    <w:rsid w:val="002A3758"/>
    <w:rsid w:val="002A37F9"/>
    <w:rsid w:val="002A3BDB"/>
    <w:rsid w:val="002A43FA"/>
    <w:rsid w:val="002A4863"/>
    <w:rsid w:val="002A4B4D"/>
    <w:rsid w:val="002A4BF2"/>
    <w:rsid w:val="002A5819"/>
    <w:rsid w:val="002A590D"/>
    <w:rsid w:val="002A5E61"/>
    <w:rsid w:val="002A5E91"/>
    <w:rsid w:val="002A6146"/>
    <w:rsid w:val="002A6232"/>
    <w:rsid w:val="002A6382"/>
    <w:rsid w:val="002A6474"/>
    <w:rsid w:val="002A66DD"/>
    <w:rsid w:val="002A6EE6"/>
    <w:rsid w:val="002A7569"/>
    <w:rsid w:val="002A75D2"/>
    <w:rsid w:val="002A7BB4"/>
    <w:rsid w:val="002B00BA"/>
    <w:rsid w:val="002B149F"/>
    <w:rsid w:val="002B1609"/>
    <w:rsid w:val="002B179D"/>
    <w:rsid w:val="002B17EE"/>
    <w:rsid w:val="002B214C"/>
    <w:rsid w:val="002B2821"/>
    <w:rsid w:val="002B2C83"/>
    <w:rsid w:val="002B2D74"/>
    <w:rsid w:val="002B2F9F"/>
    <w:rsid w:val="002B320D"/>
    <w:rsid w:val="002B3475"/>
    <w:rsid w:val="002B3A40"/>
    <w:rsid w:val="002B4682"/>
    <w:rsid w:val="002B47C3"/>
    <w:rsid w:val="002B4AB7"/>
    <w:rsid w:val="002B531F"/>
    <w:rsid w:val="002B541A"/>
    <w:rsid w:val="002B56FC"/>
    <w:rsid w:val="002B5909"/>
    <w:rsid w:val="002B5F17"/>
    <w:rsid w:val="002B6956"/>
    <w:rsid w:val="002B6E24"/>
    <w:rsid w:val="002B6F0D"/>
    <w:rsid w:val="002B79B9"/>
    <w:rsid w:val="002B7E1B"/>
    <w:rsid w:val="002C0316"/>
    <w:rsid w:val="002C0A8F"/>
    <w:rsid w:val="002C0CB2"/>
    <w:rsid w:val="002C0DBA"/>
    <w:rsid w:val="002C0ECA"/>
    <w:rsid w:val="002C0F21"/>
    <w:rsid w:val="002C11DF"/>
    <w:rsid w:val="002C15BA"/>
    <w:rsid w:val="002C1CA4"/>
    <w:rsid w:val="002C1EF4"/>
    <w:rsid w:val="002C25ED"/>
    <w:rsid w:val="002C275E"/>
    <w:rsid w:val="002C2CE7"/>
    <w:rsid w:val="002C315B"/>
    <w:rsid w:val="002C3329"/>
    <w:rsid w:val="002C34A0"/>
    <w:rsid w:val="002C3D78"/>
    <w:rsid w:val="002C3E00"/>
    <w:rsid w:val="002C407F"/>
    <w:rsid w:val="002C419D"/>
    <w:rsid w:val="002C4237"/>
    <w:rsid w:val="002C437A"/>
    <w:rsid w:val="002C454F"/>
    <w:rsid w:val="002C459B"/>
    <w:rsid w:val="002C4B62"/>
    <w:rsid w:val="002C4C75"/>
    <w:rsid w:val="002C4E91"/>
    <w:rsid w:val="002C4EBC"/>
    <w:rsid w:val="002C4FF9"/>
    <w:rsid w:val="002C50B7"/>
    <w:rsid w:val="002C55E2"/>
    <w:rsid w:val="002C56BE"/>
    <w:rsid w:val="002C58EB"/>
    <w:rsid w:val="002C6335"/>
    <w:rsid w:val="002C63ED"/>
    <w:rsid w:val="002C6403"/>
    <w:rsid w:val="002C68D9"/>
    <w:rsid w:val="002C6D5E"/>
    <w:rsid w:val="002C71DD"/>
    <w:rsid w:val="002C7915"/>
    <w:rsid w:val="002C7D4B"/>
    <w:rsid w:val="002C7EDA"/>
    <w:rsid w:val="002C7EE5"/>
    <w:rsid w:val="002D02B0"/>
    <w:rsid w:val="002D05C9"/>
    <w:rsid w:val="002D05DD"/>
    <w:rsid w:val="002D0A0B"/>
    <w:rsid w:val="002D0A73"/>
    <w:rsid w:val="002D0B2F"/>
    <w:rsid w:val="002D0E8C"/>
    <w:rsid w:val="002D102E"/>
    <w:rsid w:val="002D11D9"/>
    <w:rsid w:val="002D1883"/>
    <w:rsid w:val="002D1A5F"/>
    <w:rsid w:val="002D1B0C"/>
    <w:rsid w:val="002D1F2C"/>
    <w:rsid w:val="002D22DC"/>
    <w:rsid w:val="002D25DC"/>
    <w:rsid w:val="002D261B"/>
    <w:rsid w:val="002D2641"/>
    <w:rsid w:val="002D2B0D"/>
    <w:rsid w:val="002D2D20"/>
    <w:rsid w:val="002D3240"/>
    <w:rsid w:val="002D3425"/>
    <w:rsid w:val="002D3491"/>
    <w:rsid w:val="002D3850"/>
    <w:rsid w:val="002D4237"/>
    <w:rsid w:val="002D4CB7"/>
    <w:rsid w:val="002D4D72"/>
    <w:rsid w:val="002D4F99"/>
    <w:rsid w:val="002D4FB2"/>
    <w:rsid w:val="002D5AB8"/>
    <w:rsid w:val="002D5D63"/>
    <w:rsid w:val="002D6405"/>
    <w:rsid w:val="002D69CB"/>
    <w:rsid w:val="002D700B"/>
    <w:rsid w:val="002D70FD"/>
    <w:rsid w:val="002D71BB"/>
    <w:rsid w:val="002D72CD"/>
    <w:rsid w:val="002D75A2"/>
    <w:rsid w:val="002D7DEA"/>
    <w:rsid w:val="002E05DC"/>
    <w:rsid w:val="002E0E1F"/>
    <w:rsid w:val="002E0E2C"/>
    <w:rsid w:val="002E1002"/>
    <w:rsid w:val="002E12C0"/>
    <w:rsid w:val="002E12C9"/>
    <w:rsid w:val="002E158F"/>
    <w:rsid w:val="002E167A"/>
    <w:rsid w:val="002E1A05"/>
    <w:rsid w:val="002E1C2F"/>
    <w:rsid w:val="002E1CF7"/>
    <w:rsid w:val="002E1D6A"/>
    <w:rsid w:val="002E29BB"/>
    <w:rsid w:val="002E2A3D"/>
    <w:rsid w:val="002E2C5B"/>
    <w:rsid w:val="002E3271"/>
    <w:rsid w:val="002E35B7"/>
    <w:rsid w:val="002E36C3"/>
    <w:rsid w:val="002E3E58"/>
    <w:rsid w:val="002E5AAD"/>
    <w:rsid w:val="002E5C88"/>
    <w:rsid w:val="002E609A"/>
    <w:rsid w:val="002E6D4B"/>
    <w:rsid w:val="002E70F2"/>
    <w:rsid w:val="002E75AE"/>
    <w:rsid w:val="002E7DC8"/>
    <w:rsid w:val="002F0407"/>
    <w:rsid w:val="002F0F17"/>
    <w:rsid w:val="002F1188"/>
    <w:rsid w:val="002F129B"/>
    <w:rsid w:val="002F15DD"/>
    <w:rsid w:val="002F1935"/>
    <w:rsid w:val="002F1B4B"/>
    <w:rsid w:val="002F1B66"/>
    <w:rsid w:val="002F24E3"/>
    <w:rsid w:val="002F26A8"/>
    <w:rsid w:val="002F2AFB"/>
    <w:rsid w:val="002F2CD6"/>
    <w:rsid w:val="002F2E7F"/>
    <w:rsid w:val="002F36D0"/>
    <w:rsid w:val="002F4705"/>
    <w:rsid w:val="002F5286"/>
    <w:rsid w:val="002F54D1"/>
    <w:rsid w:val="002F54D3"/>
    <w:rsid w:val="002F568A"/>
    <w:rsid w:val="002F58C6"/>
    <w:rsid w:val="002F5D90"/>
    <w:rsid w:val="002F618A"/>
    <w:rsid w:val="002F7385"/>
    <w:rsid w:val="002F772E"/>
    <w:rsid w:val="002F7ED0"/>
    <w:rsid w:val="002F7EE2"/>
    <w:rsid w:val="002F7FC5"/>
    <w:rsid w:val="003000CC"/>
    <w:rsid w:val="00300723"/>
    <w:rsid w:val="003008CD"/>
    <w:rsid w:val="00301037"/>
    <w:rsid w:val="00301695"/>
    <w:rsid w:val="003016E0"/>
    <w:rsid w:val="00301890"/>
    <w:rsid w:val="00301AB1"/>
    <w:rsid w:val="00301FA6"/>
    <w:rsid w:val="00302220"/>
    <w:rsid w:val="0030286F"/>
    <w:rsid w:val="0030299A"/>
    <w:rsid w:val="00302C5E"/>
    <w:rsid w:val="0030323B"/>
    <w:rsid w:val="00303395"/>
    <w:rsid w:val="00303477"/>
    <w:rsid w:val="003036AF"/>
    <w:rsid w:val="0030380A"/>
    <w:rsid w:val="00303AA4"/>
    <w:rsid w:val="00303E7C"/>
    <w:rsid w:val="003045BF"/>
    <w:rsid w:val="00304667"/>
    <w:rsid w:val="00304897"/>
    <w:rsid w:val="00304C05"/>
    <w:rsid w:val="00304C6C"/>
    <w:rsid w:val="00304D42"/>
    <w:rsid w:val="0030531A"/>
    <w:rsid w:val="003059F0"/>
    <w:rsid w:val="00305FFF"/>
    <w:rsid w:val="0030632E"/>
    <w:rsid w:val="0030633F"/>
    <w:rsid w:val="00306A53"/>
    <w:rsid w:val="00306F0D"/>
    <w:rsid w:val="0030717D"/>
    <w:rsid w:val="003079FB"/>
    <w:rsid w:val="00307AF1"/>
    <w:rsid w:val="003100BC"/>
    <w:rsid w:val="00310C13"/>
    <w:rsid w:val="00310F5C"/>
    <w:rsid w:val="0031147E"/>
    <w:rsid w:val="003115BB"/>
    <w:rsid w:val="003118F4"/>
    <w:rsid w:val="00311EB3"/>
    <w:rsid w:val="003139EB"/>
    <w:rsid w:val="00313DA1"/>
    <w:rsid w:val="00314AB3"/>
    <w:rsid w:val="00314AD6"/>
    <w:rsid w:val="00314B42"/>
    <w:rsid w:val="00314CAB"/>
    <w:rsid w:val="003152F4"/>
    <w:rsid w:val="0031555F"/>
    <w:rsid w:val="003159DC"/>
    <w:rsid w:val="00315E55"/>
    <w:rsid w:val="00316A49"/>
    <w:rsid w:val="00316E31"/>
    <w:rsid w:val="00316EA9"/>
    <w:rsid w:val="00317143"/>
    <w:rsid w:val="00317458"/>
    <w:rsid w:val="00317A5B"/>
    <w:rsid w:val="00317C6D"/>
    <w:rsid w:val="00317F37"/>
    <w:rsid w:val="003204A1"/>
    <w:rsid w:val="003212C8"/>
    <w:rsid w:val="00321959"/>
    <w:rsid w:val="003219DE"/>
    <w:rsid w:val="0032206A"/>
    <w:rsid w:val="0032248E"/>
    <w:rsid w:val="0032268E"/>
    <w:rsid w:val="0032275B"/>
    <w:rsid w:val="00322AE2"/>
    <w:rsid w:val="00322EC6"/>
    <w:rsid w:val="00323437"/>
    <w:rsid w:val="00324847"/>
    <w:rsid w:val="00324A8B"/>
    <w:rsid w:val="00324EB2"/>
    <w:rsid w:val="0032538D"/>
    <w:rsid w:val="003255C3"/>
    <w:rsid w:val="00325FBA"/>
    <w:rsid w:val="00326092"/>
    <w:rsid w:val="0032624D"/>
    <w:rsid w:val="00326418"/>
    <w:rsid w:val="00326642"/>
    <w:rsid w:val="003266C6"/>
    <w:rsid w:val="003266CC"/>
    <w:rsid w:val="0032713B"/>
    <w:rsid w:val="00327267"/>
    <w:rsid w:val="003276AF"/>
    <w:rsid w:val="003278D4"/>
    <w:rsid w:val="00327948"/>
    <w:rsid w:val="0033010D"/>
    <w:rsid w:val="003301A1"/>
    <w:rsid w:val="00330251"/>
    <w:rsid w:val="0033028C"/>
    <w:rsid w:val="003304AF"/>
    <w:rsid w:val="00330821"/>
    <w:rsid w:val="00330C5E"/>
    <w:rsid w:val="00330D66"/>
    <w:rsid w:val="0033122B"/>
    <w:rsid w:val="003313EF"/>
    <w:rsid w:val="00331513"/>
    <w:rsid w:val="00331578"/>
    <w:rsid w:val="003317B4"/>
    <w:rsid w:val="00331FA5"/>
    <w:rsid w:val="003323EF"/>
    <w:rsid w:val="003330A3"/>
    <w:rsid w:val="00333794"/>
    <w:rsid w:val="00333BC2"/>
    <w:rsid w:val="00333DE6"/>
    <w:rsid w:val="003344F1"/>
    <w:rsid w:val="00334563"/>
    <w:rsid w:val="00335078"/>
    <w:rsid w:val="00335643"/>
    <w:rsid w:val="003358F8"/>
    <w:rsid w:val="00335A05"/>
    <w:rsid w:val="00335ABE"/>
    <w:rsid w:val="00335DA4"/>
    <w:rsid w:val="003364C6"/>
    <w:rsid w:val="003365EB"/>
    <w:rsid w:val="00336B48"/>
    <w:rsid w:val="003370E4"/>
    <w:rsid w:val="0033745A"/>
    <w:rsid w:val="003379A4"/>
    <w:rsid w:val="00337A16"/>
    <w:rsid w:val="00337FAC"/>
    <w:rsid w:val="003410DF"/>
    <w:rsid w:val="00341770"/>
    <w:rsid w:val="00341D60"/>
    <w:rsid w:val="00342349"/>
    <w:rsid w:val="0034247F"/>
    <w:rsid w:val="003430A0"/>
    <w:rsid w:val="003435B8"/>
    <w:rsid w:val="00343919"/>
    <w:rsid w:val="0034395E"/>
    <w:rsid w:val="00343F49"/>
    <w:rsid w:val="00343F58"/>
    <w:rsid w:val="003445A4"/>
    <w:rsid w:val="003449BE"/>
    <w:rsid w:val="0034505D"/>
    <w:rsid w:val="003454E5"/>
    <w:rsid w:val="00345546"/>
    <w:rsid w:val="00345C9E"/>
    <w:rsid w:val="003463A9"/>
    <w:rsid w:val="0034662F"/>
    <w:rsid w:val="00347961"/>
    <w:rsid w:val="00347B69"/>
    <w:rsid w:val="00350036"/>
    <w:rsid w:val="003500C6"/>
    <w:rsid w:val="00350B0F"/>
    <w:rsid w:val="00350CCF"/>
    <w:rsid w:val="00350D76"/>
    <w:rsid w:val="003515A6"/>
    <w:rsid w:val="0035164D"/>
    <w:rsid w:val="00351BD6"/>
    <w:rsid w:val="00351CF6"/>
    <w:rsid w:val="003523C0"/>
    <w:rsid w:val="0035276B"/>
    <w:rsid w:val="003527F6"/>
    <w:rsid w:val="00352B67"/>
    <w:rsid w:val="00352F70"/>
    <w:rsid w:val="00353083"/>
    <w:rsid w:val="00353948"/>
    <w:rsid w:val="003539A8"/>
    <w:rsid w:val="00353AF7"/>
    <w:rsid w:val="00354172"/>
    <w:rsid w:val="003541D4"/>
    <w:rsid w:val="0035435E"/>
    <w:rsid w:val="00354892"/>
    <w:rsid w:val="00354A12"/>
    <w:rsid w:val="00354B0C"/>
    <w:rsid w:val="00354D85"/>
    <w:rsid w:val="00354DC2"/>
    <w:rsid w:val="00354FAF"/>
    <w:rsid w:val="0035502A"/>
    <w:rsid w:val="0035514B"/>
    <w:rsid w:val="003552EF"/>
    <w:rsid w:val="00355398"/>
    <w:rsid w:val="003553D5"/>
    <w:rsid w:val="003557E0"/>
    <w:rsid w:val="0035590B"/>
    <w:rsid w:val="003568D8"/>
    <w:rsid w:val="00356E1C"/>
    <w:rsid w:val="00356F7E"/>
    <w:rsid w:val="00357318"/>
    <w:rsid w:val="0035741A"/>
    <w:rsid w:val="00357882"/>
    <w:rsid w:val="00357E06"/>
    <w:rsid w:val="00357F97"/>
    <w:rsid w:val="003603DA"/>
    <w:rsid w:val="0036048B"/>
    <w:rsid w:val="0036096B"/>
    <w:rsid w:val="00360A3C"/>
    <w:rsid w:val="00360ACE"/>
    <w:rsid w:val="00361315"/>
    <w:rsid w:val="00361701"/>
    <w:rsid w:val="00361B7F"/>
    <w:rsid w:val="00361E28"/>
    <w:rsid w:val="00361F4B"/>
    <w:rsid w:val="00362B6E"/>
    <w:rsid w:val="00364C17"/>
    <w:rsid w:val="00364C2F"/>
    <w:rsid w:val="00364CF2"/>
    <w:rsid w:val="00364D4D"/>
    <w:rsid w:val="00364F06"/>
    <w:rsid w:val="00365436"/>
    <w:rsid w:val="0036567A"/>
    <w:rsid w:val="00365E51"/>
    <w:rsid w:val="0036619B"/>
    <w:rsid w:val="00366200"/>
    <w:rsid w:val="00366552"/>
    <w:rsid w:val="003665BC"/>
    <w:rsid w:val="003666DF"/>
    <w:rsid w:val="00366CDB"/>
    <w:rsid w:val="00366F17"/>
    <w:rsid w:val="00367531"/>
    <w:rsid w:val="00367845"/>
    <w:rsid w:val="00367CA1"/>
    <w:rsid w:val="00367E81"/>
    <w:rsid w:val="0037052E"/>
    <w:rsid w:val="003709A6"/>
    <w:rsid w:val="00370E00"/>
    <w:rsid w:val="00370FC2"/>
    <w:rsid w:val="00371901"/>
    <w:rsid w:val="00371FA1"/>
    <w:rsid w:val="00372189"/>
    <w:rsid w:val="003725C9"/>
    <w:rsid w:val="0037269F"/>
    <w:rsid w:val="0037272B"/>
    <w:rsid w:val="0037277E"/>
    <w:rsid w:val="003728FF"/>
    <w:rsid w:val="00372FE7"/>
    <w:rsid w:val="0037302C"/>
    <w:rsid w:val="0037388B"/>
    <w:rsid w:val="00373978"/>
    <w:rsid w:val="00373D6D"/>
    <w:rsid w:val="00374052"/>
    <w:rsid w:val="003742B6"/>
    <w:rsid w:val="003751FA"/>
    <w:rsid w:val="0037521D"/>
    <w:rsid w:val="00375540"/>
    <w:rsid w:val="0037560D"/>
    <w:rsid w:val="00376291"/>
    <w:rsid w:val="00376FFB"/>
    <w:rsid w:val="003773FA"/>
    <w:rsid w:val="00380472"/>
    <w:rsid w:val="0038065A"/>
    <w:rsid w:val="00380F41"/>
    <w:rsid w:val="00380FA6"/>
    <w:rsid w:val="003812A7"/>
    <w:rsid w:val="003813B9"/>
    <w:rsid w:val="003817BD"/>
    <w:rsid w:val="00381DC6"/>
    <w:rsid w:val="00382155"/>
    <w:rsid w:val="003821B4"/>
    <w:rsid w:val="00382565"/>
    <w:rsid w:val="00382593"/>
    <w:rsid w:val="003829CB"/>
    <w:rsid w:val="0038310A"/>
    <w:rsid w:val="00383B37"/>
    <w:rsid w:val="003843CA"/>
    <w:rsid w:val="00384592"/>
    <w:rsid w:val="003849E3"/>
    <w:rsid w:val="00384C48"/>
    <w:rsid w:val="00384D37"/>
    <w:rsid w:val="00384F2F"/>
    <w:rsid w:val="00385031"/>
    <w:rsid w:val="00385150"/>
    <w:rsid w:val="00385210"/>
    <w:rsid w:val="0038539E"/>
    <w:rsid w:val="00385667"/>
    <w:rsid w:val="003856A1"/>
    <w:rsid w:val="00385B39"/>
    <w:rsid w:val="003865C9"/>
    <w:rsid w:val="0038675D"/>
    <w:rsid w:val="00386937"/>
    <w:rsid w:val="0038717B"/>
    <w:rsid w:val="0038741A"/>
    <w:rsid w:val="0038787D"/>
    <w:rsid w:val="0038798B"/>
    <w:rsid w:val="00387C46"/>
    <w:rsid w:val="00387F26"/>
    <w:rsid w:val="003900B6"/>
    <w:rsid w:val="00390640"/>
    <w:rsid w:val="00390683"/>
    <w:rsid w:val="00390B1A"/>
    <w:rsid w:val="00390B6D"/>
    <w:rsid w:val="00390BCF"/>
    <w:rsid w:val="00391560"/>
    <w:rsid w:val="00391B62"/>
    <w:rsid w:val="00392115"/>
    <w:rsid w:val="00392CD6"/>
    <w:rsid w:val="0039338A"/>
    <w:rsid w:val="003933DD"/>
    <w:rsid w:val="003934A6"/>
    <w:rsid w:val="003937AA"/>
    <w:rsid w:val="003939EB"/>
    <w:rsid w:val="00394D11"/>
    <w:rsid w:val="00394D79"/>
    <w:rsid w:val="00394F3C"/>
    <w:rsid w:val="003960F5"/>
    <w:rsid w:val="00396448"/>
    <w:rsid w:val="00396745"/>
    <w:rsid w:val="0039681D"/>
    <w:rsid w:val="00396ECA"/>
    <w:rsid w:val="00396F42"/>
    <w:rsid w:val="00397F2F"/>
    <w:rsid w:val="00397FC0"/>
    <w:rsid w:val="003A031D"/>
    <w:rsid w:val="003A06DC"/>
    <w:rsid w:val="003A17B8"/>
    <w:rsid w:val="003A1AB0"/>
    <w:rsid w:val="003A1C09"/>
    <w:rsid w:val="003A1EFD"/>
    <w:rsid w:val="003A21A5"/>
    <w:rsid w:val="003A28A6"/>
    <w:rsid w:val="003A2B83"/>
    <w:rsid w:val="003A2D1A"/>
    <w:rsid w:val="003A3023"/>
    <w:rsid w:val="003A3126"/>
    <w:rsid w:val="003A4116"/>
    <w:rsid w:val="003A4B74"/>
    <w:rsid w:val="003A55F4"/>
    <w:rsid w:val="003A579E"/>
    <w:rsid w:val="003A67A8"/>
    <w:rsid w:val="003A6BE4"/>
    <w:rsid w:val="003A6DB0"/>
    <w:rsid w:val="003A6DEE"/>
    <w:rsid w:val="003A7191"/>
    <w:rsid w:val="003A77A8"/>
    <w:rsid w:val="003A7B09"/>
    <w:rsid w:val="003A7ED0"/>
    <w:rsid w:val="003B0F59"/>
    <w:rsid w:val="003B10C1"/>
    <w:rsid w:val="003B144D"/>
    <w:rsid w:val="003B1FA1"/>
    <w:rsid w:val="003B2047"/>
    <w:rsid w:val="003B2059"/>
    <w:rsid w:val="003B268D"/>
    <w:rsid w:val="003B28A0"/>
    <w:rsid w:val="003B2975"/>
    <w:rsid w:val="003B2A1E"/>
    <w:rsid w:val="003B2C96"/>
    <w:rsid w:val="003B3F56"/>
    <w:rsid w:val="003B403C"/>
    <w:rsid w:val="003B41B0"/>
    <w:rsid w:val="003B42EE"/>
    <w:rsid w:val="003B4989"/>
    <w:rsid w:val="003B542B"/>
    <w:rsid w:val="003B6080"/>
    <w:rsid w:val="003B64EA"/>
    <w:rsid w:val="003B677D"/>
    <w:rsid w:val="003B6C27"/>
    <w:rsid w:val="003B76CA"/>
    <w:rsid w:val="003B7F33"/>
    <w:rsid w:val="003C032B"/>
    <w:rsid w:val="003C0847"/>
    <w:rsid w:val="003C0CD7"/>
    <w:rsid w:val="003C1597"/>
    <w:rsid w:val="003C17B3"/>
    <w:rsid w:val="003C1AA1"/>
    <w:rsid w:val="003C21DD"/>
    <w:rsid w:val="003C26E1"/>
    <w:rsid w:val="003C2757"/>
    <w:rsid w:val="003C2973"/>
    <w:rsid w:val="003C2BBB"/>
    <w:rsid w:val="003C2BD8"/>
    <w:rsid w:val="003C359F"/>
    <w:rsid w:val="003C374A"/>
    <w:rsid w:val="003C3840"/>
    <w:rsid w:val="003C3AA7"/>
    <w:rsid w:val="003C3BAE"/>
    <w:rsid w:val="003C3FBC"/>
    <w:rsid w:val="003C40D5"/>
    <w:rsid w:val="003C413E"/>
    <w:rsid w:val="003C4362"/>
    <w:rsid w:val="003C43CC"/>
    <w:rsid w:val="003C45BC"/>
    <w:rsid w:val="003C4A02"/>
    <w:rsid w:val="003C4B18"/>
    <w:rsid w:val="003C505C"/>
    <w:rsid w:val="003C54FE"/>
    <w:rsid w:val="003C574E"/>
    <w:rsid w:val="003C5902"/>
    <w:rsid w:val="003C59F3"/>
    <w:rsid w:val="003C5E50"/>
    <w:rsid w:val="003C6349"/>
    <w:rsid w:val="003C7610"/>
    <w:rsid w:val="003C765C"/>
    <w:rsid w:val="003D017A"/>
    <w:rsid w:val="003D0287"/>
    <w:rsid w:val="003D0288"/>
    <w:rsid w:val="003D0339"/>
    <w:rsid w:val="003D04D4"/>
    <w:rsid w:val="003D0B5D"/>
    <w:rsid w:val="003D0EAE"/>
    <w:rsid w:val="003D10A7"/>
    <w:rsid w:val="003D14BD"/>
    <w:rsid w:val="003D14EE"/>
    <w:rsid w:val="003D1B40"/>
    <w:rsid w:val="003D1F5D"/>
    <w:rsid w:val="003D2292"/>
    <w:rsid w:val="003D2A25"/>
    <w:rsid w:val="003D2A70"/>
    <w:rsid w:val="003D2C18"/>
    <w:rsid w:val="003D35EA"/>
    <w:rsid w:val="003D3B1D"/>
    <w:rsid w:val="003D3D36"/>
    <w:rsid w:val="003D5107"/>
    <w:rsid w:val="003D5431"/>
    <w:rsid w:val="003D5852"/>
    <w:rsid w:val="003D58D3"/>
    <w:rsid w:val="003D6058"/>
    <w:rsid w:val="003D66D4"/>
    <w:rsid w:val="003D74DC"/>
    <w:rsid w:val="003D75A7"/>
    <w:rsid w:val="003D7B40"/>
    <w:rsid w:val="003D7F5E"/>
    <w:rsid w:val="003E01CD"/>
    <w:rsid w:val="003E0528"/>
    <w:rsid w:val="003E09E0"/>
    <w:rsid w:val="003E0C22"/>
    <w:rsid w:val="003E0C39"/>
    <w:rsid w:val="003E0F83"/>
    <w:rsid w:val="003E12BB"/>
    <w:rsid w:val="003E1A88"/>
    <w:rsid w:val="003E22F2"/>
    <w:rsid w:val="003E2B81"/>
    <w:rsid w:val="003E2F5E"/>
    <w:rsid w:val="003E31C6"/>
    <w:rsid w:val="003E3C95"/>
    <w:rsid w:val="003E3C9B"/>
    <w:rsid w:val="003E40AF"/>
    <w:rsid w:val="003E46B1"/>
    <w:rsid w:val="003E4A8F"/>
    <w:rsid w:val="003E51BA"/>
    <w:rsid w:val="003E5877"/>
    <w:rsid w:val="003E693D"/>
    <w:rsid w:val="003E6DEC"/>
    <w:rsid w:val="003E7518"/>
    <w:rsid w:val="003E7E83"/>
    <w:rsid w:val="003E7FBC"/>
    <w:rsid w:val="003F0122"/>
    <w:rsid w:val="003F06F9"/>
    <w:rsid w:val="003F07BD"/>
    <w:rsid w:val="003F0D1F"/>
    <w:rsid w:val="003F0EFB"/>
    <w:rsid w:val="003F11B4"/>
    <w:rsid w:val="003F12C6"/>
    <w:rsid w:val="003F1304"/>
    <w:rsid w:val="003F130F"/>
    <w:rsid w:val="003F15A6"/>
    <w:rsid w:val="003F15B7"/>
    <w:rsid w:val="003F1915"/>
    <w:rsid w:val="003F1CAC"/>
    <w:rsid w:val="003F268C"/>
    <w:rsid w:val="003F29AF"/>
    <w:rsid w:val="003F29CD"/>
    <w:rsid w:val="003F2ADE"/>
    <w:rsid w:val="003F2D87"/>
    <w:rsid w:val="003F2E6A"/>
    <w:rsid w:val="003F2FB7"/>
    <w:rsid w:val="003F3284"/>
    <w:rsid w:val="003F3633"/>
    <w:rsid w:val="003F4148"/>
    <w:rsid w:val="003F52D3"/>
    <w:rsid w:val="003F569D"/>
    <w:rsid w:val="003F57F6"/>
    <w:rsid w:val="003F599C"/>
    <w:rsid w:val="003F620F"/>
    <w:rsid w:val="003F6257"/>
    <w:rsid w:val="003F66C9"/>
    <w:rsid w:val="003F6E8F"/>
    <w:rsid w:val="003F70C8"/>
    <w:rsid w:val="003F76EB"/>
    <w:rsid w:val="003F791B"/>
    <w:rsid w:val="003F7922"/>
    <w:rsid w:val="003F7A73"/>
    <w:rsid w:val="00400314"/>
    <w:rsid w:val="0040039C"/>
    <w:rsid w:val="004009F6"/>
    <w:rsid w:val="00400B85"/>
    <w:rsid w:val="004012E4"/>
    <w:rsid w:val="0040130A"/>
    <w:rsid w:val="00401E6C"/>
    <w:rsid w:val="00402409"/>
    <w:rsid w:val="00402758"/>
    <w:rsid w:val="00402FCE"/>
    <w:rsid w:val="00402FFE"/>
    <w:rsid w:val="004033E2"/>
    <w:rsid w:val="00403432"/>
    <w:rsid w:val="00403466"/>
    <w:rsid w:val="00403C07"/>
    <w:rsid w:val="00404714"/>
    <w:rsid w:val="00404756"/>
    <w:rsid w:val="00405068"/>
    <w:rsid w:val="004054D7"/>
    <w:rsid w:val="00405B3F"/>
    <w:rsid w:val="00405D7B"/>
    <w:rsid w:val="00405E1B"/>
    <w:rsid w:val="00405FEF"/>
    <w:rsid w:val="004064FD"/>
    <w:rsid w:val="004066D6"/>
    <w:rsid w:val="004068C2"/>
    <w:rsid w:val="004069E0"/>
    <w:rsid w:val="00406CB4"/>
    <w:rsid w:val="00406DC4"/>
    <w:rsid w:val="004071F2"/>
    <w:rsid w:val="0040791E"/>
    <w:rsid w:val="0041016D"/>
    <w:rsid w:val="004104A4"/>
    <w:rsid w:val="00410948"/>
    <w:rsid w:val="00410A37"/>
    <w:rsid w:val="00412658"/>
    <w:rsid w:val="0041274A"/>
    <w:rsid w:val="00412A4B"/>
    <w:rsid w:val="00413C2F"/>
    <w:rsid w:val="00413D4D"/>
    <w:rsid w:val="00413F99"/>
    <w:rsid w:val="00413F9C"/>
    <w:rsid w:val="004141C2"/>
    <w:rsid w:val="0041461D"/>
    <w:rsid w:val="0041473D"/>
    <w:rsid w:val="004148C2"/>
    <w:rsid w:val="00415B27"/>
    <w:rsid w:val="00415D61"/>
    <w:rsid w:val="00416406"/>
    <w:rsid w:val="00416831"/>
    <w:rsid w:val="00416FBA"/>
    <w:rsid w:val="004171B6"/>
    <w:rsid w:val="004177B4"/>
    <w:rsid w:val="00420AB1"/>
    <w:rsid w:val="00420D4B"/>
    <w:rsid w:val="00421239"/>
    <w:rsid w:val="0042131B"/>
    <w:rsid w:val="00421441"/>
    <w:rsid w:val="00421503"/>
    <w:rsid w:val="004221D4"/>
    <w:rsid w:val="0042259F"/>
    <w:rsid w:val="004229DD"/>
    <w:rsid w:val="00422FF2"/>
    <w:rsid w:val="00423CDC"/>
    <w:rsid w:val="0042480D"/>
    <w:rsid w:val="004251BC"/>
    <w:rsid w:val="00425C24"/>
    <w:rsid w:val="004263C6"/>
    <w:rsid w:val="00426A0F"/>
    <w:rsid w:val="00426BD9"/>
    <w:rsid w:val="00426CA9"/>
    <w:rsid w:val="00426E24"/>
    <w:rsid w:val="00427ABC"/>
    <w:rsid w:val="004303F3"/>
    <w:rsid w:val="0043060F"/>
    <w:rsid w:val="00430659"/>
    <w:rsid w:val="0043119A"/>
    <w:rsid w:val="00431313"/>
    <w:rsid w:val="004315ED"/>
    <w:rsid w:val="00431714"/>
    <w:rsid w:val="00431E52"/>
    <w:rsid w:val="00432341"/>
    <w:rsid w:val="004328D5"/>
    <w:rsid w:val="004341DF"/>
    <w:rsid w:val="0043489D"/>
    <w:rsid w:val="00434B3F"/>
    <w:rsid w:val="00434C7E"/>
    <w:rsid w:val="00434E5A"/>
    <w:rsid w:val="0043513C"/>
    <w:rsid w:val="004353CF"/>
    <w:rsid w:val="00435595"/>
    <w:rsid w:val="0043584A"/>
    <w:rsid w:val="00435A04"/>
    <w:rsid w:val="004362C1"/>
    <w:rsid w:val="00436711"/>
    <w:rsid w:val="0043674B"/>
    <w:rsid w:val="00437196"/>
    <w:rsid w:val="004371CB"/>
    <w:rsid w:val="0043754A"/>
    <w:rsid w:val="004375D6"/>
    <w:rsid w:val="00437A99"/>
    <w:rsid w:val="00437AFD"/>
    <w:rsid w:val="00437FCA"/>
    <w:rsid w:val="00440356"/>
    <w:rsid w:val="00440383"/>
    <w:rsid w:val="00440750"/>
    <w:rsid w:val="004407B0"/>
    <w:rsid w:val="0044190D"/>
    <w:rsid w:val="00441AC7"/>
    <w:rsid w:val="00441EB2"/>
    <w:rsid w:val="0044205C"/>
    <w:rsid w:val="00442784"/>
    <w:rsid w:val="00442923"/>
    <w:rsid w:val="00442D6D"/>
    <w:rsid w:val="00442F59"/>
    <w:rsid w:val="00443486"/>
    <w:rsid w:val="0044353D"/>
    <w:rsid w:val="00443ACD"/>
    <w:rsid w:val="00443BC6"/>
    <w:rsid w:val="00443D3F"/>
    <w:rsid w:val="004442E0"/>
    <w:rsid w:val="004446C4"/>
    <w:rsid w:val="0044498A"/>
    <w:rsid w:val="00445457"/>
    <w:rsid w:val="00445497"/>
    <w:rsid w:val="004457EB"/>
    <w:rsid w:val="0044592A"/>
    <w:rsid w:val="00445E73"/>
    <w:rsid w:val="00445F47"/>
    <w:rsid w:val="004460F9"/>
    <w:rsid w:val="004468D3"/>
    <w:rsid w:val="004506DB"/>
    <w:rsid w:val="0045091F"/>
    <w:rsid w:val="004510C9"/>
    <w:rsid w:val="004515DF"/>
    <w:rsid w:val="004515E3"/>
    <w:rsid w:val="004522E4"/>
    <w:rsid w:val="0045235A"/>
    <w:rsid w:val="004524E9"/>
    <w:rsid w:val="00452A1C"/>
    <w:rsid w:val="00453555"/>
    <w:rsid w:val="00453711"/>
    <w:rsid w:val="00453884"/>
    <w:rsid w:val="0045410A"/>
    <w:rsid w:val="00454AA3"/>
    <w:rsid w:val="00454D6E"/>
    <w:rsid w:val="00454F5E"/>
    <w:rsid w:val="004552C7"/>
    <w:rsid w:val="00455443"/>
    <w:rsid w:val="004558FC"/>
    <w:rsid w:val="004563B3"/>
    <w:rsid w:val="004565D0"/>
    <w:rsid w:val="00456629"/>
    <w:rsid w:val="004571BA"/>
    <w:rsid w:val="00457203"/>
    <w:rsid w:val="004575D2"/>
    <w:rsid w:val="0045768B"/>
    <w:rsid w:val="004606CA"/>
    <w:rsid w:val="00460D11"/>
    <w:rsid w:val="00460F22"/>
    <w:rsid w:val="00461701"/>
    <w:rsid w:val="00461A7B"/>
    <w:rsid w:val="00462558"/>
    <w:rsid w:val="0046264F"/>
    <w:rsid w:val="004628C8"/>
    <w:rsid w:val="004644EC"/>
    <w:rsid w:val="0046455D"/>
    <w:rsid w:val="004645B7"/>
    <w:rsid w:val="004654A8"/>
    <w:rsid w:val="00465944"/>
    <w:rsid w:val="00465D06"/>
    <w:rsid w:val="004661B6"/>
    <w:rsid w:val="00466306"/>
    <w:rsid w:val="0046683D"/>
    <w:rsid w:val="00466EF0"/>
    <w:rsid w:val="00467166"/>
    <w:rsid w:val="00467393"/>
    <w:rsid w:val="00470671"/>
    <w:rsid w:val="00470705"/>
    <w:rsid w:val="0047086B"/>
    <w:rsid w:val="0047090D"/>
    <w:rsid w:val="00471066"/>
    <w:rsid w:val="0047121F"/>
    <w:rsid w:val="00471398"/>
    <w:rsid w:val="0047164F"/>
    <w:rsid w:val="00471C13"/>
    <w:rsid w:val="00471D4C"/>
    <w:rsid w:val="00471DDC"/>
    <w:rsid w:val="00471EA1"/>
    <w:rsid w:val="004723C5"/>
    <w:rsid w:val="00472728"/>
    <w:rsid w:val="00472B21"/>
    <w:rsid w:val="00472D87"/>
    <w:rsid w:val="004731F8"/>
    <w:rsid w:val="0047349D"/>
    <w:rsid w:val="0047375B"/>
    <w:rsid w:val="004737DE"/>
    <w:rsid w:val="00473CC5"/>
    <w:rsid w:val="004742BB"/>
    <w:rsid w:val="004746B2"/>
    <w:rsid w:val="00474756"/>
    <w:rsid w:val="0047495C"/>
    <w:rsid w:val="00474CBD"/>
    <w:rsid w:val="00474CF6"/>
    <w:rsid w:val="004755F1"/>
    <w:rsid w:val="004756A5"/>
    <w:rsid w:val="00475EBF"/>
    <w:rsid w:val="00476127"/>
    <w:rsid w:val="00476346"/>
    <w:rsid w:val="004765A3"/>
    <w:rsid w:val="00476743"/>
    <w:rsid w:val="00476960"/>
    <w:rsid w:val="00476DE1"/>
    <w:rsid w:val="00476DF2"/>
    <w:rsid w:val="004773BC"/>
    <w:rsid w:val="0047783E"/>
    <w:rsid w:val="004803DC"/>
    <w:rsid w:val="00480ACF"/>
    <w:rsid w:val="00481A12"/>
    <w:rsid w:val="00481C7B"/>
    <w:rsid w:val="00481F24"/>
    <w:rsid w:val="004829C8"/>
    <w:rsid w:val="00482D9C"/>
    <w:rsid w:val="00483909"/>
    <w:rsid w:val="00483C12"/>
    <w:rsid w:val="00483FDE"/>
    <w:rsid w:val="004845FD"/>
    <w:rsid w:val="00484B2A"/>
    <w:rsid w:val="00485223"/>
    <w:rsid w:val="00485EA5"/>
    <w:rsid w:val="00485EDE"/>
    <w:rsid w:val="004864B4"/>
    <w:rsid w:val="0048651C"/>
    <w:rsid w:val="00486FA4"/>
    <w:rsid w:val="004870D2"/>
    <w:rsid w:val="00487346"/>
    <w:rsid w:val="00487B6B"/>
    <w:rsid w:val="00487EC0"/>
    <w:rsid w:val="004900DC"/>
    <w:rsid w:val="0049012A"/>
    <w:rsid w:val="004904AA"/>
    <w:rsid w:val="00490544"/>
    <w:rsid w:val="0049057D"/>
    <w:rsid w:val="00491132"/>
    <w:rsid w:val="004911C1"/>
    <w:rsid w:val="0049124E"/>
    <w:rsid w:val="00491D5A"/>
    <w:rsid w:val="00491E7C"/>
    <w:rsid w:val="00492DCB"/>
    <w:rsid w:val="00492EA5"/>
    <w:rsid w:val="004944A3"/>
    <w:rsid w:val="0049496C"/>
    <w:rsid w:val="00494B07"/>
    <w:rsid w:val="004953C7"/>
    <w:rsid w:val="004954B2"/>
    <w:rsid w:val="00495ABE"/>
    <w:rsid w:val="00495B25"/>
    <w:rsid w:val="00495FA7"/>
    <w:rsid w:val="004962A2"/>
    <w:rsid w:val="004965C2"/>
    <w:rsid w:val="00496908"/>
    <w:rsid w:val="00496A6B"/>
    <w:rsid w:val="00496C76"/>
    <w:rsid w:val="00496E8D"/>
    <w:rsid w:val="00497178"/>
    <w:rsid w:val="00497252"/>
    <w:rsid w:val="00497262"/>
    <w:rsid w:val="004A0124"/>
    <w:rsid w:val="004A01EA"/>
    <w:rsid w:val="004A02F0"/>
    <w:rsid w:val="004A0511"/>
    <w:rsid w:val="004A05EB"/>
    <w:rsid w:val="004A0A52"/>
    <w:rsid w:val="004A0EB3"/>
    <w:rsid w:val="004A1977"/>
    <w:rsid w:val="004A1BA0"/>
    <w:rsid w:val="004A1C91"/>
    <w:rsid w:val="004A24BA"/>
    <w:rsid w:val="004A24C6"/>
    <w:rsid w:val="004A24D6"/>
    <w:rsid w:val="004A26ED"/>
    <w:rsid w:val="004A2C01"/>
    <w:rsid w:val="004A2E6D"/>
    <w:rsid w:val="004A324A"/>
    <w:rsid w:val="004A360C"/>
    <w:rsid w:val="004A385E"/>
    <w:rsid w:val="004A4006"/>
    <w:rsid w:val="004A403D"/>
    <w:rsid w:val="004A43FC"/>
    <w:rsid w:val="004A47AC"/>
    <w:rsid w:val="004A4854"/>
    <w:rsid w:val="004A485F"/>
    <w:rsid w:val="004A49AD"/>
    <w:rsid w:val="004A50FE"/>
    <w:rsid w:val="004A51C4"/>
    <w:rsid w:val="004A56A9"/>
    <w:rsid w:val="004A570E"/>
    <w:rsid w:val="004A6168"/>
    <w:rsid w:val="004A7C91"/>
    <w:rsid w:val="004B0658"/>
    <w:rsid w:val="004B0C7D"/>
    <w:rsid w:val="004B1B5A"/>
    <w:rsid w:val="004B1ED6"/>
    <w:rsid w:val="004B1EF4"/>
    <w:rsid w:val="004B235D"/>
    <w:rsid w:val="004B336F"/>
    <w:rsid w:val="004B3EF6"/>
    <w:rsid w:val="004B494B"/>
    <w:rsid w:val="004B4E16"/>
    <w:rsid w:val="004B4E73"/>
    <w:rsid w:val="004B5532"/>
    <w:rsid w:val="004B5672"/>
    <w:rsid w:val="004B58FE"/>
    <w:rsid w:val="004B5A4D"/>
    <w:rsid w:val="004B5AF5"/>
    <w:rsid w:val="004B6239"/>
    <w:rsid w:val="004B624B"/>
    <w:rsid w:val="004B69A5"/>
    <w:rsid w:val="004B6AA0"/>
    <w:rsid w:val="004B775E"/>
    <w:rsid w:val="004B77D4"/>
    <w:rsid w:val="004B7876"/>
    <w:rsid w:val="004B78E6"/>
    <w:rsid w:val="004C049C"/>
    <w:rsid w:val="004C079E"/>
    <w:rsid w:val="004C0993"/>
    <w:rsid w:val="004C219A"/>
    <w:rsid w:val="004C21D0"/>
    <w:rsid w:val="004C25C4"/>
    <w:rsid w:val="004C2A35"/>
    <w:rsid w:val="004C2B90"/>
    <w:rsid w:val="004C2BDB"/>
    <w:rsid w:val="004C2D64"/>
    <w:rsid w:val="004C339C"/>
    <w:rsid w:val="004C3925"/>
    <w:rsid w:val="004C3AF8"/>
    <w:rsid w:val="004C3CD4"/>
    <w:rsid w:val="004C3DCF"/>
    <w:rsid w:val="004C482A"/>
    <w:rsid w:val="004C49A9"/>
    <w:rsid w:val="004C4C2F"/>
    <w:rsid w:val="004C5205"/>
    <w:rsid w:val="004C5440"/>
    <w:rsid w:val="004C5A2B"/>
    <w:rsid w:val="004C5D71"/>
    <w:rsid w:val="004C5FDF"/>
    <w:rsid w:val="004C64DA"/>
    <w:rsid w:val="004C68CE"/>
    <w:rsid w:val="004C69E5"/>
    <w:rsid w:val="004C6D78"/>
    <w:rsid w:val="004C70C3"/>
    <w:rsid w:val="004C70DA"/>
    <w:rsid w:val="004C7497"/>
    <w:rsid w:val="004C74B9"/>
    <w:rsid w:val="004C7CDB"/>
    <w:rsid w:val="004C7DDE"/>
    <w:rsid w:val="004D0633"/>
    <w:rsid w:val="004D0BC9"/>
    <w:rsid w:val="004D0BCD"/>
    <w:rsid w:val="004D0F96"/>
    <w:rsid w:val="004D0FB5"/>
    <w:rsid w:val="004D1087"/>
    <w:rsid w:val="004D1477"/>
    <w:rsid w:val="004D15CD"/>
    <w:rsid w:val="004D15DD"/>
    <w:rsid w:val="004D1D7D"/>
    <w:rsid w:val="004D1DD2"/>
    <w:rsid w:val="004D230A"/>
    <w:rsid w:val="004D2342"/>
    <w:rsid w:val="004D2686"/>
    <w:rsid w:val="004D280B"/>
    <w:rsid w:val="004D28F2"/>
    <w:rsid w:val="004D2C17"/>
    <w:rsid w:val="004D2F69"/>
    <w:rsid w:val="004D3040"/>
    <w:rsid w:val="004D33AB"/>
    <w:rsid w:val="004D403B"/>
    <w:rsid w:val="004D47C0"/>
    <w:rsid w:val="004D4824"/>
    <w:rsid w:val="004D4928"/>
    <w:rsid w:val="004D4B4C"/>
    <w:rsid w:val="004D4B7D"/>
    <w:rsid w:val="004D5177"/>
    <w:rsid w:val="004D525D"/>
    <w:rsid w:val="004D5661"/>
    <w:rsid w:val="004D5696"/>
    <w:rsid w:val="004D5778"/>
    <w:rsid w:val="004D5C94"/>
    <w:rsid w:val="004D64FC"/>
    <w:rsid w:val="004D682C"/>
    <w:rsid w:val="004D6D72"/>
    <w:rsid w:val="004D6FB2"/>
    <w:rsid w:val="004D76A6"/>
    <w:rsid w:val="004E081D"/>
    <w:rsid w:val="004E0CDF"/>
    <w:rsid w:val="004E1163"/>
    <w:rsid w:val="004E20A1"/>
    <w:rsid w:val="004E2971"/>
    <w:rsid w:val="004E2EB1"/>
    <w:rsid w:val="004E2F9F"/>
    <w:rsid w:val="004E33CA"/>
    <w:rsid w:val="004E39DD"/>
    <w:rsid w:val="004E3A6C"/>
    <w:rsid w:val="004E3B66"/>
    <w:rsid w:val="004E3D2F"/>
    <w:rsid w:val="004E3DCF"/>
    <w:rsid w:val="004E3E1B"/>
    <w:rsid w:val="004E3F6C"/>
    <w:rsid w:val="004E4146"/>
    <w:rsid w:val="004E4277"/>
    <w:rsid w:val="004E4399"/>
    <w:rsid w:val="004E45C3"/>
    <w:rsid w:val="004E4CA1"/>
    <w:rsid w:val="004E5321"/>
    <w:rsid w:val="004E5A20"/>
    <w:rsid w:val="004E603B"/>
    <w:rsid w:val="004E6064"/>
    <w:rsid w:val="004E6070"/>
    <w:rsid w:val="004E6213"/>
    <w:rsid w:val="004E6502"/>
    <w:rsid w:val="004E698E"/>
    <w:rsid w:val="004E7094"/>
    <w:rsid w:val="004E753D"/>
    <w:rsid w:val="004E7717"/>
    <w:rsid w:val="004E771B"/>
    <w:rsid w:val="004E7BB0"/>
    <w:rsid w:val="004E7CD7"/>
    <w:rsid w:val="004E7E15"/>
    <w:rsid w:val="004F005D"/>
    <w:rsid w:val="004F0903"/>
    <w:rsid w:val="004F0CDA"/>
    <w:rsid w:val="004F1205"/>
    <w:rsid w:val="004F13EF"/>
    <w:rsid w:val="004F17DD"/>
    <w:rsid w:val="004F1C44"/>
    <w:rsid w:val="004F2FC4"/>
    <w:rsid w:val="004F3082"/>
    <w:rsid w:val="004F3169"/>
    <w:rsid w:val="004F342D"/>
    <w:rsid w:val="004F4583"/>
    <w:rsid w:val="004F4611"/>
    <w:rsid w:val="004F4E7E"/>
    <w:rsid w:val="004F5704"/>
    <w:rsid w:val="004F5CFC"/>
    <w:rsid w:val="004F5EEA"/>
    <w:rsid w:val="004F5F4D"/>
    <w:rsid w:val="004F5FBB"/>
    <w:rsid w:val="004F634A"/>
    <w:rsid w:val="004F6B64"/>
    <w:rsid w:val="004F709F"/>
    <w:rsid w:val="004F70D2"/>
    <w:rsid w:val="0050034B"/>
    <w:rsid w:val="0050060F"/>
    <w:rsid w:val="00500628"/>
    <w:rsid w:val="00500809"/>
    <w:rsid w:val="005009B4"/>
    <w:rsid w:val="00500E40"/>
    <w:rsid w:val="00500E47"/>
    <w:rsid w:val="00501367"/>
    <w:rsid w:val="005015A2"/>
    <w:rsid w:val="005015BB"/>
    <w:rsid w:val="00501B8D"/>
    <w:rsid w:val="00502481"/>
    <w:rsid w:val="00502729"/>
    <w:rsid w:val="005030C3"/>
    <w:rsid w:val="00503613"/>
    <w:rsid w:val="005037C2"/>
    <w:rsid w:val="00503866"/>
    <w:rsid w:val="005039C8"/>
    <w:rsid w:val="00503A94"/>
    <w:rsid w:val="00503AFE"/>
    <w:rsid w:val="00503DCD"/>
    <w:rsid w:val="00504BBE"/>
    <w:rsid w:val="00504BE9"/>
    <w:rsid w:val="00504D50"/>
    <w:rsid w:val="00505127"/>
    <w:rsid w:val="005057CF"/>
    <w:rsid w:val="00505883"/>
    <w:rsid w:val="00506045"/>
    <w:rsid w:val="00506247"/>
    <w:rsid w:val="00506431"/>
    <w:rsid w:val="00506A5B"/>
    <w:rsid w:val="00506CAF"/>
    <w:rsid w:val="00506FA1"/>
    <w:rsid w:val="00507071"/>
    <w:rsid w:val="005072A2"/>
    <w:rsid w:val="0050735A"/>
    <w:rsid w:val="005078B3"/>
    <w:rsid w:val="0050798E"/>
    <w:rsid w:val="00507B3E"/>
    <w:rsid w:val="005100E9"/>
    <w:rsid w:val="00510396"/>
    <w:rsid w:val="0051057F"/>
    <w:rsid w:val="00510966"/>
    <w:rsid w:val="00510AC5"/>
    <w:rsid w:val="00510CB4"/>
    <w:rsid w:val="00510F43"/>
    <w:rsid w:val="005110B5"/>
    <w:rsid w:val="0051132C"/>
    <w:rsid w:val="005114AA"/>
    <w:rsid w:val="00511606"/>
    <w:rsid w:val="005118BF"/>
    <w:rsid w:val="00511B89"/>
    <w:rsid w:val="00511EAA"/>
    <w:rsid w:val="00512D2A"/>
    <w:rsid w:val="00513AF0"/>
    <w:rsid w:val="00514238"/>
    <w:rsid w:val="005143E2"/>
    <w:rsid w:val="00514AFB"/>
    <w:rsid w:val="00514ECF"/>
    <w:rsid w:val="00514FBA"/>
    <w:rsid w:val="005151EC"/>
    <w:rsid w:val="00515335"/>
    <w:rsid w:val="005154CB"/>
    <w:rsid w:val="00515902"/>
    <w:rsid w:val="00516662"/>
    <w:rsid w:val="00516750"/>
    <w:rsid w:val="00516915"/>
    <w:rsid w:val="005169A7"/>
    <w:rsid w:val="00516C56"/>
    <w:rsid w:val="00517665"/>
    <w:rsid w:val="00517A90"/>
    <w:rsid w:val="00517FE8"/>
    <w:rsid w:val="005201D9"/>
    <w:rsid w:val="0052050F"/>
    <w:rsid w:val="00520806"/>
    <w:rsid w:val="00520FFB"/>
    <w:rsid w:val="005210D6"/>
    <w:rsid w:val="0052133F"/>
    <w:rsid w:val="005214D4"/>
    <w:rsid w:val="0052177E"/>
    <w:rsid w:val="00521A1D"/>
    <w:rsid w:val="00521C6C"/>
    <w:rsid w:val="005223F7"/>
    <w:rsid w:val="0052264A"/>
    <w:rsid w:val="005226AF"/>
    <w:rsid w:val="00522CC4"/>
    <w:rsid w:val="00523688"/>
    <w:rsid w:val="00523DD4"/>
    <w:rsid w:val="00524269"/>
    <w:rsid w:val="0052427A"/>
    <w:rsid w:val="00524CC6"/>
    <w:rsid w:val="0052505A"/>
    <w:rsid w:val="00525CCB"/>
    <w:rsid w:val="00525F87"/>
    <w:rsid w:val="0052647D"/>
    <w:rsid w:val="0052656C"/>
    <w:rsid w:val="005267CA"/>
    <w:rsid w:val="00526BB7"/>
    <w:rsid w:val="00527473"/>
    <w:rsid w:val="00527802"/>
    <w:rsid w:val="00527F97"/>
    <w:rsid w:val="005300AC"/>
    <w:rsid w:val="00530221"/>
    <w:rsid w:val="0053045B"/>
    <w:rsid w:val="00530A15"/>
    <w:rsid w:val="005310D3"/>
    <w:rsid w:val="00531351"/>
    <w:rsid w:val="005314D6"/>
    <w:rsid w:val="00531D4E"/>
    <w:rsid w:val="00532448"/>
    <w:rsid w:val="00532DED"/>
    <w:rsid w:val="005330DC"/>
    <w:rsid w:val="005335C2"/>
    <w:rsid w:val="005336C1"/>
    <w:rsid w:val="00533C1C"/>
    <w:rsid w:val="00533D80"/>
    <w:rsid w:val="00533E66"/>
    <w:rsid w:val="005342E5"/>
    <w:rsid w:val="005349CC"/>
    <w:rsid w:val="00534BD0"/>
    <w:rsid w:val="00535548"/>
    <w:rsid w:val="005355B2"/>
    <w:rsid w:val="0053567D"/>
    <w:rsid w:val="00535A79"/>
    <w:rsid w:val="00535F90"/>
    <w:rsid w:val="005362DB"/>
    <w:rsid w:val="00536A4B"/>
    <w:rsid w:val="00537160"/>
    <w:rsid w:val="0053735A"/>
    <w:rsid w:val="00537692"/>
    <w:rsid w:val="00537981"/>
    <w:rsid w:val="00537F58"/>
    <w:rsid w:val="0054020E"/>
    <w:rsid w:val="00540436"/>
    <w:rsid w:val="005406D3"/>
    <w:rsid w:val="00541C2A"/>
    <w:rsid w:val="00541F94"/>
    <w:rsid w:val="005426A3"/>
    <w:rsid w:val="0054291E"/>
    <w:rsid w:val="00542AD4"/>
    <w:rsid w:val="00542BA4"/>
    <w:rsid w:val="00542CB9"/>
    <w:rsid w:val="00542EB5"/>
    <w:rsid w:val="0054315D"/>
    <w:rsid w:val="00543326"/>
    <w:rsid w:val="00543394"/>
    <w:rsid w:val="00543499"/>
    <w:rsid w:val="00543FBC"/>
    <w:rsid w:val="00544305"/>
    <w:rsid w:val="0054473B"/>
    <w:rsid w:val="00544FE9"/>
    <w:rsid w:val="005454A6"/>
    <w:rsid w:val="00545C4C"/>
    <w:rsid w:val="00546793"/>
    <w:rsid w:val="005471D4"/>
    <w:rsid w:val="005472EA"/>
    <w:rsid w:val="00547642"/>
    <w:rsid w:val="005476FE"/>
    <w:rsid w:val="005478A5"/>
    <w:rsid w:val="00547C30"/>
    <w:rsid w:val="00547EA4"/>
    <w:rsid w:val="00550254"/>
    <w:rsid w:val="005506A4"/>
    <w:rsid w:val="005507C2"/>
    <w:rsid w:val="00550949"/>
    <w:rsid w:val="00550A24"/>
    <w:rsid w:val="00550D67"/>
    <w:rsid w:val="005511F3"/>
    <w:rsid w:val="0055143F"/>
    <w:rsid w:val="0055179D"/>
    <w:rsid w:val="005518AB"/>
    <w:rsid w:val="00551904"/>
    <w:rsid w:val="00551F71"/>
    <w:rsid w:val="00551F87"/>
    <w:rsid w:val="0055200B"/>
    <w:rsid w:val="00552973"/>
    <w:rsid w:val="00552A2A"/>
    <w:rsid w:val="00552AF5"/>
    <w:rsid w:val="00552C25"/>
    <w:rsid w:val="00552CF0"/>
    <w:rsid w:val="00552EC8"/>
    <w:rsid w:val="0055330F"/>
    <w:rsid w:val="005534D0"/>
    <w:rsid w:val="0055391B"/>
    <w:rsid w:val="00553987"/>
    <w:rsid w:val="005539EF"/>
    <w:rsid w:val="00553D8B"/>
    <w:rsid w:val="00553E7F"/>
    <w:rsid w:val="00554386"/>
    <w:rsid w:val="00554AC3"/>
    <w:rsid w:val="00554F1B"/>
    <w:rsid w:val="00555108"/>
    <w:rsid w:val="00555E6A"/>
    <w:rsid w:val="00555FF6"/>
    <w:rsid w:val="005565AE"/>
    <w:rsid w:val="00557B9C"/>
    <w:rsid w:val="00557E91"/>
    <w:rsid w:val="00557E9C"/>
    <w:rsid w:val="00560F98"/>
    <w:rsid w:val="00561518"/>
    <w:rsid w:val="005615CD"/>
    <w:rsid w:val="005617FF"/>
    <w:rsid w:val="005618F1"/>
    <w:rsid w:val="00561BDF"/>
    <w:rsid w:val="00561C2B"/>
    <w:rsid w:val="005620F7"/>
    <w:rsid w:val="00562626"/>
    <w:rsid w:val="0056273D"/>
    <w:rsid w:val="005637C9"/>
    <w:rsid w:val="00563904"/>
    <w:rsid w:val="00563ED6"/>
    <w:rsid w:val="00564681"/>
    <w:rsid w:val="00564875"/>
    <w:rsid w:val="0056492C"/>
    <w:rsid w:val="00564983"/>
    <w:rsid w:val="0056506F"/>
    <w:rsid w:val="005653A2"/>
    <w:rsid w:val="00565B4A"/>
    <w:rsid w:val="00565EBA"/>
    <w:rsid w:val="005660FE"/>
    <w:rsid w:val="005664BC"/>
    <w:rsid w:val="0056724C"/>
    <w:rsid w:val="005674A3"/>
    <w:rsid w:val="005676A1"/>
    <w:rsid w:val="0056785E"/>
    <w:rsid w:val="00567A01"/>
    <w:rsid w:val="00570129"/>
    <w:rsid w:val="0057019E"/>
    <w:rsid w:val="00570AEE"/>
    <w:rsid w:val="00570C73"/>
    <w:rsid w:val="00570EA1"/>
    <w:rsid w:val="005714C7"/>
    <w:rsid w:val="0057223D"/>
    <w:rsid w:val="0057280C"/>
    <w:rsid w:val="00572935"/>
    <w:rsid w:val="00572C07"/>
    <w:rsid w:val="00572CAF"/>
    <w:rsid w:val="00573341"/>
    <w:rsid w:val="005735EC"/>
    <w:rsid w:val="0057373F"/>
    <w:rsid w:val="00573A5D"/>
    <w:rsid w:val="00573D5C"/>
    <w:rsid w:val="005744F9"/>
    <w:rsid w:val="00574596"/>
    <w:rsid w:val="005746B0"/>
    <w:rsid w:val="00574728"/>
    <w:rsid w:val="00574F4E"/>
    <w:rsid w:val="00574FCE"/>
    <w:rsid w:val="005752A7"/>
    <w:rsid w:val="0057560F"/>
    <w:rsid w:val="00576132"/>
    <w:rsid w:val="0057638A"/>
    <w:rsid w:val="00576600"/>
    <w:rsid w:val="005769F9"/>
    <w:rsid w:val="00580069"/>
    <w:rsid w:val="0058028E"/>
    <w:rsid w:val="00580D2C"/>
    <w:rsid w:val="00581110"/>
    <w:rsid w:val="00581143"/>
    <w:rsid w:val="0058294A"/>
    <w:rsid w:val="00582A00"/>
    <w:rsid w:val="00582B60"/>
    <w:rsid w:val="00582CF0"/>
    <w:rsid w:val="00582D6F"/>
    <w:rsid w:val="00582E49"/>
    <w:rsid w:val="00583CA9"/>
    <w:rsid w:val="00583D20"/>
    <w:rsid w:val="00583D2B"/>
    <w:rsid w:val="00583EB8"/>
    <w:rsid w:val="00583EE0"/>
    <w:rsid w:val="00583F4C"/>
    <w:rsid w:val="00583F7F"/>
    <w:rsid w:val="00584A0F"/>
    <w:rsid w:val="00584FC3"/>
    <w:rsid w:val="005850E5"/>
    <w:rsid w:val="005850EB"/>
    <w:rsid w:val="00585216"/>
    <w:rsid w:val="00585852"/>
    <w:rsid w:val="005858AF"/>
    <w:rsid w:val="00585C9B"/>
    <w:rsid w:val="00585E01"/>
    <w:rsid w:val="005861AA"/>
    <w:rsid w:val="0058639F"/>
    <w:rsid w:val="00586491"/>
    <w:rsid w:val="005867A9"/>
    <w:rsid w:val="005869C5"/>
    <w:rsid w:val="00586C30"/>
    <w:rsid w:val="00586C33"/>
    <w:rsid w:val="00586E0F"/>
    <w:rsid w:val="00586EF9"/>
    <w:rsid w:val="00586FEC"/>
    <w:rsid w:val="0058774C"/>
    <w:rsid w:val="005879A2"/>
    <w:rsid w:val="00587CE9"/>
    <w:rsid w:val="00590E47"/>
    <w:rsid w:val="00591388"/>
    <w:rsid w:val="00591548"/>
    <w:rsid w:val="0059228D"/>
    <w:rsid w:val="005926FE"/>
    <w:rsid w:val="005934D1"/>
    <w:rsid w:val="005935FE"/>
    <w:rsid w:val="00593B47"/>
    <w:rsid w:val="00593B58"/>
    <w:rsid w:val="005950F6"/>
    <w:rsid w:val="00595585"/>
    <w:rsid w:val="0059570D"/>
    <w:rsid w:val="0059582C"/>
    <w:rsid w:val="00595B48"/>
    <w:rsid w:val="00596544"/>
    <w:rsid w:val="005965AC"/>
    <w:rsid w:val="005969AB"/>
    <w:rsid w:val="00596BC4"/>
    <w:rsid w:val="00596C07"/>
    <w:rsid w:val="00596D71"/>
    <w:rsid w:val="00596F67"/>
    <w:rsid w:val="0059708A"/>
    <w:rsid w:val="0059718D"/>
    <w:rsid w:val="005977DB"/>
    <w:rsid w:val="005979E4"/>
    <w:rsid w:val="00597F59"/>
    <w:rsid w:val="005A0250"/>
    <w:rsid w:val="005A03E2"/>
    <w:rsid w:val="005A0445"/>
    <w:rsid w:val="005A0878"/>
    <w:rsid w:val="005A09E4"/>
    <w:rsid w:val="005A0F7A"/>
    <w:rsid w:val="005A194C"/>
    <w:rsid w:val="005A1ADF"/>
    <w:rsid w:val="005A1C97"/>
    <w:rsid w:val="005A2969"/>
    <w:rsid w:val="005A2BED"/>
    <w:rsid w:val="005A2D2A"/>
    <w:rsid w:val="005A2F63"/>
    <w:rsid w:val="005A348B"/>
    <w:rsid w:val="005A3E71"/>
    <w:rsid w:val="005A4096"/>
    <w:rsid w:val="005A4111"/>
    <w:rsid w:val="005A475B"/>
    <w:rsid w:val="005A4766"/>
    <w:rsid w:val="005A4AA4"/>
    <w:rsid w:val="005A5290"/>
    <w:rsid w:val="005A5554"/>
    <w:rsid w:val="005A5B2F"/>
    <w:rsid w:val="005A5F54"/>
    <w:rsid w:val="005A6256"/>
    <w:rsid w:val="005A6379"/>
    <w:rsid w:val="005A63D5"/>
    <w:rsid w:val="005A6472"/>
    <w:rsid w:val="005A64E5"/>
    <w:rsid w:val="005A68B9"/>
    <w:rsid w:val="005A6C8C"/>
    <w:rsid w:val="005A6FBA"/>
    <w:rsid w:val="005A785B"/>
    <w:rsid w:val="005B076C"/>
    <w:rsid w:val="005B0DE1"/>
    <w:rsid w:val="005B19A4"/>
    <w:rsid w:val="005B1EFE"/>
    <w:rsid w:val="005B1F9E"/>
    <w:rsid w:val="005B237E"/>
    <w:rsid w:val="005B262B"/>
    <w:rsid w:val="005B26FC"/>
    <w:rsid w:val="005B277F"/>
    <w:rsid w:val="005B2A00"/>
    <w:rsid w:val="005B2A08"/>
    <w:rsid w:val="005B2DF9"/>
    <w:rsid w:val="005B2ED9"/>
    <w:rsid w:val="005B3142"/>
    <w:rsid w:val="005B35C3"/>
    <w:rsid w:val="005B3836"/>
    <w:rsid w:val="005B3AA1"/>
    <w:rsid w:val="005B3C5F"/>
    <w:rsid w:val="005B3E7D"/>
    <w:rsid w:val="005B4B17"/>
    <w:rsid w:val="005B4EFC"/>
    <w:rsid w:val="005B50C4"/>
    <w:rsid w:val="005B5261"/>
    <w:rsid w:val="005B60CC"/>
    <w:rsid w:val="005B6186"/>
    <w:rsid w:val="005B6858"/>
    <w:rsid w:val="005B68E1"/>
    <w:rsid w:val="005B70A4"/>
    <w:rsid w:val="005B72F4"/>
    <w:rsid w:val="005B76E3"/>
    <w:rsid w:val="005B7909"/>
    <w:rsid w:val="005B7A87"/>
    <w:rsid w:val="005B7EC5"/>
    <w:rsid w:val="005B7FA2"/>
    <w:rsid w:val="005C07B5"/>
    <w:rsid w:val="005C0B70"/>
    <w:rsid w:val="005C0BA5"/>
    <w:rsid w:val="005C166D"/>
    <w:rsid w:val="005C1E87"/>
    <w:rsid w:val="005C217A"/>
    <w:rsid w:val="005C2FEB"/>
    <w:rsid w:val="005C377D"/>
    <w:rsid w:val="005C3A47"/>
    <w:rsid w:val="005C3CF7"/>
    <w:rsid w:val="005C3E0C"/>
    <w:rsid w:val="005C4793"/>
    <w:rsid w:val="005C49CB"/>
    <w:rsid w:val="005C4A57"/>
    <w:rsid w:val="005C4BBD"/>
    <w:rsid w:val="005C5284"/>
    <w:rsid w:val="005C54D6"/>
    <w:rsid w:val="005C5505"/>
    <w:rsid w:val="005C5675"/>
    <w:rsid w:val="005C5AB7"/>
    <w:rsid w:val="005C6194"/>
    <w:rsid w:val="005C61C4"/>
    <w:rsid w:val="005C626E"/>
    <w:rsid w:val="005C6A98"/>
    <w:rsid w:val="005C6E8A"/>
    <w:rsid w:val="005C7302"/>
    <w:rsid w:val="005C74C1"/>
    <w:rsid w:val="005D0147"/>
    <w:rsid w:val="005D0751"/>
    <w:rsid w:val="005D0A35"/>
    <w:rsid w:val="005D0E47"/>
    <w:rsid w:val="005D0EB7"/>
    <w:rsid w:val="005D0FF6"/>
    <w:rsid w:val="005D1201"/>
    <w:rsid w:val="005D13CE"/>
    <w:rsid w:val="005D150C"/>
    <w:rsid w:val="005D196A"/>
    <w:rsid w:val="005D1FFE"/>
    <w:rsid w:val="005D2824"/>
    <w:rsid w:val="005D2CF1"/>
    <w:rsid w:val="005D2FC2"/>
    <w:rsid w:val="005D3181"/>
    <w:rsid w:val="005D33B2"/>
    <w:rsid w:val="005D4274"/>
    <w:rsid w:val="005D4689"/>
    <w:rsid w:val="005D4831"/>
    <w:rsid w:val="005D48E0"/>
    <w:rsid w:val="005D4A43"/>
    <w:rsid w:val="005D4FD2"/>
    <w:rsid w:val="005D50B2"/>
    <w:rsid w:val="005D5490"/>
    <w:rsid w:val="005D5797"/>
    <w:rsid w:val="005D596C"/>
    <w:rsid w:val="005D5A5F"/>
    <w:rsid w:val="005D6001"/>
    <w:rsid w:val="005D65FD"/>
    <w:rsid w:val="005D70CA"/>
    <w:rsid w:val="005D767F"/>
    <w:rsid w:val="005D7D4F"/>
    <w:rsid w:val="005E01A1"/>
    <w:rsid w:val="005E02C1"/>
    <w:rsid w:val="005E06E5"/>
    <w:rsid w:val="005E1251"/>
    <w:rsid w:val="005E126C"/>
    <w:rsid w:val="005E1556"/>
    <w:rsid w:val="005E1A38"/>
    <w:rsid w:val="005E1C5A"/>
    <w:rsid w:val="005E2D5C"/>
    <w:rsid w:val="005E2E4E"/>
    <w:rsid w:val="005E30F4"/>
    <w:rsid w:val="005E3240"/>
    <w:rsid w:val="005E32FC"/>
    <w:rsid w:val="005E34B4"/>
    <w:rsid w:val="005E3ABF"/>
    <w:rsid w:val="005E3BD4"/>
    <w:rsid w:val="005E45AE"/>
    <w:rsid w:val="005E466B"/>
    <w:rsid w:val="005E48C7"/>
    <w:rsid w:val="005E4CBD"/>
    <w:rsid w:val="005E4E82"/>
    <w:rsid w:val="005E4F23"/>
    <w:rsid w:val="005E550E"/>
    <w:rsid w:val="005E5987"/>
    <w:rsid w:val="005E5B11"/>
    <w:rsid w:val="005E5BD8"/>
    <w:rsid w:val="005E5F82"/>
    <w:rsid w:val="005E6241"/>
    <w:rsid w:val="005E62CC"/>
    <w:rsid w:val="005E690C"/>
    <w:rsid w:val="005E6AB5"/>
    <w:rsid w:val="005E6CF4"/>
    <w:rsid w:val="005E6D15"/>
    <w:rsid w:val="005E6DCC"/>
    <w:rsid w:val="005E6E1E"/>
    <w:rsid w:val="005E7088"/>
    <w:rsid w:val="005E7426"/>
    <w:rsid w:val="005E7551"/>
    <w:rsid w:val="005E7880"/>
    <w:rsid w:val="005E7EE5"/>
    <w:rsid w:val="005F0121"/>
    <w:rsid w:val="005F050B"/>
    <w:rsid w:val="005F0C47"/>
    <w:rsid w:val="005F0DC2"/>
    <w:rsid w:val="005F111E"/>
    <w:rsid w:val="005F11D7"/>
    <w:rsid w:val="005F1232"/>
    <w:rsid w:val="005F1BB3"/>
    <w:rsid w:val="005F1EFF"/>
    <w:rsid w:val="005F25DE"/>
    <w:rsid w:val="005F2888"/>
    <w:rsid w:val="005F29EA"/>
    <w:rsid w:val="005F2D43"/>
    <w:rsid w:val="005F2DE4"/>
    <w:rsid w:val="005F3111"/>
    <w:rsid w:val="005F32EC"/>
    <w:rsid w:val="005F3D2D"/>
    <w:rsid w:val="005F4465"/>
    <w:rsid w:val="005F4827"/>
    <w:rsid w:val="005F4ABD"/>
    <w:rsid w:val="005F5184"/>
    <w:rsid w:val="005F54B1"/>
    <w:rsid w:val="005F56A6"/>
    <w:rsid w:val="005F62E6"/>
    <w:rsid w:val="005F689B"/>
    <w:rsid w:val="005F6A7C"/>
    <w:rsid w:val="005F7D9D"/>
    <w:rsid w:val="005F7E0B"/>
    <w:rsid w:val="00600751"/>
    <w:rsid w:val="0060075C"/>
    <w:rsid w:val="00600ADC"/>
    <w:rsid w:val="00600B08"/>
    <w:rsid w:val="00600B2D"/>
    <w:rsid w:val="00600CA9"/>
    <w:rsid w:val="006013B7"/>
    <w:rsid w:val="00601633"/>
    <w:rsid w:val="00601B33"/>
    <w:rsid w:val="00601CBB"/>
    <w:rsid w:val="00602051"/>
    <w:rsid w:val="006020EC"/>
    <w:rsid w:val="00602144"/>
    <w:rsid w:val="0060241F"/>
    <w:rsid w:val="00603312"/>
    <w:rsid w:val="00603428"/>
    <w:rsid w:val="006037E5"/>
    <w:rsid w:val="006039C2"/>
    <w:rsid w:val="00603B80"/>
    <w:rsid w:val="00603FC9"/>
    <w:rsid w:val="00604338"/>
    <w:rsid w:val="006049F0"/>
    <w:rsid w:val="00605019"/>
    <w:rsid w:val="00605313"/>
    <w:rsid w:val="006058FB"/>
    <w:rsid w:val="006059D6"/>
    <w:rsid w:val="00605E2F"/>
    <w:rsid w:val="00605F3B"/>
    <w:rsid w:val="006062DC"/>
    <w:rsid w:val="006063D5"/>
    <w:rsid w:val="00606768"/>
    <w:rsid w:val="006071E0"/>
    <w:rsid w:val="0060749F"/>
    <w:rsid w:val="006074F1"/>
    <w:rsid w:val="0060797E"/>
    <w:rsid w:val="00607C88"/>
    <w:rsid w:val="00607CF2"/>
    <w:rsid w:val="00607D3F"/>
    <w:rsid w:val="00607EFA"/>
    <w:rsid w:val="006100B8"/>
    <w:rsid w:val="00610570"/>
    <w:rsid w:val="00610C60"/>
    <w:rsid w:val="00611435"/>
    <w:rsid w:val="006117B7"/>
    <w:rsid w:val="00611993"/>
    <w:rsid w:val="006120AD"/>
    <w:rsid w:val="0061240A"/>
    <w:rsid w:val="0061342B"/>
    <w:rsid w:val="006137C6"/>
    <w:rsid w:val="0061415E"/>
    <w:rsid w:val="00614B2F"/>
    <w:rsid w:val="00614EB0"/>
    <w:rsid w:val="00614F52"/>
    <w:rsid w:val="00615B23"/>
    <w:rsid w:val="00615D96"/>
    <w:rsid w:val="0061633B"/>
    <w:rsid w:val="006166E4"/>
    <w:rsid w:val="0061693D"/>
    <w:rsid w:val="0061699B"/>
    <w:rsid w:val="00616E7B"/>
    <w:rsid w:val="006172BB"/>
    <w:rsid w:val="0061755F"/>
    <w:rsid w:val="00617662"/>
    <w:rsid w:val="00617822"/>
    <w:rsid w:val="00617B4D"/>
    <w:rsid w:val="00617B60"/>
    <w:rsid w:val="00617D2E"/>
    <w:rsid w:val="00617DE6"/>
    <w:rsid w:val="006203DB"/>
    <w:rsid w:val="00620D4F"/>
    <w:rsid w:val="00620ED3"/>
    <w:rsid w:val="00620F6E"/>
    <w:rsid w:val="006218E2"/>
    <w:rsid w:val="00621A8B"/>
    <w:rsid w:val="00621CA8"/>
    <w:rsid w:val="006225BA"/>
    <w:rsid w:val="006228CE"/>
    <w:rsid w:val="00622B8D"/>
    <w:rsid w:val="00622ED4"/>
    <w:rsid w:val="00623404"/>
    <w:rsid w:val="006235D7"/>
    <w:rsid w:val="0062390A"/>
    <w:rsid w:val="0062397C"/>
    <w:rsid w:val="00624080"/>
    <w:rsid w:val="00624351"/>
    <w:rsid w:val="0062527A"/>
    <w:rsid w:val="00625322"/>
    <w:rsid w:val="006253C0"/>
    <w:rsid w:val="006253CC"/>
    <w:rsid w:val="0062606C"/>
    <w:rsid w:val="00626413"/>
    <w:rsid w:val="006269BC"/>
    <w:rsid w:val="00626A98"/>
    <w:rsid w:val="00626AB4"/>
    <w:rsid w:val="00626C35"/>
    <w:rsid w:val="006271B1"/>
    <w:rsid w:val="00627235"/>
    <w:rsid w:val="00630023"/>
    <w:rsid w:val="00631475"/>
    <w:rsid w:val="00631A6D"/>
    <w:rsid w:val="0063215D"/>
    <w:rsid w:val="006324BD"/>
    <w:rsid w:val="0063254F"/>
    <w:rsid w:val="0063255F"/>
    <w:rsid w:val="00632653"/>
    <w:rsid w:val="00632A33"/>
    <w:rsid w:val="006334C3"/>
    <w:rsid w:val="006335AB"/>
    <w:rsid w:val="006339C1"/>
    <w:rsid w:val="00633AAC"/>
    <w:rsid w:val="0063444A"/>
    <w:rsid w:val="006346AA"/>
    <w:rsid w:val="00634BCD"/>
    <w:rsid w:val="00634C15"/>
    <w:rsid w:val="00634CE1"/>
    <w:rsid w:val="00634DA8"/>
    <w:rsid w:val="00634F86"/>
    <w:rsid w:val="0063525C"/>
    <w:rsid w:val="00635474"/>
    <w:rsid w:val="0063598E"/>
    <w:rsid w:val="00635F7A"/>
    <w:rsid w:val="006362D0"/>
    <w:rsid w:val="00636620"/>
    <w:rsid w:val="006367FE"/>
    <w:rsid w:val="006368D2"/>
    <w:rsid w:val="00636A31"/>
    <w:rsid w:val="00636EB4"/>
    <w:rsid w:val="0063700E"/>
    <w:rsid w:val="00637781"/>
    <w:rsid w:val="006401D1"/>
    <w:rsid w:val="00640697"/>
    <w:rsid w:val="00640A30"/>
    <w:rsid w:val="00640DAF"/>
    <w:rsid w:val="00641599"/>
    <w:rsid w:val="00641653"/>
    <w:rsid w:val="00641BB0"/>
    <w:rsid w:val="00642229"/>
    <w:rsid w:val="00642250"/>
    <w:rsid w:val="00642816"/>
    <w:rsid w:val="00642F92"/>
    <w:rsid w:val="00643640"/>
    <w:rsid w:val="0064369C"/>
    <w:rsid w:val="00643762"/>
    <w:rsid w:val="00643A6E"/>
    <w:rsid w:val="00643C3E"/>
    <w:rsid w:val="0064427A"/>
    <w:rsid w:val="00644528"/>
    <w:rsid w:val="00644686"/>
    <w:rsid w:val="00644754"/>
    <w:rsid w:val="00644CFE"/>
    <w:rsid w:val="00645128"/>
    <w:rsid w:val="006459F5"/>
    <w:rsid w:val="00645BCF"/>
    <w:rsid w:val="006463C6"/>
    <w:rsid w:val="00646777"/>
    <w:rsid w:val="00646BAB"/>
    <w:rsid w:val="00646CBA"/>
    <w:rsid w:val="00646E8E"/>
    <w:rsid w:val="00646F6A"/>
    <w:rsid w:val="006474B9"/>
    <w:rsid w:val="006478DA"/>
    <w:rsid w:val="006478F7"/>
    <w:rsid w:val="00650297"/>
    <w:rsid w:val="006503E5"/>
    <w:rsid w:val="00650996"/>
    <w:rsid w:val="00650CA3"/>
    <w:rsid w:val="00650D87"/>
    <w:rsid w:val="00651364"/>
    <w:rsid w:val="006513CB"/>
    <w:rsid w:val="0065167A"/>
    <w:rsid w:val="00651B95"/>
    <w:rsid w:val="00651C8A"/>
    <w:rsid w:val="00652047"/>
    <w:rsid w:val="006520ED"/>
    <w:rsid w:val="0065239D"/>
    <w:rsid w:val="00652644"/>
    <w:rsid w:val="00652C2C"/>
    <w:rsid w:val="00652E73"/>
    <w:rsid w:val="00653974"/>
    <w:rsid w:val="00653ABB"/>
    <w:rsid w:val="00653B83"/>
    <w:rsid w:val="00653CD2"/>
    <w:rsid w:val="00653E8C"/>
    <w:rsid w:val="00654083"/>
    <w:rsid w:val="00654474"/>
    <w:rsid w:val="00654594"/>
    <w:rsid w:val="006546EC"/>
    <w:rsid w:val="00654C7E"/>
    <w:rsid w:val="00654DB1"/>
    <w:rsid w:val="006555A3"/>
    <w:rsid w:val="00655E70"/>
    <w:rsid w:val="00656060"/>
    <w:rsid w:val="006561F1"/>
    <w:rsid w:val="00656286"/>
    <w:rsid w:val="00656463"/>
    <w:rsid w:val="006565CE"/>
    <w:rsid w:val="006570A9"/>
    <w:rsid w:val="006572E8"/>
    <w:rsid w:val="006572FC"/>
    <w:rsid w:val="006575DC"/>
    <w:rsid w:val="00657E0F"/>
    <w:rsid w:val="00657FC4"/>
    <w:rsid w:val="00657FDC"/>
    <w:rsid w:val="00657FE8"/>
    <w:rsid w:val="0066034F"/>
    <w:rsid w:val="00660384"/>
    <w:rsid w:val="00660580"/>
    <w:rsid w:val="00660D02"/>
    <w:rsid w:val="0066110A"/>
    <w:rsid w:val="00661A70"/>
    <w:rsid w:val="00661D44"/>
    <w:rsid w:val="00662B52"/>
    <w:rsid w:val="00662ED9"/>
    <w:rsid w:val="00662EE9"/>
    <w:rsid w:val="00662F16"/>
    <w:rsid w:val="00662FDC"/>
    <w:rsid w:val="00663379"/>
    <w:rsid w:val="006635A5"/>
    <w:rsid w:val="00663E44"/>
    <w:rsid w:val="00664070"/>
    <w:rsid w:val="006641FE"/>
    <w:rsid w:val="00664A81"/>
    <w:rsid w:val="00665049"/>
    <w:rsid w:val="006656F1"/>
    <w:rsid w:val="00665808"/>
    <w:rsid w:val="00665A06"/>
    <w:rsid w:val="006664AE"/>
    <w:rsid w:val="006669B0"/>
    <w:rsid w:val="00666C3E"/>
    <w:rsid w:val="0066705F"/>
    <w:rsid w:val="006671EE"/>
    <w:rsid w:val="00667265"/>
    <w:rsid w:val="006673DA"/>
    <w:rsid w:val="006678AF"/>
    <w:rsid w:val="00667C32"/>
    <w:rsid w:val="00667FAF"/>
    <w:rsid w:val="00670184"/>
    <w:rsid w:val="00670391"/>
    <w:rsid w:val="0067093C"/>
    <w:rsid w:val="00670AE6"/>
    <w:rsid w:val="00670BE6"/>
    <w:rsid w:val="00670CE4"/>
    <w:rsid w:val="006718F5"/>
    <w:rsid w:val="006725BE"/>
    <w:rsid w:val="006725E7"/>
    <w:rsid w:val="00672E01"/>
    <w:rsid w:val="00673335"/>
    <w:rsid w:val="00673861"/>
    <w:rsid w:val="00673ABD"/>
    <w:rsid w:val="00673C9D"/>
    <w:rsid w:val="00673FCD"/>
    <w:rsid w:val="006742B0"/>
    <w:rsid w:val="0067439C"/>
    <w:rsid w:val="006745DC"/>
    <w:rsid w:val="00674F0C"/>
    <w:rsid w:val="00675282"/>
    <w:rsid w:val="006752EF"/>
    <w:rsid w:val="00675654"/>
    <w:rsid w:val="00675C8B"/>
    <w:rsid w:val="00675F5E"/>
    <w:rsid w:val="00675F64"/>
    <w:rsid w:val="00676376"/>
    <w:rsid w:val="00676B6C"/>
    <w:rsid w:val="00676C6B"/>
    <w:rsid w:val="0067727D"/>
    <w:rsid w:val="006774EE"/>
    <w:rsid w:val="0067760F"/>
    <w:rsid w:val="00677669"/>
    <w:rsid w:val="00677934"/>
    <w:rsid w:val="00677D85"/>
    <w:rsid w:val="00680046"/>
    <w:rsid w:val="006803EA"/>
    <w:rsid w:val="00680470"/>
    <w:rsid w:val="00681022"/>
    <w:rsid w:val="00681392"/>
    <w:rsid w:val="00681646"/>
    <w:rsid w:val="006816A8"/>
    <w:rsid w:val="00681BA5"/>
    <w:rsid w:val="00681FF2"/>
    <w:rsid w:val="00682347"/>
    <w:rsid w:val="00682639"/>
    <w:rsid w:val="006828E5"/>
    <w:rsid w:val="00683130"/>
    <w:rsid w:val="006833AA"/>
    <w:rsid w:val="006833BE"/>
    <w:rsid w:val="00683527"/>
    <w:rsid w:val="0068365E"/>
    <w:rsid w:val="006836D8"/>
    <w:rsid w:val="00683811"/>
    <w:rsid w:val="0068397F"/>
    <w:rsid w:val="00683E15"/>
    <w:rsid w:val="00683F93"/>
    <w:rsid w:val="00684176"/>
    <w:rsid w:val="0068419E"/>
    <w:rsid w:val="006842A2"/>
    <w:rsid w:val="006842EC"/>
    <w:rsid w:val="006846B2"/>
    <w:rsid w:val="00684DB9"/>
    <w:rsid w:val="00684E41"/>
    <w:rsid w:val="006860E8"/>
    <w:rsid w:val="00686487"/>
    <w:rsid w:val="00686667"/>
    <w:rsid w:val="00686BBA"/>
    <w:rsid w:val="00686E69"/>
    <w:rsid w:val="00686ED9"/>
    <w:rsid w:val="00687A03"/>
    <w:rsid w:val="00687FBF"/>
    <w:rsid w:val="006900B2"/>
    <w:rsid w:val="00690684"/>
    <w:rsid w:val="00690862"/>
    <w:rsid w:val="006909FC"/>
    <w:rsid w:val="00690F3F"/>
    <w:rsid w:val="006914E0"/>
    <w:rsid w:val="006919B6"/>
    <w:rsid w:val="00691ED3"/>
    <w:rsid w:val="006920A9"/>
    <w:rsid w:val="00692144"/>
    <w:rsid w:val="00692BFB"/>
    <w:rsid w:val="00692FDD"/>
    <w:rsid w:val="006935EE"/>
    <w:rsid w:val="00693603"/>
    <w:rsid w:val="006939F0"/>
    <w:rsid w:val="00693BCC"/>
    <w:rsid w:val="00694047"/>
    <w:rsid w:val="00694E13"/>
    <w:rsid w:val="00694E86"/>
    <w:rsid w:val="0069531B"/>
    <w:rsid w:val="00695340"/>
    <w:rsid w:val="006958AC"/>
    <w:rsid w:val="0069592D"/>
    <w:rsid w:val="00695988"/>
    <w:rsid w:val="00695ADD"/>
    <w:rsid w:val="00695AFC"/>
    <w:rsid w:val="006963DC"/>
    <w:rsid w:val="00696876"/>
    <w:rsid w:val="006969F5"/>
    <w:rsid w:val="00696A7B"/>
    <w:rsid w:val="00696C0E"/>
    <w:rsid w:val="00697704"/>
    <w:rsid w:val="006A0CDD"/>
    <w:rsid w:val="006A0D88"/>
    <w:rsid w:val="006A0F8B"/>
    <w:rsid w:val="006A1129"/>
    <w:rsid w:val="006A1900"/>
    <w:rsid w:val="006A1963"/>
    <w:rsid w:val="006A1BC8"/>
    <w:rsid w:val="006A1CA5"/>
    <w:rsid w:val="006A1E0C"/>
    <w:rsid w:val="006A1E10"/>
    <w:rsid w:val="006A2020"/>
    <w:rsid w:val="006A38BE"/>
    <w:rsid w:val="006A3BAE"/>
    <w:rsid w:val="006A3C1D"/>
    <w:rsid w:val="006A4509"/>
    <w:rsid w:val="006A46E8"/>
    <w:rsid w:val="006A47E6"/>
    <w:rsid w:val="006A4AD1"/>
    <w:rsid w:val="006A4AFB"/>
    <w:rsid w:val="006A4BDC"/>
    <w:rsid w:val="006A508A"/>
    <w:rsid w:val="006A508C"/>
    <w:rsid w:val="006A5163"/>
    <w:rsid w:val="006A530B"/>
    <w:rsid w:val="006A53D3"/>
    <w:rsid w:val="006A5686"/>
    <w:rsid w:val="006A5803"/>
    <w:rsid w:val="006A5ABC"/>
    <w:rsid w:val="006A618D"/>
    <w:rsid w:val="006A628B"/>
    <w:rsid w:val="006A6B4C"/>
    <w:rsid w:val="006A6EBB"/>
    <w:rsid w:val="006A72F1"/>
    <w:rsid w:val="006A79FA"/>
    <w:rsid w:val="006B03B9"/>
    <w:rsid w:val="006B0479"/>
    <w:rsid w:val="006B0A94"/>
    <w:rsid w:val="006B123F"/>
    <w:rsid w:val="006B1ACB"/>
    <w:rsid w:val="006B1B1A"/>
    <w:rsid w:val="006B216F"/>
    <w:rsid w:val="006B2513"/>
    <w:rsid w:val="006B2683"/>
    <w:rsid w:val="006B26F6"/>
    <w:rsid w:val="006B2A63"/>
    <w:rsid w:val="006B2DF4"/>
    <w:rsid w:val="006B30C1"/>
    <w:rsid w:val="006B3143"/>
    <w:rsid w:val="006B34A1"/>
    <w:rsid w:val="006B3A05"/>
    <w:rsid w:val="006B414A"/>
    <w:rsid w:val="006B44FD"/>
    <w:rsid w:val="006B45CB"/>
    <w:rsid w:val="006B45DB"/>
    <w:rsid w:val="006B488A"/>
    <w:rsid w:val="006B4948"/>
    <w:rsid w:val="006B4EE6"/>
    <w:rsid w:val="006B55DF"/>
    <w:rsid w:val="006B5651"/>
    <w:rsid w:val="006B59D7"/>
    <w:rsid w:val="006B5A4C"/>
    <w:rsid w:val="006B5AFE"/>
    <w:rsid w:val="006B6103"/>
    <w:rsid w:val="006B6780"/>
    <w:rsid w:val="006B725E"/>
    <w:rsid w:val="006B74F6"/>
    <w:rsid w:val="006B783E"/>
    <w:rsid w:val="006B7BBF"/>
    <w:rsid w:val="006B7D95"/>
    <w:rsid w:val="006C0052"/>
    <w:rsid w:val="006C0129"/>
    <w:rsid w:val="006C01A1"/>
    <w:rsid w:val="006C0766"/>
    <w:rsid w:val="006C07E7"/>
    <w:rsid w:val="006C09CA"/>
    <w:rsid w:val="006C09ED"/>
    <w:rsid w:val="006C0FD5"/>
    <w:rsid w:val="006C12CE"/>
    <w:rsid w:val="006C1667"/>
    <w:rsid w:val="006C1A17"/>
    <w:rsid w:val="006C1C7D"/>
    <w:rsid w:val="006C1E71"/>
    <w:rsid w:val="006C201F"/>
    <w:rsid w:val="006C25FC"/>
    <w:rsid w:val="006C2655"/>
    <w:rsid w:val="006C28F2"/>
    <w:rsid w:val="006C2A90"/>
    <w:rsid w:val="006C2C5F"/>
    <w:rsid w:val="006C3025"/>
    <w:rsid w:val="006C34BF"/>
    <w:rsid w:val="006C3F61"/>
    <w:rsid w:val="006C43AA"/>
    <w:rsid w:val="006C4907"/>
    <w:rsid w:val="006C4A16"/>
    <w:rsid w:val="006C4AFB"/>
    <w:rsid w:val="006C5286"/>
    <w:rsid w:val="006C54D8"/>
    <w:rsid w:val="006C578F"/>
    <w:rsid w:val="006C5938"/>
    <w:rsid w:val="006C5B41"/>
    <w:rsid w:val="006C5D26"/>
    <w:rsid w:val="006C5D52"/>
    <w:rsid w:val="006C5DED"/>
    <w:rsid w:val="006C67E9"/>
    <w:rsid w:val="006C6897"/>
    <w:rsid w:val="006C6A2B"/>
    <w:rsid w:val="006C712C"/>
    <w:rsid w:val="006C7858"/>
    <w:rsid w:val="006C78FE"/>
    <w:rsid w:val="006C7DCD"/>
    <w:rsid w:val="006C7F50"/>
    <w:rsid w:val="006D02D3"/>
    <w:rsid w:val="006D04E2"/>
    <w:rsid w:val="006D06EA"/>
    <w:rsid w:val="006D07AF"/>
    <w:rsid w:val="006D0D64"/>
    <w:rsid w:val="006D1202"/>
    <w:rsid w:val="006D14C6"/>
    <w:rsid w:val="006D178C"/>
    <w:rsid w:val="006D1D70"/>
    <w:rsid w:val="006D254D"/>
    <w:rsid w:val="006D276E"/>
    <w:rsid w:val="006D2D1C"/>
    <w:rsid w:val="006D2D5B"/>
    <w:rsid w:val="006D35DE"/>
    <w:rsid w:val="006D3682"/>
    <w:rsid w:val="006D3C46"/>
    <w:rsid w:val="006D408B"/>
    <w:rsid w:val="006D4183"/>
    <w:rsid w:val="006D42BE"/>
    <w:rsid w:val="006D45E3"/>
    <w:rsid w:val="006D4A9F"/>
    <w:rsid w:val="006D4D88"/>
    <w:rsid w:val="006D52A6"/>
    <w:rsid w:val="006D54AD"/>
    <w:rsid w:val="006D5897"/>
    <w:rsid w:val="006D593E"/>
    <w:rsid w:val="006D59F6"/>
    <w:rsid w:val="006D5CC7"/>
    <w:rsid w:val="006D5D25"/>
    <w:rsid w:val="006D63AD"/>
    <w:rsid w:val="006D671F"/>
    <w:rsid w:val="006D6E40"/>
    <w:rsid w:val="006D7718"/>
    <w:rsid w:val="006E0660"/>
    <w:rsid w:val="006E09F8"/>
    <w:rsid w:val="006E0AA3"/>
    <w:rsid w:val="006E1377"/>
    <w:rsid w:val="006E1596"/>
    <w:rsid w:val="006E15EB"/>
    <w:rsid w:val="006E1669"/>
    <w:rsid w:val="006E18FA"/>
    <w:rsid w:val="006E2436"/>
    <w:rsid w:val="006E27BB"/>
    <w:rsid w:val="006E282B"/>
    <w:rsid w:val="006E2C23"/>
    <w:rsid w:val="006E35F7"/>
    <w:rsid w:val="006E39EF"/>
    <w:rsid w:val="006E3B46"/>
    <w:rsid w:val="006E3E1C"/>
    <w:rsid w:val="006E420D"/>
    <w:rsid w:val="006E4456"/>
    <w:rsid w:val="006E4895"/>
    <w:rsid w:val="006E48B1"/>
    <w:rsid w:val="006E4B47"/>
    <w:rsid w:val="006E4F9D"/>
    <w:rsid w:val="006E503F"/>
    <w:rsid w:val="006E533F"/>
    <w:rsid w:val="006E5F50"/>
    <w:rsid w:val="006E65D3"/>
    <w:rsid w:val="006E6BBF"/>
    <w:rsid w:val="006E6C1F"/>
    <w:rsid w:val="006E6D20"/>
    <w:rsid w:val="006E764B"/>
    <w:rsid w:val="006F0110"/>
    <w:rsid w:val="006F04FA"/>
    <w:rsid w:val="006F15CA"/>
    <w:rsid w:val="006F1F97"/>
    <w:rsid w:val="006F20BB"/>
    <w:rsid w:val="006F2777"/>
    <w:rsid w:val="006F2F50"/>
    <w:rsid w:val="006F36BE"/>
    <w:rsid w:val="006F3D59"/>
    <w:rsid w:val="006F3FE7"/>
    <w:rsid w:val="006F4273"/>
    <w:rsid w:val="006F456F"/>
    <w:rsid w:val="006F4586"/>
    <w:rsid w:val="006F48A4"/>
    <w:rsid w:val="006F4997"/>
    <w:rsid w:val="006F4B2A"/>
    <w:rsid w:val="006F4D1A"/>
    <w:rsid w:val="006F508B"/>
    <w:rsid w:val="006F51B7"/>
    <w:rsid w:val="006F5830"/>
    <w:rsid w:val="006F5C4F"/>
    <w:rsid w:val="006F5CC0"/>
    <w:rsid w:val="006F63FC"/>
    <w:rsid w:val="006F6414"/>
    <w:rsid w:val="006F6730"/>
    <w:rsid w:val="006F6CB5"/>
    <w:rsid w:val="006F6CEE"/>
    <w:rsid w:val="006F7199"/>
    <w:rsid w:val="006F7255"/>
    <w:rsid w:val="006F7335"/>
    <w:rsid w:val="006F78F4"/>
    <w:rsid w:val="006F7C9D"/>
    <w:rsid w:val="006F7D3F"/>
    <w:rsid w:val="006F7D43"/>
    <w:rsid w:val="0070068C"/>
    <w:rsid w:val="00700A2B"/>
    <w:rsid w:val="00700A77"/>
    <w:rsid w:val="007012D6"/>
    <w:rsid w:val="0070175E"/>
    <w:rsid w:val="00701C19"/>
    <w:rsid w:val="007029C9"/>
    <w:rsid w:val="00702B46"/>
    <w:rsid w:val="0070311A"/>
    <w:rsid w:val="00703284"/>
    <w:rsid w:val="007035CE"/>
    <w:rsid w:val="0070386C"/>
    <w:rsid w:val="00703E5D"/>
    <w:rsid w:val="00704FC7"/>
    <w:rsid w:val="007050E6"/>
    <w:rsid w:val="0070590E"/>
    <w:rsid w:val="00705A9C"/>
    <w:rsid w:val="00705AC5"/>
    <w:rsid w:val="00705FD5"/>
    <w:rsid w:val="0070608F"/>
    <w:rsid w:val="00706259"/>
    <w:rsid w:val="007066F4"/>
    <w:rsid w:val="007067E9"/>
    <w:rsid w:val="00706C65"/>
    <w:rsid w:val="0070784E"/>
    <w:rsid w:val="00707A40"/>
    <w:rsid w:val="00710133"/>
    <w:rsid w:val="0071057D"/>
    <w:rsid w:val="00711568"/>
    <w:rsid w:val="00711B49"/>
    <w:rsid w:val="00711F8B"/>
    <w:rsid w:val="00712961"/>
    <w:rsid w:val="00713715"/>
    <w:rsid w:val="00713BF8"/>
    <w:rsid w:val="00713EDC"/>
    <w:rsid w:val="0071431F"/>
    <w:rsid w:val="007147F9"/>
    <w:rsid w:val="0071494F"/>
    <w:rsid w:val="0071495B"/>
    <w:rsid w:val="00714B2C"/>
    <w:rsid w:val="00714D73"/>
    <w:rsid w:val="00715772"/>
    <w:rsid w:val="00715940"/>
    <w:rsid w:val="00715CE0"/>
    <w:rsid w:val="00715D7E"/>
    <w:rsid w:val="00716BB6"/>
    <w:rsid w:val="00716D2A"/>
    <w:rsid w:val="00716E25"/>
    <w:rsid w:val="0071747E"/>
    <w:rsid w:val="0071753D"/>
    <w:rsid w:val="00717972"/>
    <w:rsid w:val="00717C62"/>
    <w:rsid w:val="007202AA"/>
    <w:rsid w:val="0072116C"/>
    <w:rsid w:val="007217D5"/>
    <w:rsid w:val="00721AD0"/>
    <w:rsid w:val="00721E0D"/>
    <w:rsid w:val="0072243E"/>
    <w:rsid w:val="0072287D"/>
    <w:rsid w:val="00722C26"/>
    <w:rsid w:val="00722D8A"/>
    <w:rsid w:val="007230D2"/>
    <w:rsid w:val="00723DAF"/>
    <w:rsid w:val="007246FC"/>
    <w:rsid w:val="00724DDD"/>
    <w:rsid w:val="00725134"/>
    <w:rsid w:val="0072561A"/>
    <w:rsid w:val="007256D2"/>
    <w:rsid w:val="00726415"/>
    <w:rsid w:val="00726696"/>
    <w:rsid w:val="00726EE2"/>
    <w:rsid w:val="00727246"/>
    <w:rsid w:val="007276D7"/>
    <w:rsid w:val="007310DB"/>
    <w:rsid w:val="00731518"/>
    <w:rsid w:val="00731734"/>
    <w:rsid w:val="007318EA"/>
    <w:rsid w:val="00732D29"/>
    <w:rsid w:val="00732D4D"/>
    <w:rsid w:val="00732EC6"/>
    <w:rsid w:val="00732F4B"/>
    <w:rsid w:val="00733C97"/>
    <w:rsid w:val="00733F1B"/>
    <w:rsid w:val="007341F5"/>
    <w:rsid w:val="007343B6"/>
    <w:rsid w:val="00735170"/>
    <w:rsid w:val="0073555C"/>
    <w:rsid w:val="00735601"/>
    <w:rsid w:val="00735680"/>
    <w:rsid w:val="00735C19"/>
    <w:rsid w:val="00735CB7"/>
    <w:rsid w:val="00735D62"/>
    <w:rsid w:val="00735DCF"/>
    <w:rsid w:val="00736151"/>
    <w:rsid w:val="0073629B"/>
    <w:rsid w:val="00736F9D"/>
    <w:rsid w:val="0073745B"/>
    <w:rsid w:val="00740154"/>
    <w:rsid w:val="007408F5"/>
    <w:rsid w:val="00740989"/>
    <w:rsid w:val="00740C40"/>
    <w:rsid w:val="007413CE"/>
    <w:rsid w:val="00741461"/>
    <w:rsid w:val="007414D2"/>
    <w:rsid w:val="0074175E"/>
    <w:rsid w:val="00741B18"/>
    <w:rsid w:val="0074233F"/>
    <w:rsid w:val="007429DD"/>
    <w:rsid w:val="00742B94"/>
    <w:rsid w:val="00743252"/>
    <w:rsid w:val="00743379"/>
    <w:rsid w:val="00743641"/>
    <w:rsid w:val="00743FCB"/>
    <w:rsid w:val="007440F1"/>
    <w:rsid w:val="00744290"/>
    <w:rsid w:val="0074448E"/>
    <w:rsid w:val="007448D0"/>
    <w:rsid w:val="00744FD6"/>
    <w:rsid w:val="00745623"/>
    <w:rsid w:val="00745C72"/>
    <w:rsid w:val="00745D41"/>
    <w:rsid w:val="00746131"/>
    <w:rsid w:val="00750594"/>
    <w:rsid w:val="00750891"/>
    <w:rsid w:val="00750D8A"/>
    <w:rsid w:val="00750F62"/>
    <w:rsid w:val="00751C15"/>
    <w:rsid w:val="00751C67"/>
    <w:rsid w:val="00752004"/>
    <w:rsid w:val="00752075"/>
    <w:rsid w:val="0075266D"/>
    <w:rsid w:val="007527CA"/>
    <w:rsid w:val="00752E17"/>
    <w:rsid w:val="007537B9"/>
    <w:rsid w:val="007539FC"/>
    <w:rsid w:val="00753BC9"/>
    <w:rsid w:val="00753F1A"/>
    <w:rsid w:val="0075406B"/>
    <w:rsid w:val="00754796"/>
    <w:rsid w:val="00754912"/>
    <w:rsid w:val="00754D1B"/>
    <w:rsid w:val="00754E4E"/>
    <w:rsid w:val="007553E5"/>
    <w:rsid w:val="00755C35"/>
    <w:rsid w:val="00755C6A"/>
    <w:rsid w:val="00756068"/>
    <w:rsid w:val="0075610A"/>
    <w:rsid w:val="0075616F"/>
    <w:rsid w:val="00756190"/>
    <w:rsid w:val="007565BA"/>
    <w:rsid w:val="007565BF"/>
    <w:rsid w:val="00756A9D"/>
    <w:rsid w:val="0075706C"/>
    <w:rsid w:val="00757077"/>
    <w:rsid w:val="007571AD"/>
    <w:rsid w:val="00757886"/>
    <w:rsid w:val="007579E2"/>
    <w:rsid w:val="00757EDB"/>
    <w:rsid w:val="00757EF2"/>
    <w:rsid w:val="00760103"/>
    <w:rsid w:val="007605AC"/>
    <w:rsid w:val="00760E97"/>
    <w:rsid w:val="00761DBB"/>
    <w:rsid w:val="00761EA3"/>
    <w:rsid w:val="00761FC7"/>
    <w:rsid w:val="0076237D"/>
    <w:rsid w:val="00762912"/>
    <w:rsid w:val="00762A1C"/>
    <w:rsid w:val="00762E36"/>
    <w:rsid w:val="00762EB1"/>
    <w:rsid w:val="00763082"/>
    <w:rsid w:val="007630CA"/>
    <w:rsid w:val="007631FE"/>
    <w:rsid w:val="00763730"/>
    <w:rsid w:val="00763883"/>
    <w:rsid w:val="00763AD5"/>
    <w:rsid w:val="00763D9D"/>
    <w:rsid w:val="00763EA1"/>
    <w:rsid w:val="0076416C"/>
    <w:rsid w:val="00764343"/>
    <w:rsid w:val="00764516"/>
    <w:rsid w:val="00764E44"/>
    <w:rsid w:val="007652EA"/>
    <w:rsid w:val="007653DA"/>
    <w:rsid w:val="007654FE"/>
    <w:rsid w:val="00765880"/>
    <w:rsid w:val="00765892"/>
    <w:rsid w:val="00765A12"/>
    <w:rsid w:val="00765D73"/>
    <w:rsid w:val="00766665"/>
    <w:rsid w:val="00766978"/>
    <w:rsid w:val="0076698B"/>
    <w:rsid w:val="00766A59"/>
    <w:rsid w:val="00766F43"/>
    <w:rsid w:val="0076771D"/>
    <w:rsid w:val="007679DF"/>
    <w:rsid w:val="00767A3E"/>
    <w:rsid w:val="00767B2B"/>
    <w:rsid w:val="00767F97"/>
    <w:rsid w:val="007707D8"/>
    <w:rsid w:val="00770840"/>
    <w:rsid w:val="00770892"/>
    <w:rsid w:val="00770A7D"/>
    <w:rsid w:val="00770EC4"/>
    <w:rsid w:val="00771007"/>
    <w:rsid w:val="007710AB"/>
    <w:rsid w:val="007716F4"/>
    <w:rsid w:val="0077183F"/>
    <w:rsid w:val="00771B4F"/>
    <w:rsid w:val="00771B64"/>
    <w:rsid w:val="00771BFB"/>
    <w:rsid w:val="0077203F"/>
    <w:rsid w:val="00772950"/>
    <w:rsid w:val="007735C0"/>
    <w:rsid w:val="0077364B"/>
    <w:rsid w:val="0077376F"/>
    <w:rsid w:val="00773873"/>
    <w:rsid w:val="00773AA1"/>
    <w:rsid w:val="00773C5C"/>
    <w:rsid w:val="0077405F"/>
    <w:rsid w:val="00774679"/>
    <w:rsid w:val="007748D1"/>
    <w:rsid w:val="00774A38"/>
    <w:rsid w:val="00774C39"/>
    <w:rsid w:val="00775159"/>
    <w:rsid w:val="00775199"/>
    <w:rsid w:val="0077560A"/>
    <w:rsid w:val="00775722"/>
    <w:rsid w:val="007757BF"/>
    <w:rsid w:val="00775822"/>
    <w:rsid w:val="00775BE4"/>
    <w:rsid w:val="00776451"/>
    <w:rsid w:val="007765CD"/>
    <w:rsid w:val="0077662F"/>
    <w:rsid w:val="0077706A"/>
    <w:rsid w:val="007805CD"/>
    <w:rsid w:val="007806AF"/>
    <w:rsid w:val="007809D9"/>
    <w:rsid w:val="007815FE"/>
    <w:rsid w:val="00781B2B"/>
    <w:rsid w:val="00781B78"/>
    <w:rsid w:val="00781CA8"/>
    <w:rsid w:val="00782938"/>
    <w:rsid w:val="007832BF"/>
    <w:rsid w:val="007836F6"/>
    <w:rsid w:val="00783C92"/>
    <w:rsid w:val="00783DFA"/>
    <w:rsid w:val="00784040"/>
    <w:rsid w:val="00784188"/>
    <w:rsid w:val="00784316"/>
    <w:rsid w:val="0078433B"/>
    <w:rsid w:val="00784F5A"/>
    <w:rsid w:val="007856A3"/>
    <w:rsid w:val="00785933"/>
    <w:rsid w:val="00785CF5"/>
    <w:rsid w:val="00786028"/>
    <w:rsid w:val="007861CB"/>
    <w:rsid w:val="00786206"/>
    <w:rsid w:val="0078624D"/>
    <w:rsid w:val="00786401"/>
    <w:rsid w:val="007868E4"/>
    <w:rsid w:val="00786BBC"/>
    <w:rsid w:val="00786D1A"/>
    <w:rsid w:val="0078715D"/>
    <w:rsid w:val="007874D7"/>
    <w:rsid w:val="007874F8"/>
    <w:rsid w:val="00790132"/>
    <w:rsid w:val="00790748"/>
    <w:rsid w:val="0079083A"/>
    <w:rsid w:val="00791125"/>
    <w:rsid w:val="00791E45"/>
    <w:rsid w:val="0079214A"/>
    <w:rsid w:val="007921D3"/>
    <w:rsid w:val="0079289A"/>
    <w:rsid w:val="00793823"/>
    <w:rsid w:val="00793860"/>
    <w:rsid w:val="00793BCC"/>
    <w:rsid w:val="007940F8"/>
    <w:rsid w:val="007947AC"/>
    <w:rsid w:val="00794C52"/>
    <w:rsid w:val="00794D39"/>
    <w:rsid w:val="00795475"/>
    <w:rsid w:val="0079547F"/>
    <w:rsid w:val="00795A70"/>
    <w:rsid w:val="00795E91"/>
    <w:rsid w:val="00795ECF"/>
    <w:rsid w:val="00796273"/>
    <w:rsid w:val="00796653"/>
    <w:rsid w:val="0079665C"/>
    <w:rsid w:val="007969C2"/>
    <w:rsid w:val="00796BEA"/>
    <w:rsid w:val="00796FE0"/>
    <w:rsid w:val="007971A9"/>
    <w:rsid w:val="007972DE"/>
    <w:rsid w:val="00797567"/>
    <w:rsid w:val="0079768C"/>
    <w:rsid w:val="00797B28"/>
    <w:rsid w:val="00797DBB"/>
    <w:rsid w:val="007A00C8"/>
    <w:rsid w:val="007A031A"/>
    <w:rsid w:val="007A0406"/>
    <w:rsid w:val="007A0A6B"/>
    <w:rsid w:val="007A0E57"/>
    <w:rsid w:val="007A0FEE"/>
    <w:rsid w:val="007A1089"/>
    <w:rsid w:val="007A17F7"/>
    <w:rsid w:val="007A188A"/>
    <w:rsid w:val="007A1C3D"/>
    <w:rsid w:val="007A1E3C"/>
    <w:rsid w:val="007A1FED"/>
    <w:rsid w:val="007A20B0"/>
    <w:rsid w:val="007A2505"/>
    <w:rsid w:val="007A29C9"/>
    <w:rsid w:val="007A35F1"/>
    <w:rsid w:val="007A485D"/>
    <w:rsid w:val="007A50E9"/>
    <w:rsid w:val="007A525C"/>
    <w:rsid w:val="007A551F"/>
    <w:rsid w:val="007A5639"/>
    <w:rsid w:val="007A5938"/>
    <w:rsid w:val="007A60FD"/>
    <w:rsid w:val="007A6867"/>
    <w:rsid w:val="007A69A0"/>
    <w:rsid w:val="007A6BBB"/>
    <w:rsid w:val="007A6F39"/>
    <w:rsid w:val="007A72A1"/>
    <w:rsid w:val="007B027D"/>
    <w:rsid w:val="007B033B"/>
    <w:rsid w:val="007B141D"/>
    <w:rsid w:val="007B17C6"/>
    <w:rsid w:val="007B1C4E"/>
    <w:rsid w:val="007B2BD1"/>
    <w:rsid w:val="007B2F5B"/>
    <w:rsid w:val="007B2FCF"/>
    <w:rsid w:val="007B3B4A"/>
    <w:rsid w:val="007B44C1"/>
    <w:rsid w:val="007B44F4"/>
    <w:rsid w:val="007B50CB"/>
    <w:rsid w:val="007B551D"/>
    <w:rsid w:val="007B5748"/>
    <w:rsid w:val="007B5F50"/>
    <w:rsid w:val="007B5F89"/>
    <w:rsid w:val="007B5FC1"/>
    <w:rsid w:val="007B6551"/>
    <w:rsid w:val="007B6C12"/>
    <w:rsid w:val="007B7258"/>
    <w:rsid w:val="007B756B"/>
    <w:rsid w:val="007B7831"/>
    <w:rsid w:val="007B796F"/>
    <w:rsid w:val="007B79B5"/>
    <w:rsid w:val="007B7B39"/>
    <w:rsid w:val="007B7C59"/>
    <w:rsid w:val="007B7F96"/>
    <w:rsid w:val="007B7FF4"/>
    <w:rsid w:val="007C0360"/>
    <w:rsid w:val="007C0568"/>
    <w:rsid w:val="007C061B"/>
    <w:rsid w:val="007C0638"/>
    <w:rsid w:val="007C0854"/>
    <w:rsid w:val="007C0E79"/>
    <w:rsid w:val="007C12CD"/>
    <w:rsid w:val="007C16A2"/>
    <w:rsid w:val="007C3620"/>
    <w:rsid w:val="007C41CD"/>
    <w:rsid w:val="007C4A48"/>
    <w:rsid w:val="007C58AB"/>
    <w:rsid w:val="007C58D8"/>
    <w:rsid w:val="007C5EAB"/>
    <w:rsid w:val="007C5FEF"/>
    <w:rsid w:val="007C64AA"/>
    <w:rsid w:val="007C6529"/>
    <w:rsid w:val="007C6F80"/>
    <w:rsid w:val="007C6F82"/>
    <w:rsid w:val="007C71D8"/>
    <w:rsid w:val="007C773D"/>
    <w:rsid w:val="007C77CD"/>
    <w:rsid w:val="007D02BC"/>
    <w:rsid w:val="007D0378"/>
    <w:rsid w:val="007D0C47"/>
    <w:rsid w:val="007D0C85"/>
    <w:rsid w:val="007D113D"/>
    <w:rsid w:val="007D19F2"/>
    <w:rsid w:val="007D1C5E"/>
    <w:rsid w:val="007D1C90"/>
    <w:rsid w:val="007D1E14"/>
    <w:rsid w:val="007D2066"/>
    <w:rsid w:val="007D226E"/>
    <w:rsid w:val="007D2474"/>
    <w:rsid w:val="007D25CF"/>
    <w:rsid w:val="007D2EA6"/>
    <w:rsid w:val="007D2FA0"/>
    <w:rsid w:val="007D3129"/>
    <w:rsid w:val="007D34DC"/>
    <w:rsid w:val="007D3680"/>
    <w:rsid w:val="007D3D38"/>
    <w:rsid w:val="007D479A"/>
    <w:rsid w:val="007D47DF"/>
    <w:rsid w:val="007D516D"/>
    <w:rsid w:val="007D56EA"/>
    <w:rsid w:val="007D5779"/>
    <w:rsid w:val="007D5F24"/>
    <w:rsid w:val="007D6053"/>
    <w:rsid w:val="007D668C"/>
    <w:rsid w:val="007D6760"/>
    <w:rsid w:val="007D6844"/>
    <w:rsid w:val="007D702F"/>
    <w:rsid w:val="007D711D"/>
    <w:rsid w:val="007D71E0"/>
    <w:rsid w:val="007D75E5"/>
    <w:rsid w:val="007D760A"/>
    <w:rsid w:val="007D77A3"/>
    <w:rsid w:val="007D7B61"/>
    <w:rsid w:val="007D7FB4"/>
    <w:rsid w:val="007E00E4"/>
    <w:rsid w:val="007E0718"/>
    <w:rsid w:val="007E0EB5"/>
    <w:rsid w:val="007E10DE"/>
    <w:rsid w:val="007E1455"/>
    <w:rsid w:val="007E180F"/>
    <w:rsid w:val="007E1812"/>
    <w:rsid w:val="007E2375"/>
    <w:rsid w:val="007E2D62"/>
    <w:rsid w:val="007E36E2"/>
    <w:rsid w:val="007E3968"/>
    <w:rsid w:val="007E3A9B"/>
    <w:rsid w:val="007E3D03"/>
    <w:rsid w:val="007E3F17"/>
    <w:rsid w:val="007E407E"/>
    <w:rsid w:val="007E4A3D"/>
    <w:rsid w:val="007E4E4F"/>
    <w:rsid w:val="007E4EA0"/>
    <w:rsid w:val="007E4FD4"/>
    <w:rsid w:val="007E51EC"/>
    <w:rsid w:val="007E5E43"/>
    <w:rsid w:val="007E67A1"/>
    <w:rsid w:val="007E6E90"/>
    <w:rsid w:val="007E7448"/>
    <w:rsid w:val="007E7AC6"/>
    <w:rsid w:val="007E7B91"/>
    <w:rsid w:val="007E7CCE"/>
    <w:rsid w:val="007F039B"/>
    <w:rsid w:val="007F058E"/>
    <w:rsid w:val="007F0778"/>
    <w:rsid w:val="007F09B9"/>
    <w:rsid w:val="007F0E86"/>
    <w:rsid w:val="007F1000"/>
    <w:rsid w:val="007F145D"/>
    <w:rsid w:val="007F14BF"/>
    <w:rsid w:val="007F20D0"/>
    <w:rsid w:val="007F23DD"/>
    <w:rsid w:val="007F2459"/>
    <w:rsid w:val="007F26D6"/>
    <w:rsid w:val="007F29E2"/>
    <w:rsid w:val="007F3501"/>
    <w:rsid w:val="007F5BFA"/>
    <w:rsid w:val="007F63EE"/>
    <w:rsid w:val="007F6D60"/>
    <w:rsid w:val="007F6EC1"/>
    <w:rsid w:val="007F755B"/>
    <w:rsid w:val="007F7B76"/>
    <w:rsid w:val="0080025D"/>
    <w:rsid w:val="008003F2"/>
    <w:rsid w:val="00800521"/>
    <w:rsid w:val="00800602"/>
    <w:rsid w:val="008009F2"/>
    <w:rsid w:val="00801357"/>
    <w:rsid w:val="0080179C"/>
    <w:rsid w:val="008017C7"/>
    <w:rsid w:val="00801CA0"/>
    <w:rsid w:val="0080222F"/>
    <w:rsid w:val="00802307"/>
    <w:rsid w:val="0080250A"/>
    <w:rsid w:val="00803394"/>
    <w:rsid w:val="00803817"/>
    <w:rsid w:val="008038E5"/>
    <w:rsid w:val="008039E9"/>
    <w:rsid w:val="008041FA"/>
    <w:rsid w:val="00805FB9"/>
    <w:rsid w:val="0080654C"/>
    <w:rsid w:val="008070FF"/>
    <w:rsid w:val="00807722"/>
    <w:rsid w:val="00807BDD"/>
    <w:rsid w:val="00807D6E"/>
    <w:rsid w:val="0081064D"/>
    <w:rsid w:val="00810A1F"/>
    <w:rsid w:val="00810AA2"/>
    <w:rsid w:val="00810D91"/>
    <w:rsid w:val="00810E74"/>
    <w:rsid w:val="00810FAC"/>
    <w:rsid w:val="008112E7"/>
    <w:rsid w:val="008115EF"/>
    <w:rsid w:val="008117C6"/>
    <w:rsid w:val="008118C9"/>
    <w:rsid w:val="00811997"/>
    <w:rsid w:val="00811E26"/>
    <w:rsid w:val="00811F8A"/>
    <w:rsid w:val="00812825"/>
    <w:rsid w:val="0081282A"/>
    <w:rsid w:val="008128FF"/>
    <w:rsid w:val="00812B73"/>
    <w:rsid w:val="00812C56"/>
    <w:rsid w:val="00812CF1"/>
    <w:rsid w:val="008132D9"/>
    <w:rsid w:val="008144FF"/>
    <w:rsid w:val="008148AF"/>
    <w:rsid w:val="00815057"/>
    <w:rsid w:val="008153F9"/>
    <w:rsid w:val="00815776"/>
    <w:rsid w:val="00815973"/>
    <w:rsid w:val="00815DB3"/>
    <w:rsid w:val="00816088"/>
    <w:rsid w:val="008167AF"/>
    <w:rsid w:val="008169AB"/>
    <w:rsid w:val="00816A9B"/>
    <w:rsid w:val="00816B19"/>
    <w:rsid w:val="00817258"/>
    <w:rsid w:val="008173E5"/>
    <w:rsid w:val="008176E7"/>
    <w:rsid w:val="00817E23"/>
    <w:rsid w:val="00820031"/>
    <w:rsid w:val="008201F7"/>
    <w:rsid w:val="0082050C"/>
    <w:rsid w:val="008209DE"/>
    <w:rsid w:val="008212E8"/>
    <w:rsid w:val="008217E4"/>
    <w:rsid w:val="00821BEC"/>
    <w:rsid w:val="0082204E"/>
    <w:rsid w:val="008220C4"/>
    <w:rsid w:val="0082234F"/>
    <w:rsid w:val="00822426"/>
    <w:rsid w:val="008229E9"/>
    <w:rsid w:val="00822BB9"/>
    <w:rsid w:val="00822D85"/>
    <w:rsid w:val="008236DC"/>
    <w:rsid w:val="008237D0"/>
    <w:rsid w:val="008238AA"/>
    <w:rsid w:val="008240EC"/>
    <w:rsid w:val="008241C5"/>
    <w:rsid w:val="00824379"/>
    <w:rsid w:val="008247D0"/>
    <w:rsid w:val="00825128"/>
    <w:rsid w:val="00825557"/>
    <w:rsid w:val="00825561"/>
    <w:rsid w:val="0082560B"/>
    <w:rsid w:val="0082593B"/>
    <w:rsid w:val="00825B14"/>
    <w:rsid w:val="00825D9B"/>
    <w:rsid w:val="00825DD0"/>
    <w:rsid w:val="00826090"/>
    <w:rsid w:val="008263A9"/>
    <w:rsid w:val="00827681"/>
    <w:rsid w:val="00827B33"/>
    <w:rsid w:val="00827C59"/>
    <w:rsid w:val="00827D12"/>
    <w:rsid w:val="00830140"/>
    <w:rsid w:val="00830A19"/>
    <w:rsid w:val="00830D40"/>
    <w:rsid w:val="00830D83"/>
    <w:rsid w:val="00830FD9"/>
    <w:rsid w:val="0083131E"/>
    <w:rsid w:val="008314B1"/>
    <w:rsid w:val="00831654"/>
    <w:rsid w:val="00831DDA"/>
    <w:rsid w:val="0083208C"/>
    <w:rsid w:val="00832578"/>
    <w:rsid w:val="00832A04"/>
    <w:rsid w:val="00832D98"/>
    <w:rsid w:val="00833172"/>
    <w:rsid w:val="00833450"/>
    <w:rsid w:val="008336C4"/>
    <w:rsid w:val="008338F0"/>
    <w:rsid w:val="00833A19"/>
    <w:rsid w:val="00833C30"/>
    <w:rsid w:val="00833E64"/>
    <w:rsid w:val="00834609"/>
    <w:rsid w:val="00834948"/>
    <w:rsid w:val="008350F9"/>
    <w:rsid w:val="00835289"/>
    <w:rsid w:val="00835543"/>
    <w:rsid w:val="00835E31"/>
    <w:rsid w:val="00835EF9"/>
    <w:rsid w:val="00836166"/>
    <w:rsid w:val="00836278"/>
    <w:rsid w:val="0083676C"/>
    <w:rsid w:val="00836A46"/>
    <w:rsid w:val="00836C49"/>
    <w:rsid w:val="00836D41"/>
    <w:rsid w:val="008370ED"/>
    <w:rsid w:val="0083736F"/>
    <w:rsid w:val="008377A1"/>
    <w:rsid w:val="00837CC7"/>
    <w:rsid w:val="00840077"/>
    <w:rsid w:val="00840295"/>
    <w:rsid w:val="00840308"/>
    <w:rsid w:val="008403EA"/>
    <w:rsid w:val="00840518"/>
    <w:rsid w:val="008405F8"/>
    <w:rsid w:val="00840744"/>
    <w:rsid w:val="008409C2"/>
    <w:rsid w:val="00840D12"/>
    <w:rsid w:val="00840FE7"/>
    <w:rsid w:val="00841320"/>
    <w:rsid w:val="0084138E"/>
    <w:rsid w:val="00841E8D"/>
    <w:rsid w:val="00841FFE"/>
    <w:rsid w:val="008438C4"/>
    <w:rsid w:val="00844082"/>
    <w:rsid w:val="008444DB"/>
    <w:rsid w:val="008449EC"/>
    <w:rsid w:val="00844BA2"/>
    <w:rsid w:val="00844BC7"/>
    <w:rsid w:val="00844E6B"/>
    <w:rsid w:val="00844E72"/>
    <w:rsid w:val="008457CA"/>
    <w:rsid w:val="0084589B"/>
    <w:rsid w:val="008458FD"/>
    <w:rsid w:val="008459DF"/>
    <w:rsid w:val="00845D82"/>
    <w:rsid w:val="00846609"/>
    <w:rsid w:val="00846648"/>
    <w:rsid w:val="0084692D"/>
    <w:rsid w:val="00846B97"/>
    <w:rsid w:val="00847021"/>
    <w:rsid w:val="00847733"/>
    <w:rsid w:val="008479EE"/>
    <w:rsid w:val="00847D68"/>
    <w:rsid w:val="008504F5"/>
    <w:rsid w:val="00850558"/>
    <w:rsid w:val="00850FFA"/>
    <w:rsid w:val="008516AF"/>
    <w:rsid w:val="00851D7B"/>
    <w:rsid w:val="008520E6"/>
    <w:rsid w:val="00852C35"/>
    <w:rsid w:val="00853184"/>
    <w:rsid w:val="00853233"/>
    <w:rsid w:val="00853409"/>
    <w:rsid w:val="0085346F"/>
    <w:rsid w:val="00853889"/>
    <w:rsid w:val="00854877"/>
    <w:rsid w:val="008551B4"/>
    <w:rsid w:val="00855208"/>
    <w:rsid w:val="008553FC"/>
    <w:rsid w:val="00855525"/>
    <w:rsid w:val="00855811"/>
    <w:rsid w:val="0085583F"/>
    <w:rsid w:val="00855BE3"/>
    <w:rsid w:val="00855F4D"/>
    <w:rsid w:val="00855F58"/>
    <w:rsid w:val="0085609F"/>
    <w:rsid w:val="008561B1"/>
    <w:rsid w:val="008563A0"/>
    <w:rsid w:val="00856402"/>
    <w:rsid w:val="00856F18"/>
    <w:rsid w:val="00857566"/>
    <w:rsid w:val="00860F2D"/>
    <w:rsid w:val="008612D8"/>
    <w:rsid w:val="0086134A"/>
    <w:rsid w:val="00861885"/>
    <w:rsid w:val="00861B97"/>
    <w:rsid w:val="00861E1D"/>
    <w:rsid w:val="00861F05"/>
    <w:rsid w:val="008622E3"/>
    <w:rsid w:val="00862A9B"/>
    <w:rsid w:val="00862E4C"/>
    <w:rsid w:val="00863141"/>
    <w:rsid w:val="008636F5"/>
    <w:rsid w:val="00863FD1"/>
    <w:rsid w:val="0086405B"/>
    <w:rsid w:val="00864699"/>
    <w:rsid w:val="00864C6E"/>
    <w:rsid w:val="00864E40"/>
    <w:rsid w:val="00865F08"/>
    <w:rsid w:val="00865F9B"/>
    <w:rsid w:val="00866354"/>
    <w:rsid w:val="00866EBA"/>
    <w:rsid w:val="00867331"/>
    <w:rsid w:val="0086747A"/>
    <w:rsid w:val="00867722"/>
    <w:rsid w:val="0086782D"/>
    <w:rsid w:val="00867980"/>
    <w:rsid w:val="00867A97"/>
    <w:rsid w:val="00867FAF"/>
    <w:rsid w:val="0087052D"/>
    <w:rsid w:val="008707D5"/>
    <w:rsid w:val="00870CD9"/>
    <w:rsid w:val="00871D6A"/>
    <w:rsid w:val="00871EAC"/>
    <w:rsid w:val="00873598"/>
    <w:rsid w:val="00873704"/>
    <w:rsid w:val="00873DB3"/>
    <w:rsid w:val="00873F4E"/>
    <w:rsid w:val="00873F57"/>
    <w:rsid w:val="008740FB"/>
    <w:rsid w:val="008744CB"/>
    <w:rsid w:val="0087462C"/>
    <w:rsid w:val="00874906"/>
    <w:rsid w:val="008749FC"/>
    <w:rsid w:val="00874A41"/>
    <w:rsid w:val="00874AD8"/>
    <w:rsid w:val="00875082"/>
    <w:rsid w:val="0087528A"/>
    <w:rsid w:val="00875481"/>
    <w:rsid w:val="00875659"/>
    <w:rsid w:val="008758D7"/>
    <w:rsid w:val="00875EF8"/>
    <w:rsid w:val="00876299"/>
    <w:rsid w:val="00876464"/>
    <w:rsid w:val="008766E4"/>
    <w:rsid w:val="0087688C"/>
    <w:rsid w:val="008779DD"/>
    <w:rsid w:val="00877A44"/>
    <w:rsid w:val="008805C2"/>
    <w:rsid w:val="00880638"/>
    <w:rsid w:val="00880668"/>
    <w:rsid w:val="00880A07"/>
    <w:rsid w:val="00880D1D"/>
    <w:rsid w:val="00880D9E"/>
    <w:rsid w:val="00881784"/>
    <w:rsid w:val="00881E56"/>
    <w:rsid w:val="00882142"/>
    <w:rsid w:val="008825E5"/>
    <w:rsid w:val="00882F66"/>
    <w:rsid w:val="0088369D"/>
    <w:rsid w:val="00883796"/>
    <w:rsid w:val="00883C25"/>
    <w:rsid w:val="008840B0"/>
    <w:rsid w:val="00884783"/>
    <w:rsid w:val="008848BC"/>
    <w:rsid w:val="008849B9"/>
    <w:rsid w:val="00884ADE"/>
    <w:rsid w:val="00885567"/>
    <w:rsid w:val="00885877"/>
    <w:rsid w:val="00885BD6"/>
    <w:rsid w:val="00886011"/>
    <w:rsid w:val="008863EB"/>
    <w:rsid w:val="00887712"/>
    <w:rsid w:val="0088784C"/>
    <w:rsid w:val="00887CF9"/>
    <w:rsid w:val="00887D55"/>
    <w:rsid w:val="00890AA2"/>
    <w:rsid w:val="008910A4"/>
    <w:rsid w:val="00891143"/>
    <w:rsid w:val="0089131D"/>
    <w:rsid w:val="008915AF"/>
    <w:rsid w:val="008915B4"/>
    <w:rsid w:val="00891F50"/>
    <w:rsid w:val="0089232B"/>
    <w:rsid w:val="00892B05"/>
    <w:rsid w:val="00892DAA"/>
    <w:rsid w:val="0089318E"/>
    <w:rsid w:val="0089373B"/>
    <w:rsid w:val="00893A0B"/>
    <w:rsid w:val="00893E46"/>
    <w:rsid w:val="00893F3B"/>
    <w:rsid w:val="00894004"/>
    <w:rsid w:val="0089472B"/>
    <w:rsid w:val="008949C6"/>
    <w:rsid w:val="00894C56"/>
    <w:rsid w:val="00895453"/>
    <w:rsid w:val="00895C9A"/>
    <w:rsid w:val="00895ECF"/>
    <w:rsid w:val="00895F75"/>
    <w:rsid w:val="00896339"/>
    <w:rsid w:val="008973AF"/>
    <w:rsid w:val="008977BD"/>
    <w:rsid w:val="00897B56"/>
    <w:rsid w:val="00897C06"/>
    <w:rsid w:val="00897CAB"/>
    <w:rsid w:val="00897E89"/>
    <w:rsid w:val="00897E95"/>
    <w:rsid w:val="008A042D"/>
    <w:rsid w:val="008A0514"/>
    <w:rsid w:val="008A07CE"/>
    <w:rsid w:val="008A0913"/>
    <w:rsid w:val="008A0D71"/>
    <w:rsid w:val="008A114B"/>
    <w:rsid w:val="008A17FB"/>
    <w:rsid w:val="008A1B2D"/>
    <w:rsid w:val="008A1C9D"/>
    <w:rsid w:val="008A1E95"/>
    <w:rsid w:val="008A2356"/>
    <w:rsid w:val="008A26E0"/>
    <w:rsid w:val="008A2AFF"/>
    <w:rsid w:val="008A2F2C"/>
    <w:rsid w:val="008A3466"/>
    <w:rsid w:val="008A3564"/>
    <w:rsid w:val="008A392D"/>
    <w:rsid w:val="008A3BAD"/>
    <w:rsid w:val="008A3DE9"/>
    <w:rsid w:val="008A40B3"/>
    <w:rsid w:val="008A46B4"/>
    <w:rsid w:val="008A502B"/>
    <w:rsid w:val="008A512A"/>
    <w:rsid w:val="008A53CA"/>
    <w:rsid w:val="008A53D3"/>
    <w:rsid w:val="008A5CF6"/>
    <w:rsid w:val="008A604F"/>
    <w:rsid w:val="008A61B7"/>
    <w:rsid w:val="008A698E"/>
    <w:rsid w:val="008A73BF"/>
    <w:rsid w:val="008A74D7"/>
    <w:rsid w:val="008A7784"/>
    <w:rsid w:val="008A7DE0"/>
    <w:rsid w:val="008B003D"/>
    <w:rsid w:val="008B0896"/>
    <w:rsid w:val="008B0AFB"/>
    <w:rsid w:val="008B0B17"/>
    <w:rsid w:val="008B0CA5"/>
    <w:rsid w:val="008B0F3B"/>
    <w:rsid w:val="008B1784"/>
    <w:rsid w:val="008B2285"/>
    <w:rsid w:val="008B24BD"/>
    <w:rsid w:val="008B273E"/>
    <w:rsid w:val="008B2806"/>
    <w:rsid w:val="008B3E48"/>
    <w:rsid w:val="008B3FD1"/>
    <w:rsid w:val="008B458C"/>
    <w:rsid w:val="008B4A0B"/>
    <w:rsid w:val="008B4B6D"/>
    <w:rsid w:val="008B4C66"/>
    <w:rsid w:val="008B552B"/>
    <w:rsid w:val="008B5551"/>
    <w:rsid w:val="008B57CC"/>
    <w:rsid w:val="008B5899"/>
    <w:rsid w:val="008B64E4"/>
    <w:rsid w:val="008B67E3"/>
    <w:rsid w:val="008B68E5"/>
    <w:rsid w:val="008B6948"/>
    <w:rsid w:val="008B6A51"/>
    <w:rsid w:val="008B74C4"/>
    <w:rsid w:val="008B7606"/>
    <w:rsid w:val="008B7665"/>
    <w:rsid w:val="008B7A0D"/>
    <w:rsid w:val="008B7AB1"/>
    <w:rsid w:val="008C0090"/>
    <w:rsid w:val="008C0B9F"/>
    <w:rsid w:val="008C0EDF"/>
    <w:rsid w:val="008C0F5D"/>
    <w:rsid w:val="008C110E"/>
    <w:rsid w:val="008C11C4"/>
    <w:rsid w:val="008C1A6B"/>
    <w:rsid w:val="008C1BB2"/>
    <w:rsid w:val="008C1C14"/>
    <w:rsid w:val="008C2297"/>
    <w:rsid w:val="008C39BA"/>
    <w:rsid w:val="008C3C5B"/>
    <w:rsid w:val="008C3E2C"/>
    <w:rsid w:val="008C4267"/>
    <w:rsid w:val="008C4796"/>
    <w:rsid w:val="008C500D"/>
    <w:rsid w:val="008C5849"/>
    <w:rsid w:val="008C5D1A"/>
    <w:rsid w:val="008C5D86"/>
    <w:rsid w:val="008C5EC2"/>
    <w:rsid w:val="008C5F41"/>
    <w:rsid w:val="008C5FDE"/>
    <w:rsid w:val="008C6509"/>
    <w:rsid w:val="008C6551"/>
    <w:rsid w:val="008C683F"/>
    <w:rsid w:val="008C687D"/>
    <w:rsid w:val="008C68DE"/>
    <w:rsid w:val="008C699F"/>
    <w:rsid w:val="008C6CA1"/>
    <w:rsid w:val="008C7057"/>
    <w:rsid w:val="008C728F"/>
    <w:rsid w:val="008C73E5"/>
    <w:rsid w:val="008C7D39"/>
    <w:rsid w:val="008D00F7"/>
    <w:rsid w:val="008D0443"/>
    <w:rsid w:val="008D052E"/>
    <w:rsid w:val="008D07D2"/>
    <w:rsid w:val="008D0BC1"/>
    <w:rsid w:val="008D0E75"/>
    <w:rsid w:val="008D0EEA"/>
    <w:rsid w:val="008D1299"/>
    <w:rsid w:val="008D12DE"/>
    <w:rsid w:val="008D1AC7"/>
    <w:rsid w:val="008D203C"/>
    <w:rsid w:val="008D21DA"/>
    <w:rsid w:val="008D21E9"/>
    <w:rsid w:val="008D24A1"/>
    <w:rsid w:val="008D299D"/>
    <w:rsid w:val="008D2A73"/>
    <w:rsid w:val="008D2B90"/>
    <w:rsid w:val="008D2CEF"/>
    <w:rsid w:val="008D2D0D"/>
    <w:rsid w:val="008D2D6D"/>
    <w:rsid w:val="008D2FBC"/>
    <w:rsid w:val="008D3166"/>
    <w:rsid w:val="008D31C9"/>
    <w:rsid w:val="008D349A"/>
    <w:rsid w:val="008D36B5"/>
    <w:rsid w:val="008D3A99"/>
    <w:rsid w:val="008D3D8A"/>
    <w:rsid w:val="008D408C"/>
    <w:rsid w:val="008D4875"/>
    <w:rsid w:val="008D4ABE"/>
    <w:rsid w:val="008D52FD"/>
    <w:rsid w:val="008D5334"/>
    <w:rsid w:val="008D55EA"/>
    <w:rsid w:val="008D5869"/>
    <w:rsid w:val="008D6385"/>
    <w:rsid w:val="008D68C9"/>
    <w:rsid w:val="008D6E1F"/>
    <w:rsid w:val="008D70EF"/>
    <w:rsid w:val="008D73EA"/>
    <w:rsid w:val="008E00D1"/>
    <w:rsid w:val="008E0786"/>
    <w:rsid w:val="008E1192"/>
    <w:rsid w:val="008E1C6C"/>
    <w:rsid w:val="008E1E2A"/>
    <w:rsid w:val="008E1F45"/>
    <w:rsid w:val="008E21FA"/>
    <w:rsid w:val="008E23C5"/>
    <w:rsid w:val="008E2CD8"/>
    <w:rsid w:val="008E2D31"/>
    <w:rsid w:val="008E2DBF"/>
    <w:rsid w:val="008E30E8"/>
    <w:rsid w:val="008E31C3"/>
    <w:rsid w:val="008E33FF"/>
    <w:rsid w:val="008E34B4"/>
    <w:rsid w:val="008E35E8"/>
    <w:rsid w:val="008E3668"/>
    <w:rsid w:val="008E36D3"/>
    <w:rsid w:val="008E372D"/>
    <w:rsid w:val="008E3A1D"/>
    <w:rsid w:val="008E3C40"/>
    <w:rsid w:val="008E431E"/>
    <w:rsid w:val="008E4C64"/>
    <w:rsid w:val="008E4CFF"/>
    <w:rsid w:val="008E4E30"/>
    <w:rsid w:val="008E4F50"/>
    <w:rsid w:val="008E558A"/>
    <w:rsid w:val="008E5806"/>
    <w:rsid w:val="008E5A09"/>
    <w:rsid w:val="008E60B9"/>
    <w:rsid w:val="008E6231"/>
    <w:rsid w:val="008E6BB6"/>
    <w:rsid w:val="008E6D05"/>
    <w:rsid w:val="008E6FB5"/>
    <w:rsid w:val="008E70A0"/>
    <w:rsid w:val="008E7260"/>
    <w:rsid w:val="008E7C17"/>
    <w:rsid w:val="008E7CCC"/>
    <w:rsid w:val="008F00BD"/>
    <w:rsid w:val="008F0CEE"/>
    <w:rsid w:val="008F0D55"/>
    <w:rsid w:val="008F17D9"/>
    <w:rsid w:val="008F1C05"/>
    <w:rsid w:val="008F1C0E"/>
    <w:rsid w:val="008F2006"/>
    <w:rsid w:val="008F2138"/>
    <w:rsid w:val="008F2279"/>
    <w:rsid w:val="008F22A0"/>
    <w:rsid w:val="008F2895"/>
    <w:rsid w:val="008F2DD6"/>
    <w:rsid w:val="008F2EEF"/>
    <w:rsid w:val="008F300D"/>
    <w:rsid w:val="008F3232"/>
    <w:rsid w:val="008F3321"/>
    <w:rsid w:val="008F34F1"/>
    <w:rsid w:val="008F3AE0"/>
    <w:rsid w:val="008F3F8D"/>
    <w:rsid w:val="008F40C5"/>
    <w:rsid w:val="008F46BE"/>
    <w:rsid w:val="008F46FC"/>
    <w:rsid w:val="008F4C17"/>
    <w:rsid w:val="008F6C0E"/>
    <w:rsid w:val="008F76FB"/>
    <w:rsid w:val="008F7A3E"/>
    <w:rsid w:val="008F7C86"/>
    <w:rsid w:val="008F7D74"/>
    <w:rsid w:val="00900215"/>
    <w:rsid w:val="00900A52"/>
    <w:rsid w:val="00901012"/>
    <w:rsid w:val="00901225"/>
    <w:rsid w:val="00901601"/>
    <w:rsid w:val="00901CC8"/>
    <w:rsid w:val="009020BF"/>
    <w:rsid w:val="00902254"/>
    <w:rsid w:val="00902E58"/>
    <w:rsid w:val="00902F20"/>
    <w:rsid w:val="00902F89"/>
    <w:rsid w:val="009039D4"/>
    <w:rsid w:val="00903EBD"/>
    <w:rsid w:val="00904615"/>
    <w:rsid w:val="0090494F"/>
    <w:rsid w:val="00904B20"/>
    <w:rsid w:val="00904D08"/>
    <w:rsid w:val="00904FDE"/>
    <w:rsid w:val="00905333"/>
    <w:rsid w:val="00905948"/>
    <w:rsid w:val="00905AA8"/>
    <w:rsid w:val="00905AAE"/>
    <w:rsid w:val="00905F74"/>
    <w:rsid w:val="00906803"/>
    <w:rsid w:val="00906846"/>
    <w:rsid w:val="00906855"/>
    <w:rsid w:val="00906960"/>
    <w:rsid w:val="00906A5D"/>
    <w:rsid w:val="00906BE7"/>
    <w:rsid w:val="0090764A"/>
    <w:rsid w:val="00907A9B"/>
    <w:rsid w:val="00907CD5"/>
    <w:rsid w:val="00910A1C"/>
    <w:rsid w:val="0091109D"/>
    <w:rsid w:val="00911777"/>
    <w:rsid w:val="00911EEA"/>
    <w:rsid w:val="00911F9E"/>
    <w:rsid w:val="009120D1"/>
    <w:rsid w:val="0091234C"/>
    <w:rsid w:val="00912ABA"/>
    <w:rsid w:val="00912C50"/>
    <w:rsid w:val="009132E7"/>
    <w:rsid w:val="0091345E"/>
    <w:rsid w:val="00913666"/>
    <w:rsid w:val="00913D63"/>
    <w:rsid w:val="009140F5"/>
    <w:rsid w:val="0091416D"/>
    <w:rsid w:val="009146A6"/>
    <w:rsid w:val="00914793"/>
    <w:rsid w:val="00915669"/>
    <w:rsid w:val="00915EC8"/>
    <w:rsid w:val="0091601C"/>
    <w:rsid w:val="00916288"/>
    <w:rsid w:val="00916322"/>
    <w:rsid w:val="0091671A"/>
    <w:rsid w:val="009167E8"/>
    <w:rsid w:val="0091696B"/>
    <w:rsid w:val="00916980"/>
    <w:rsid w:val="00916BA7"/>
    <w:rsid w:val="009177F4"/>
    <w:rsid w:val="00917976"/>
    <w:rsid w:val="00920BA8"/>
    <w:rsid w:val="00921562"/>
    <w:rsid w:val="009226DE"/>
    <w:rsid w:val="00923182"/>
    <w:rsid w:val="0092377D"/>
    <w:rsid w:val="00923A91"/>
    <w:rsid w:val="0092404B"/>
    <w:rsid w:val="00924C5C"/>
    <w:rsid w:val="00925068"/>
    <w:rsid w:val="0092540E"/>
    <w:rsid w:val="00925C75"/>
    <w:rsid w:val="0092629B"/>
    <w:rsid w:val="0092668E"/>
    <w:rsid w:val="009269C3"/>
    <w:rsid w:val="00926DBA"/>
    <w:rsid w:val="00927472"/>
    <w:rsid w:val="00927897"/>
    <w:rsid w:val="00927AF6"/>
    <w:rsid w:val="00927F49"/>
    <w:rsid w:val="0093014B"/>
    <w:rsid w:val="0093026C"/>
    <w:rsid w:val="0093065D"/>
    <w:rsid w:val="009307F6"/>
    <w:rsid w:val="00930D3A"/>
    <w:rsid w:val="00930EC2"/>
    <w:rsid w:val="00931141"/>
    <w:rsid w:val="009311DF"/>
    <w:rsid w:val="009311E6"/>
    <w:rsid w:val="00931C1A"/>
    <w:rsid w:val="00931D45"/>
    <w:rsid w:val="00931DF9"/>
    <w:rsid w:val="00932048"/>
    <w:rsid w:val="009327D7"/>
    <w:rsid w:val="00932C1F"/>
    <w:rsid w:val="0093323E"/>
    <w:rsid w:val="00933B97"/>
    <w:rsid w:val="00933CC6"/>
    <w:rsid w:val="0093457A"/>
    <w:rsid w:val="00934A24"/>
    <w:rsid w:val="00935686"/>
    <w:rsid w:val="00935993"/>
    <w:rsid w:val="00935ECA"/>
    <w:rsid w:val="009367F8"/>
    <w:rsid w:val="009369F0"/>
    <w:rsid w:val="00936F2C"/>
    <w:rsid w:val="00937025"/>
    <w:rsid w:val="0093752D"/>
    <w:rsid w:val="0093767A"/>
    <w:rsid w:val="009378C7"/>
    <w:rsid w:val="0094005C"/>
    <w:rsid w:val="0094056E"/>
    <w:rsid w:val="0094093D"/>
    <w:rsid w:val="00940D31"/>
    <w:rsid w:val="00941116"/>
    <w:rsid w:val="00941469"/>
    <w:rsid w:val="00941667"/>
    <w:rsid w:val="00941703"/>
    <w:rsid w:val="00941CC5"/>
    <w:rsid w:val="0094284A"/>
    <w:rsid w:val="00942DD7"/>
    <w:rsid w:val="00942FAC"/>
    <w:rsid w:val="0094317C"/>
    <w:rsid w:val="00943194"/>
    <w:rsid w:val="0094327F"/>
    <w:rsid w:val="00943A7E"/>
    <w:rsid w:val="00943DF3"/>
    <w:rsid w:val="00943F8B"/>
    <w:rsid w:val="00945628"/>
    <w:rsid w:val="009458A7"/>
    <w:rsid w:val="009458BE"/>
    <w:rsid w:val="00945C0A"/>
    <w:rsid w:val="00945E75"/>
    <w:rsid w:val="0094600E"/>
    <w:rsid w:val="00946082"/>
    <w:rsid w:val="009462E4"/>
    <w:rsid w:val="009464DA"/>
    <w:rsid w:val="0094659A"/>
    <w:rsid w:val="009465A2"/>
    <w:rsid w:val="009470E4"/>
    <w:rsid w:val="009475EE"/>
    <w:rsid w:val="009500C4"/>
    <w:rsid w:val="00950255"/>
    <w:rsid w:val="0095044E"/>
    <w:rsid w:val="00950829"/>
    <w:rsid w:val="00950F6E"/>
    <w:rsid w:val="0095134E"/>
    <w:rsid w:val="009517BD"/>
    <w:rsid w:val="00951965"/>
    <w:rsid w:val="00951B1C"/>
    <w:rsid w:val="009526CE"/>
    <w:rsid w:val="00952E47"/>
    <w:rsid w:val="00953148"/>
    <w:rsid w:val="00953178"/>
    <w:rsid w:val="0095322B"/>
    <w:rsid w:val="0095359D"/>
    <w:rsid w:val="00953706"/>
    <w:rsid w:val="00953889"/>
    <w:rsid w:val="0095412A"/>
    <w:rsid w:val="00954462"/>
    <w:rsid w:val="009549BD"/>
    <w:rsid w:val="0095525E"/>
    <w:rsid w:val="009554FB"/>
    <w:rsid w:val="009562B7"/>
    <w:rsid w:val="00956635"/>
    <w:rsid w:val="0095684A"/>
    <w:rsid w:val="00956984"/>
    <w:rsid w:val="009569E7"/>
    <w:rsid w:val="009569ED"/>
    <w:rsid w:val="00956C9D"/>
    <w:rsid w:val="0095753C"/>
    <w:rsid w:val="00957863"/>
    <w:rsid w:val="0095791D"/>
    <w:rsid w:val="0095792A"/>
    <w:rsid w:val="00957D7B"/>
    <w:rsid w:val="00957DA5"/>
    <w:rsid w:val="00961198"/>
    <w:rsid w:val="0096148C"/>
    <w:rsid w:val="00961496"/>
    <w:rsid w:val="009619DE"/>
    <w:rsid w:val="00961CFB"/>
    <w:rsid w:val="00962072"/>
    <w:rsid w:val="00962117"/>
    <w:rsid w:val="00962454"/>
    <w:rsid w:val="009624C6"/>
    <w:rsid w:val="009626AD"/>
    <w:rsid w:val="00962DEA"/>
    <w:rsid w:val="009632F3"/>
    <w:rsid w:val="009639CA"/>
    <w:rsid w:val="00963D5F"/>
    <w:rsid w:val="00964276"/>
    <w:rsid w:val="009647EB"/>
    <w:rsid w:val="009649BF"/>
    <w:rsid w:val="00964AA8"/>
    <w:rsid w:val="00964BC3"/>
    <w:rsid w:val="00965090"/>
    <w:rsid w:val="0096562D"/>
    <w:rsid w:val="00965AB2"/>
    <w:rsid w:val="00965FD0"/>
    <w:rsid w:val="00966227"/>
    <w:rsid w:val="0096628D"/>
    <w:rsid w:val="009665B5"/>
    <w:rsid w:val="00966D6E"/>
    <w:rsid w:val="00966F2B"/>
    <w:rsid w:val="00967345"/>
    <w:rsid w:val="0096739F"/>
    <w:rsid w:val="00967ABA"/>
    <w:rsid w:val="0097002B"/>
    <w:rsid w:val="0097011A"/>
    <w:rsid w:val="00971459"/>
    <w:rsid w:val="00971498"/>
    <w:rsid w:val="00971B32"/>
    <w:rsid w:val="00971CCF"/>
    <w:rsid w:val="00971DE1"/>
    <w:rsid w:val="009720E0"/>
    <w:rsid w:val="00972281"/>
    <w:rsid w:val="009728FB"/>
    <w:rsid w:val="00972983"/>
    <w:rsid w:val="00972AF5"/>
    <w:rsid w:val="00972D3D"/>
    <w:rsid w:val="00972D7D"/>
    <w:rsid w:val="00972DD9"/>
    <w:rsid w:val="00973205"/>
    <w:rsid w:val="00973227"/>
    <w:rsid w:val="00973399"/>
    <w:rsid w:val="0097339D"/>
    <w:rsid w:val="00973C23"/>
    <w:rsid w:val="00974552"/>
    <w:rsid w:val="00974A8C"/>
    <w:rsid w:val="00974DD0"/>
    <w:rsid w:val="0097566F"/>
    <w:rsid w:val="009760C2"/>
    <w:rsid w:val="00976209"/>
    <w:rsid w:val="0097628A"/>
    <w:rsid w:val="009762A8"/>
    <w:rsid w:val="0097642A"/>
    <w:rsid w:val="00976A6A"/>
    <w:rsid w:val="00976AD4"/>
    <w:rsid w:val="00977730"/>
    <w:rsid w:val="00977B9E"/>
    <w:rsid w:val="00977E00"/>
    <w:rsid w:val="009800A8"/>
    <w:rsid w:val="00980B53"/>
    <w:rsid w:val="0098100C"/>
    <w:rsid w:val="009813A8"/>
    <w:rsid w:val="00981647"/>
    <w:rsid w:val="009816A6"/>
    <w:rsid w:val="009816FC"/>
    <w:rsid w:val="009817FE"/>
    <w:rsid w:val="00981AB3"/>
    <w:rsid w:val="00981BDF"/>
    <w:rsid w:val="00981DA0"/>
    <w:rsid w:val="00981F63"/>
    <w:rsid w:val="00981FDC"/>
    <w:rsid w:val="00981FF6"/>
    <w:rsid w:val="00982013"/>
    <w:rsid w:val="00982079"/>
    <w:rsid w:val="00982237"/>
    <w:rsid w:val="00983EDA"/>
    <w:rsid w:val="00984012"/>
    <w:rsid w:val="00984864"/>
    <w:rsid w:val="009849D3"/>
    <w:rsid w:val="00985609"/>
    <w:rsid w:val="0098596A"/>
    <w:rsid w:val="00985F32"/>
    <w:rsid w:val="00985FCB"/>
    <w:rsid w:val="0098615B"/>
    <w:rsid w:val="0098622F"/>
    <w:rsid w:val="00986245"/>
    <w:rsid w:val="00986417"/>
    <w:rsid w:val="009871C3"/>
    <w:rsid w:val="0098720C"/>
    <w:rsid w:val="009872D0"/>
    <w:rsid w:val="0098731D"/>
    <w:rsid w:val="0098742D"/>
    <w:rsid w:val="0098791E"/>
    <w:rsid w:val="009900F0"/>
    <w:rsid w:val="00990108"/>
    <w:rsid w:val="009906BB"/>
    <w:rsid w:val="009918A5"/>
    <w:rsid w:val="009921F0"/>
    <w:rsid w:val="009925CC"/>
    <w:rsid w:val="00992750"/>
    <w:rsid w:val="00992BDE"/>
    <w:rsid w:val="00992DFF"/>
    <w:rsid w:val="00992E3F"/>
    <w:rsid w:val="00993946"/>
    <w:rsid w:val="00993A03"/>
    <w:rsid w:val="00993AD1"/>
    <w:rsid w:val="00993AF0"/>
    <w:rsid w:val="00993EE1"/>
    <w:rsid w:val="0099426D"/>
    <w:rsid w:val="009944BF"/>
    <w:rsid w:val="009944E5"/>
    <w:rsid w:val="00994529"/>
    <w:rsid w:val="00994EEC"/>
    <w:rsid w:val="00994EFB"/>
    <w:rsid w:val="0099522E"/>
    <w:rsid w:val="00995595"/>
    <w:rsid w:val="009958CF"/>
    <w:rsid w:val="009959D5"/>
    <w:rsid w:val="00995E58"/>
    <w:rsid w:val="0099626B"/>
    <w:rsid w:val="0099634F"/>
    <w:rsid w:val="0099655F"/>
    <w:rsid w:val="0099667B"/>
    <w:rsid w:val="00996A8D"/>
    <w:rsid w:val="00996E9A"/>
    <w:rsid w:val="0099702A"/>
    <w:rsid w:val="00997082"/>
    <w:rsid w:val="009971AF"/>
    <w:rsid w:val="00997506"/>
    <w:rsid w:val="00997896"/>
    <w:rsid w:val="00997E33"/>
    <w:rsid w:val="009A03F6"/>
    <w:rsid w:val="009A088B"/>
    <w:rsid w:val="009A0F9D"/>
    <w:rsid w:val="009A10AB"/>
    <w:rsid w:val="009A14A8"/>
    <w:rsid w:val="009A1707"/>
    <w:rsid w:val="009A1B53"/>
    <w:rsid w:val="009A214F"/>
    <w:rsid w:val="009A2A65"/>
    <w:rsid w:val="009A3524"/>
    <w:rsid w:val="009A3621"/>
    <w:rsid w:val="009A392B"/>
    <w:rsid w:val="009A39D2"/>
    <w:rsid w:val="009A3BBE"/>
    <w:rsid w:val="009A3BE4"/>
    <w:rsid w:val="009A4080"/>
    <w:rsid w:val="009A40B9"/>
    <w:rsid w:val="009A41F1"/>
    <w:rsid w:val="009A4B6C"/>
    <w:rsid w:val="009A5E51"/>
    <w:rsid w:val="009A668F"/>
    <w:rsid w:val="009A6850"/>
    <w:rsid w:val="009A7013"/>
    <w:rsid w:val="009A786A"/>
    <w:rsid w:val="009B026B"/>
    <w:rsid w:val="009B03E9"/>
    <w:rsid w:val="009B0693"/>
    <w:rsid w:val="009B0944"/>
    <w:rsid w:val="009B0F46"/>
    <w:rsid w:val="009B1421"/>
    <w:rsid w:val="009B1892"/>
    <w:rsid w:val="009B1F3E"/>
    <w:rsid w:val="009B2219"/>
    <w:rsid w:val="009B2B8D"/>
    <w:rsid w:val="009B2E5C"/>
    <w:rsid w:val="009B2EE7"/>
    <w:rsid w:val="009B304C"/>
    <w:rsid w:val="009B36B2"/>
    <w:rsid w:val="009B4269"/>
    <w:rsid w:val="009B437A"/>
    <w:rsid w:val="009B43FE"/>
    <w:rsid w:val="009B47CD"/>
    <w:rsid w:val="009B4DBC"/>
    <w:rsid w:val="009B5392"/>
    <w:rsid w:val="009B5BDE"/>
    <w:rsid w:val="009B5DFE"/>
    <w:rsid w:val="009B6336"/>
    <w:rsid w:val="009B6544"/>
    <w:rsid w:val="009B69EC"/>
    <w:rsid w:val="009B6ADF"/>
    <w:rsid w:val="009B6DF0"/>
    <w:rsid w:val="009B7053"/>
    <w:rsid w:val="009B7483"/>
    <w:rsid w:val="009B753E"/>
    <w:rsid w:val="009B7C91"/>
    <w:rsid w:val="009B7D41"/>
    <w:rsid w:val="009B7FDC"/>
    <w:rsid w:val="009C03CF"/>
    <w:rsid w:val="009C0582"/>
    <w:rsid w:val="009C09B1"/>
    <w:rsid w:val="009C0E27"/>
    <w:rsid w:val="009C12C9"/>
    <w:rsid w:val="009C145B"/>
    <w:rsid w:val="009C17B4"/>
    <w:rsid w:val="009C1C25"/>
    <w:rsid w:val="009C2067"/>
    <w:rsid w:val="009C243F"/>
    <w:rsid w:val="009C26BD"/>
    <w:rsid w:val="009C2D56"/>
    <w:rsid w:val="009C2D6F"/>
    <w:rsid w:val="009C2E41"/>
    <w:rsid w:val="009C31CD"/>
    <w:rsid w:val="009C3539"/>
    <w:rsid w:val="009C3623"/>
    <w:rsid w:val="009C3799"/>
    <w:rsid w:val="009C396F"/>
    <w:rsid w:val="009C3B9C"/>
    <w:rsid w:val="009C3ECC"/>
    <w:rsid w:val="009C3ED7"/>
    <w:rsid w:val="009C44D3"/>
    <w:rsid w:val="009C49D2"/>
    <w:rsid w:val="009C5440"/>
    <w:rsid w:val="009C57C0"/>
    <w:rsid w:val="009C5E3A"/>
    <w:rsid w:val="009C6269"/>
    <w:rsid w:val="009C6B92"/>
    <w:rsid w:val="009C6EA5"/>
    <w:rsid w:val="009C6F00"/>
    <w:rsid w:val="009C741D"/>
    <w:rsid w:val="009C762C"/>
    <w:rsid w:val="009C7660"/>
    <w:rsid w:val="009C7692"/>
    <w:rsid w:val="009C7C81"/>
    <w:rsid w:val="009D0546"/>
    <w:rsid w:val="009D0ABD"/>
    <w:rsid w:val="009D0B3E"/>
    <w:rsid w:val="009D0F54"/>
    <w:rsid w:val="009D0FC4"/>
    <w:rsid w:val="009D1ACB"/>
    <w:rsid w:val="009D1C15"/>
    <w:rsid w:val="009D1E3C"/>
    <w:rsid w:val="009D201F"/>
    <w:rsid w:val="009D20AF"/>
    <w:rsid w:val="009D24FD"/>
    <w:rsid w:val="009D2703"/>
    <w:rsid w:val="009D2C6B"/>
    <w:rsid w:val="009D2EDE"/>
    <w:rsid w:val="009D3232"/>
    <w:rsid w:val="009D36CD"/>
    <w:rsid w:val="009D3B3A"/>
    <w:rsid w:val="009D3E70"/>
    <w:rsid w:val="009D3EC5"/>
    <w:rsid w:val="009D3F43"/>
    <w:rsid w:val="009D45B0"/>
    <w:rsid w:val="009D4AB5"/>
    <w:rsid w:val="009D4E2A"/>
    <w:rsid w:val="009D4EC2"/>
    <w:rsid w:val="009D51E2"/>
    <w:rsid w:val="009D52A5"/>
    <w:rsid w:val="009D56DB"/>
    <w:rsid w:val="009D5973"/>
    <w:rsid w:val="009D5BB1"/>
    <w:rsid w:val="009D5D0A"/>
    <w:rsid w:val="009D5E6A"/>
    <w:rsid w:val="009D61B7"/>
    <w:rsid w:val="009D6256"/>
    <w:rsid w:val="009D6631"/>
    <w:rsid w:val="009D6780"/>
    <w:rsid w:val="009D6937"/>
    <w:rsid w:val="009D6B55"/>
    <w:rsid w:val="009D6C32"/>
    <w:rsid w:val="009D7752"/>
    <w:rsid w:val="009D779F"/>
    <w:rsid w:val="009D77A0"/>
    <w:rsid w:val="009D7A31"/>
    <w:rsid w:val="009E04B0"/>
    <w:rsid w:val="009E06C0"/>
    <w:rsid w:val="009E0D7B"/>
    <w:rsid w:val="009E10AE"/>
    <w:rsid w:val="009E1889"/>
    <w:rsid w:val="009E1C97"/>
    <w:rsid w:val="009E2939"/>
    <w:rsid w:val="009E2949"/>
    <w:rsid w:val="009E2AF6"/>
    <w:rsid w:val="009E314E"/>
    <w:rsid w:val="009E36BD"/>
    <w:rsid w:val="009E4578"/>
    <w:rsid w:val="009E466D"/>
    <w:rsid w:val="009E48D9"/>
    <w:rsid w:val="009E4BAE"/>
    <w:rsid w:val="009E5516"/>
    <w:rsid w:val="009E56EE"/>
    <w:rsid w:val="009E6460"/>
    <w:rsid w:val="009E6915"/>
    <w:rsid w:val="009E6A41"/>
    <w:rsid w:val="009E6EEF"/>
    <w:rsid w:val="009E7173"/>
    <w:rsid w:val="009E71D9"/>
    <w:rsid w:val="009E77CF"/>
    <w:rsid w:val="009E7813"/>
    <w:rsid w:val="009E7D54"/>
    <w:rsid w:val="009F083A"/>
    <w:rsid w:val="009F0937"/>
    <w:rsid w:val="009F0B02"/>
    <w:rsid w:val="009F0E65"/>
    <w:rsid w:val="009F1105"/>
    <w:rsid w:val="009F12CE"/>
    <w:rsid w:val="009F1A75"/>
    <w:rsid w:val="009F1FF8"/>
    <w:rsid w:val="009F2167"/>
    <w:rsid w:val="009F22B8"/>
    <w:rsid w:val="009F24D1"/>
    <w:rsid w:val="009F2CDB"/>
    <w:rsid w:val="009F2D55"/>
    <w:rsid w:val="009F2FA8"/>
    <w:rsid w:val="009F3015"/>
    <w:rsid w:val="009F3279"/>
    <w:rsid w:val="009F33B4"/>
    <w:rsid w:val="009F441E"/>
    <w:rsid w:val="009F4485"/>
    <w:rsid w:val="009F4C2C"/>
    <w:rsid w:val="009F4D5B"/>
    <w:rsid w:val="009F4D61"/>
    <w:rsid w:val="009F50F0"/>
    <w:rsid w:val="009F5208"/>
    <w:rsid w:val="009F547D"/>
    <w:rsid w:val="009F5481"/>
    <w:rsid w:val="009F548B"/>
    <w:rsid w:val="009F57BA"/>
    <w:rsid w:val="009F595F"/>
    <w:rsid w:val="009F610E"/>
    <w:rsid w:val="009F616A"/>
    <w:rsid w:val="009F61E0"/>
    <w:rsid w:val="009F6318"/>
    <w:rsid w:val="009F6A3A"/>
    <w:rsid w:val="009F6B57"/>
    <w:rsid w:val="009F76D1"/>
    <w:rsid w:val="009F7B5B"/>
    <w:rsid w:val="00A004A0"/>
    <w:rsid w:val="00A00D91"/>
    <w:rsid w:val="00A00E48"/>
    <w:rsid w:val="00A01329"/>
    <w:rsid w:val="00A01592"/>
    <w:rsid w:val="00A01D4C"/>
    <w:rsid w:val="00A01D64"/>
    <w:rsid w:val="00A01FA6"/>
    <w:rsid w:val="00A02100"/>
    <w:rsid w:val="00A02490"/>
    <w:rsid w:val="00A026D8"/>
    <w:rsid w:val="00A02AEB"/>
    <w:rsid w:val="00A02B54"/>
    <w:rsid w:val="00A03292"/>
    <w:rsid w:val="00A03B6B"/>
    <w:rsid w:val="00A03CEF"/>
    <w:rsid w:val="00A04A66"/>
    <w:rsid w:val="00A04AB2"/>
    <w:rsid w:val="00A054EE"/>
    <w:rsid w:val="00A0552B"/>
    <w:rsid w:val="00A058DA"/>
    <w:rsid w:val="00A059C1"/>
    <w:rsid w:val="00A0649E"/>
    <w:rsid w:val="00A06AF1"/>
    <w:rsid w:val="00A06C5D"/>
    <w:rsid w:val="00A075A5"/>
    <w:rsid w:val="00A07812"/>
    <w:rsid w:val="00A07A22"/>
    <w:rsid w:val="00A07ACF"/>
    <w:rsid w:val="00A07D9F"/>
    <w:rsid w:val="00A07DCC"/>
    <w:rsid w:val="00A07E24"/>
    <w:rsid w:val="00A07FB3"/>
    <w:rsid w:val="00A102AF"/>
    <w:rsid w:val="00A1031E"/>
    <w:rsid w:val="00A107D6"/>
    <w:rsid w:val="00A1097B"/>
    <w:rsid w:val="00A1108D"/>
    <w:rsid w:val="00A11AFF"/>
    <w:rsid w:val="00A11B22"/>
    <w:rsid w:val="00A12958"/>
    <w:rsid w:val="00A12DC3"/>
    <w:rsid w:val="00A13792"/>
    <w:rsid w:val="00A13870"/>
    <w:rsid w:val="00A13ABB"/>
    <w:rsid w:val="00A13C02"/>
    <w:rsid w:val="00A13EF2"/>
    <w:rsid w:val="00A144CD"/>
    <w:rsid w:val="00A14ADE"/>
    <w:rsid w:val="00A14BAD"/>
    <w:rsid w:val="00A14F31"/>
    <w:rsid w:val="00A15520"/>
    <w:rsid w:val="00A15E8C"/>
    <w:rsid w:val="00A15E9E"/>
    <w:rsid w:val="00A16573"/>
    <w:rsid w:val="00A1670C"/>
    <w:rsid w:val="00A16885"/>
    <w:rsid w:val="00A16A68"/>
    <w:rsid w:val="00A17780"/>
    <w:rsid w:val="00A17942"/>
    <w:rsid w:val="00A17FE6"/>
    <w:rsid w:val="00A20677"/>
    <w:rsid w:val="00A20679"/>
    <w:rsid w:val="00A20714"/>
    <w:rsid w:val="00A208BF"/>
    <w:rsid w:val="00A20A2A"/>
    <w:rsid w:val="00A21518"/>
    <w:rsid w:val="00A21AE5"/>
    <w:rsid w:val="00A2215B"/>
    <w:rsid w:val="00A22922"/>
    <w:rsid w:val="00A22B56"/>
    <w:rsid w:val="00A22D7E"/>
    <w:rsid w:val="00A22FD1"/>
    <w:rsid w:val="00A231BF"/>
    <w:rsid w:val="00A23481"/>
    <w:rsid w:val="00A2383D"/>
    <w:rsid w:val="00A2399A"/>
    <w:rsid w:val="00A239E1"/>
    <w:rsid w:val="00A23A21"/>
    <w:rsid w:val="00A23C01"/>
    <w:rsid w:val="00A23CE2"/>
    <w:rsid w:val="00A246E3"/>
    <w:rsid w:val="00A24767"/>
    <w:rsid w:val="00A26D7C"/>
    <w:rsid w:val="00A27353"/>
    <w:rsid w:val="00A275AF"/>
    <w:rsid w:val="00A27695"/>
    <w:rsid w:val="00A27A93"/>
    <w:rsid w:val="00A27C4F"/>
    <w:rsid w:val="00A27F76"/>
    <w:rsid w:val="00A30279"/>
    <w:rsid w:val="00A3057E"/>
    <w:rsid w:val="00A311E2"/>
    <w:rsid w:val="00A31E53"/>
    <w:rsid w:val="00A3215B"/>
    <w:rsid w:val="00A3235E"/>
    <w:rsid w:val="00A32591"/>
    <w:rsid w:val="00A32BB8"/>
    <w:rsid w:val="00A32F4F"/>
    <w:rsid w:val="00A32FAC"/>
    <w:rsid w:val="00A33320"/>
    <w:rsid w:val="00A33432"/>
    <w:rsid w:val="00A3388E"/>
    <w:rsid w:val="00A3398E"/>
    <w:rsid w:val="00A33EFF"/>
    <w:rsid w:val="00A348F0"/>
    <w:rsid w:val="00A349E4"/>
    <w:rsid w:val="00A357D3"/>
    <w:rsid w:val="00A35A11"/>
    <w:rsid w:val="00A35CB0"/>
    <w:rsid w:val="00A35F7D"/>
    <w:rsid w:val="00A364D5"/>
    <w:rsid w:val="00A36B62"/>
    <w:rsid w:val="00A37423"/>
    <w:rsid w:val="00A375BB"/>
    <w:rsid w:val="00A37A56"/>
    <w:rsid w:val="00A37E0F"/>
    <w:rsid w:val="00A4055F"/>
    <w:rsid w:val="00A40688"/>
    <w:rsid w:val="00A4083D"/>
    <w:rsid w:val="00A40B98"/>
    <w:rsid w:val="00A40FC4"/>
    <w:rsid w:val="00A4125C"/>
    <w:rsid w:val="00A417DE"/>
    <w:rsid w:val="00A42079"/>
    <w:rsid w:val="00A42AEE"/>
    <w:rsid w:val="00A43098"/>
    <w:rsid w:val="00A43822"/>
    <w:rsid w:val="00A442DE"/>
    <w:rsid w:val="00A4449F"/>
    <w:rsid w:val="00A4495B"/>
    <w:rsid w:val="00A44E46"/>
    <w:rsid w:val="00A44F5B"/>
    <w:rsid w:val="00A4518A"/>
    <w:rsid w:val="00A45244"/>
    <w:rsid w:val="00A4568C"/>
    <w:rsid w:val="00A45ABA"/>
    <w:rsid w:val="00A465E2"/>
    <w:rsid w:val="00A46B79"/>
    <w:rsid w:val="00A46E6D"/>
    <w:rsid w:val="00A47248"/>
    <w:rsid w:val="00A4769D"/>
    <w:rsid w:val="00A4792F"/>
    <w:rsid w:val="00A47971"/>
    <w:rsid w:val="00A509A6"/>
    <w:rsid w:val="00A50DC7"/>
    <w:rsid w:val="00A513FA"/>
    <w:rsid w:val="00A51A04"/>
    <w:rsid w:val="00A51E72"/>
    <w:rsid w:val="00A52077"/>
    <w:rsid w:val="00A52147"/>
    <w:rsid w:val="00A52159"/>
    <w:rsid w:val="00A53304"/>
    <w:rsid w:val="00A5357C"/>
    <w:rsid w:val="00A53683"/>
    <w:rsid w:val="00A53B22"/>
    <w:rsid w:val="00A53EAB"/>
    <w:rsid w:val="00A54291"/>
    <w:rsid w:val="00A542AF"/>
    <w:rsid w:val="00A54391"/>
    <w:rsid w:val="00A544CD"/>
    <w:rsid w:val="00A544FB"/>
    <w:rsid w:val="00A54C2B"/>
    <w:rsid w:val="00A556FA"/>
    <w:rsid w:val="00A55786"/>
    <w:rsid w:val="00A55C2A"/>
    <w:rsid w:val="00A55F89"/>
    <w:rsid w:val="00A5614B"/>
    <w:rsid w:val="00A56210"/>
    <w:rsid w:val="00A565C6"/>
    <w:rsid w:val="00A567B0"/>
    <w:rsid w:val="00A56F48"/>
    <w:rsid w:val="00A572CF"/>
    <w:rsid w:val="00A578E3"/>
    <w:rsid w:val="00A606F8"/>
    <w:rsid w:val="00A60BCE"/>
    <w:rsid w:val="00A6121E"/>
    <w:rsid w:val="00A61559"/>
    <w:rsid w:val="00A6182D"/>
    <w:rsid w:val="00A6272F"/>
    <w:rsid w:val="00A6286A"/>
    <w:rsid w:val="00A62959"/>
    <w:rsid w:val="00A62A8C"/>
    <w:rsid w:val="00A62D2A"/>
    <w:rsid w:val="00A62E69"/>
    <w:rsid w:val="00A63753"/>
    <w:rsid w:val="00A6379F"/>
    <w:rsid w:val="00A63F34"/>
    <w:rsid w:val="00A6482E"/>
    <w:rsid w:val="00A65287"/>
    <w:rsid w:val="00A654F6"/>
    <w:rsid w:val="00A655E5"/>
    <w:rsid w:val="00A659F9"/>
    <w:rsid w:val="00A6620B"/>
    <w:rsid w:val="00A66288"/>
    <w:rsid w:val="00A66381"/>
    <w:rsid w:val="00A666F0"/>
    <w:rsid w:val="00A669DC"/>
    <w:rsid w:val="00A6710C"/>
    <w:rsid w:val="00A67629"/>
    <w:rsid w:val="00A67B90"/>
    <w:rsid w:val="00A702D4"/>
    <w:rsid w:val="00A703C2"/>
    <w:rsid w:val="00A71445"/>
    <w:rsid w:val="00A7180A"/>
    <w:rsid w:val="00A71B63"/>
    <w:rsid w:val="00A721D6"/>
    <w:rsid w:val="00A72426"/>
    <w:rsid w:val="00A7278D"/>
    <w:rsid w:val="00A727C7"/>
    <w:rsid w:val="00A72850"/>
    <w:rsid w:val="00A73737"/>
    <w:rsid w:val="00A739AC"/>
    <w:rsid w:val="00A739EC"/>
    <w:rsid w:val="00A73A1D"/>
    <w:rsid w:val="00A73C30"/>
    <w:rsid w:val="00A73E01"/>
    <w:rsid w:val="00A73E2A"/>
    <w:rsid w:val="00A740B3"/>
    <w:rsid w:val="00A74E66"/>
    <w:rsid w:val="00A751DC"/>
    <w:rsid w:val="00A76C77"/>
    <w:rsid w:val="00A76E99"/>
    <w:rsid w:val="00A770C4"/>
    <w:rsid w:val="00A770CD"/>
    <w:rsid w:val="00A771CB"/>
    <w:rsid w:val="00A77460"/>
    <w:rsid w:val="00A77DD8"/>
    <w:rsid w:val="00A802DE"/>
    <w:rsid w:val="00A803ED"/>
    <w:rsid w:val="00A80800"/>
    <w:rsid w:val="00A813D3"/>
    <w:rsid w:val="00A81442"/>
    <w:rsid w:val="00A8148D"/>
    <w:rsid w:val="00A8186E"/>
    <w:rsid w:val="00A82251"/>
    <w:rsid w:val="00A824BA"/>
    <w:rsid w:val="00A82CE3"/>
    <w:rsid w:val="00A8331C"/>
    <w:rsid w:val="00A83427"/>
    <w:rsid w:val="00A83D80"/>
    <w:rsid w:val="00A83FED"/>
    <w:rsid w:val="00A8401F"/>
    <w:rsid w:val="00A849C3"/>
    <w:rsid w:val="00A84F69"/>
    <w:rsid w:val="00A850E5"/>
    <w:rsid w:val="00A8529D"/>
    <w:rsid w:val="00A8572C"/>
    <w:rsid w:val="00A85909"/>
    <w:rsid w:val="00A86855"/>
    <w:rsid w:val="00A86911"/>
    <w:rsid w:val="00A86FB5"/>
    <w:rsid w:val="00A87283"/>
    <w:rsid w:val="00A873F1"/>
    <w:rsid w:val="00A877AE"/>
    <w:rsid w:val="00A877E6"/>
    <w:rsid w:val="00A901E7"/>
    <w:rsid w:val="00A90A6D"/>
    <w:rsid w:val="00A90DA0"/>
    <w:rsid w:val="00A9207D"/>
    <w:rsid w:val="00A92178"/>
    <w:rsid w:val="00A923A2"/>
    <w:rsid w:val="00A92423"/>
    <w:rsid w:val="00A92A9B"/>
    <w:rsid w:val="00A92FED"/>
    <w:rsid w:val="00A930F3"/>
    <w:rsid w:val="00A93F86"/>
    <w:rsid w:val="00A94111"/>
    <w:rsid w:val="00A94A2D"/>
    <w:rsid w:val="00A951AB"/>
    <w:rsid w:val="00A955A5"/>
    <w:rsid w:val="00A95A71"/>
    <w:rsid w:val="00A95B29"/>
    <w:rsid w:val="00A95B30"/>
    <w:rsid w:val="00A96370"/>
    <w:rsid w:val="00A96919"/>
    <w:rsid w:val="00A96CE5"/>
    <w:rsid w:val="00A96F5D"/>
    <w:rsid w:val="00A976BB"/>
    <w:rsid w:val="00A97C6C"/>
    <w:rsid w:val="00AA02A7"/>
    <w:rsid w:val="00AA0702"/>
    <w:rsid w:val="00AA09D3"/>
    <w:rsid w:val="00AA0B63"/>
    <w:rsid w:val="00AA0CA3"/>
    <w:rsid w:val="00AA0D1E"/>
    <w:rsid w:val="00AA0FE6"/>
    <w:rsid w:val="00AA1700"/>
    <w:rsid w:val="00AA1A1C"/>
    <w:rsid w:val="00AA1B80"/>
    <w:rsid w:val="00AA1CA0"/>
    <w:rsid w:val="00AA1CD2"/>
    <w:rsid w:val="00AA1EDE"/>
    <w:rsid w:val="00AA2108"/>
    <w:rsid w:val="00AA250E"/>
    <w:rsid w:val="00AA273F"/>
    <w:rsid w:val="00AA28C6"/>
    <w:rsid w:val="00AA2D7F"/>
    <w:rsid w:val="00AA3305"/>
    <w:rsid w:val="00AA3456"/>
    <w:rsid w:val="00AA38DA"/>
    <w:rsid w:val="00AA39D1"/>
    <w:rsid w:val="00AA3D28"/>
    <w:rsid w:val="00AA4B2C"/>
    <w:rsid w:val="00AA4C76"/>
    <w:rsid w:val="00AA4FB2"/>
    <w:rsid w:val="00AA5186"/>
    <w:rsid w:val="00AA521A"/>
    <w:rsid w:val="00AA53E8"/>
    <w:rsid w:val="00AA5426"/>
    <w:rsid w:val="00AA57BD"/>
    <w:rsid w:val="00AA59B0"/>
    <w:rsid w:val="00AA6323"/>
    <w:rsid w:val="00AA6418"/>
    <w:rsid w:val="00AA653D"/>
    <w:rsid w:val="00AA69F0"/>
    <w:rsid w:val="00AA6F6B"/>
    <w:rsid w:val="00AA70E0"/>
    <w:rsid w:val="00AA710E"/>
    <w:rsid w:val="00AA71F8"/>
    <w:rsid w:val="00AA720C"/>
    <w:rsid w:val="00AA7437"/>
    <w:rsid w:val="00AA7B04"/>
    <w:rsid w:val="00AA7D9D"/>
    <w:rsid w:val="00AB02B8"/>
    <w:rsid w:val="00AB0487"/>
    <w:rsid w:val="00AB0B20"/>
    <w:rsid w:val="00AB1070"/>
    <w:rsid w:val="00AB15C0"/>
    <w:rsid w:val="00AB1E86"/>
    <w:rsid w:val="00AB205A"/>
    <w:rsid w:val="00AB2239"/>
    <w:rsid w:val="00AB2268"/>
    <w:rsid w:val="00AB2551"/>
    <w:rsid w:val="00AB2B9C"/>
    <w:rsid w:val="00AB306F"/>
    <w:rsid w:val="00AB311C"/>
    <w:rsid w:val="00AB316A"/>
    <w:rsid w:val="00AB336A"/>
    <w:rsid w:val="00AB33ED"/>
    <w:rsid w:val="00AB33F6"/>
    <w:rsid w:val="00AB37DA"/>
    <w:rsid w:val="00AB3B15"/>
    <w:rsid w:val="00AB3FD3"/>
    <w:rsid w:val="00AB4D03"/>
    <w:rsid w:val="00AB4EDE"/>
    <w:rsid w:val="00AB4F70"/>
    <w:rsid w:val="00AB4F9F"/>
    <w:rsid w:val="00AB5372"/>
    <w:rsid w:val="00AB5408"/>
    <w:rsid w:val="00AB5511"/>
    <w:rsid w:val="00AB5991"/>
    <w:rsid w:val="00AB610A"/>
    <w:rsid w:val="00AB62BD"/>
    <w:rsid w:val="00AB6515"/>
    <w:rsid w:val="00AB6622"/>
    <w:rsid w:val="00AB69CC"/>
    <w:rsid w:val="00AB6BE7"/>
    <w:rsid w:val="00AB6C38"/>
    <w:rsid w:val="00AB7164"/>
    <w:rsid w:val="00AB79D5"/>
    <w:rsid w:val="00AB7E21"/>
    <w:rsid w:val="00AC019F"/>
    <w:rsid w:val="00AC0613"/>
    <w:rsid w:val="00AC0B02"/>
    <w:rsid w:val="00AC0C65"/>
    <w:rsid w:val="00AC1016"/>
    <w:rsid w:val="00AC1327"/>
    <w:rsid w:val="00AC1469"/>
    <w:rsid w:val="00AC1BAA"/>
    <w:rsid w:val="00AC2223"/>
    <w:rsid w:val="00AC2463"/>
    <w:rsid w:val="00AC2A08"/>
    <w:rsid w:val="00AC2D7B"/>
    <w:rsid w:val="00AC338C"/>
    <w:rsid w:val="00AC3C67"/>
    <w:rsid w:val="00AC42BB"/>
    <w:rsid w:val="00AC48B4"/>
    <w:rsid w:val="00AC4B59"/>
    <w:rsid w:val="00AC4F2C"/>
    <w:rsid w:val="00AC5CF4"/>
    <w:rsid w:val="00AC62C3"/>
    <w:rsid w:val="00AC68F3"/>
    <w:rsid w:val="00AC739B"/>
    <w:rsid w:val="00AC76A4"/>
    <w:rsid w:val="00AC76D8"/>
    <w:rsid w:val="00AC78EC"/>
    <w:rsid w:val="00AC7EBB"/>
    <w:rsid w:val="00AD0074"/>
    <w:rsid w:val="00AD0C07"/>
    <w:rsid w:val="00AD1674"/>
    <w:rsid w:val="00AD1AAE"/>
    <w:rsid w:val="00AD224E"/>
    <w:rsid w:val="00AD3716"/>
    <w:rsid w:val="00AD37F5"/>
    <w:rsid w:val="00AD3B67"/>
    <w:rsid w:val="00AD4547"/>
    <w:rsid w:val="00AD5C98"/>
    <w:rsid w:val="00AD626A"/>
    <w:rsid w:val="00AD62B9"/>
    <w:rsid w:val="00AD6397"/>
    <w:rsid w:val="00AD6587"/>
    <w:rsid w:val="00AD659A"/>
    <w:rsid w:val="00AD682A"/>
    <w:rsid w:val="00AD6931"/>
    <w:rsid w:val="00AD6A72"/>
    <w:rsid w:val="00AD6EAB"/>
    <w:rsid w:val="00AD6F62"/>
    <w:rsid w:val="00AD71DF"/>
    <w:rsid w:val="00AD775F"/>
    <w:rsid w:val="00AD7909"/>
    <w:rsid w:val="00AD7B4E"/>
    <w:rsid w:val="00AD7EE5"/>
    <w:rsid w:val="00AE007A"/>
    <w:rsid w:val="00AE01C3"/>
    <w:rsid w:val="00AE0529"/>
    <w:rsid w:val="00AE0A2D"/>
    <w:rsid w:val="00AE1784"/>
    <w:rsid w:val="00AE2058"/>
    <w:rsid w:val="00AE2104"/>
    <w:rsid w:val="00AE277D"/>
    <w:rsid w:val="00AE2B61"/>
    <w:rsid w:val="00AE2D0E"/>
    <w:rsid w:val="00AE325E"/>
    <w:rsid w:val="00AE32F5"/>
    <w:rsid w:val="00AE399F"/>
    <w:rsid w:val="00AE3E45"/>
    <w:rsid w:val="00AE4276"/>
    <w:rsid w:val="00AE463D"/>
    <w:rsid w:val="00AE47FE"/>
    <w:rsid w:val="00AE49BF"/>
    <w:rsid w:val="00AE4C4D"/>
    <w:rsid w:val="00AE553B"/>
    <w:rsid w:val="00AE55E0"/>
    <w:rsid w:val="00AE5807"/>
    <w:rsid w:val="00AE5892"/>
    <w:rsid w:val="00AE5A41"/>
    <w:rsid w:val="00AE60B3"/>
    <w:rsid w:val="00AE612A"/>
    <w:rsid w:val="00AE62CB"/>
    <w:rsid w:val="00AE67C0"/>
    <w:rsid w:val="00AE756D"/>
    <w:rsid w:val="00AE79F7"/>
    <w:rsid w:val="00AE7BA6"/>
    <w:rsid w:val="00AE7BAE"/>
    <w:rsid w:val="00AF0247"/>
    <w:rsid w:val="00AF0283"/>
    <w:rsid w:val="00AF03B9"/>
    <w:rsid w:val="00AF0D52"/>
    <w:rsid w:val="00AF0D8B"/>
    <w:rsid w:val="00AF0E7A"/>
    <w:rsid w:val="00AF17FD"/>
    <w:rsid w:val="00AF26EB"/>
    <w:rsid w:val="00AF2944"/>
    <w:rsid w:val="00AF2F28"/>
    <w:rsid w:val="00AF3174"/>
    <w:rsid w:val="00AF34AB"/>
    <w:rsid w:val="00AF34EB"/>
    <w:rsid w:val="00AF3763"/>
    <w:rsid w:val="00AF3CD9"/>
    <w:rsid w:val="00AF3EDA"/>
    <w:rsid w:val="00AF3F2F"/>
    <w:rsid w:val="00AF42B2"/>
    <w:rsid w:val="00AF5AEF"/>
    <w:rsid w:val="00AF5CF4"/>
    <w:rsid w:val="00AF5E3E"/>
    <w:rsid w:val="00AF6158"/>
    <w:rsid w:val="00AF6E35"/>
    <w:rsid w:val="00AF731A"/>
    <w:rsid w:val="00AF74EA"/>
    <w:rsid w:val="00B003CF"/>
    <w:rsid w:val="00B01472"/>
    <w:rsid w:val="00B0172F"/>
    <w:rsid w:val="00B019D3"/>
    <w:rsid w:val="00B01BC4"/>
    <w:rsid w:val="00B01D46"/>
    <w:rsid w:val="00B01EE7"/>
    <w:rsid w:val="00B025A3"/>
    <w:rsid w:val="00B02D0B"/>
    <w:rsid w:val="00B02D2F"/>
    <w:rsid w:val="00B03578"/>
    <w:rsid w:val="00B03DAD"/>
    <w:rsid w:val="00B0410E"/>
    <w:rsid w:val="00B04176"/>
    <w:rsid w:val="00B043CB"/>
    <w:rsid w:val="00B046B9"/>
    <w:rsid w:val="00B04853"/>
    <w:rsid w:val="00B04950"/>
    <w:rsid w:val="00B04B88"/>
    <w:rsid w:val="00B052B6"/>
    <w:rsid w:val="00B05440"/>
    <w:rsid w:val="00B0545C"/>
    <w:rsid w:val="00B05832"/>
    <w:rsid w:val="00B06638"/>
    <w:rsid w:val="00B066F9"/>
    <w:rsid w:val="00B06C52"/>
    <w:rsid w:val="00B06DA2"/>
    <w:rsid w:val="00B06DBA"/>
    <w:rsid w:val="00B07E2C"/>
    <w:rsid w:val="00B1074B"/>
    <w:rsid w:val="00B1085A"/>
    <w:rsid w:val="00B10A68"/>
    <w:rsid w:val="00B11558"/>
    <w:rsid w:val="00B12530"/>
    <w:rsid w:val="00B126B0"/>
    <w:rsid w:val="00B12C65"/>
    <w:rsid w:val="00B132D4"/>
    <w:rsid w:val="00B13D63"/>
    <w:rsid w:val="00B14982"/>
    <w:rsid w:val="00B14D56"/>
    <w:rsid w:val="00B156A9"/>
    <w:rsid w:val="00B15986"/>
    <w:rsid w:val="00B1683F"/>
    <w:rsid w:val="00B16F08"/>
    <w:rsid w:val="00B17447"/>
    <w:rsid w:val="00B174E3"/>
    <w:rsid w:val="00B1786A"/>
    <w:rsid w:val="00B17B9E"/>
    <w:rsid w:val="00B17E89"/>
    <w:rsid w:val="00B200CA"/>
    <w:rsid w:val="00B2071B"/>
    <w:rsid w:val="00B20821"/>
    <w:rsid w:val="00B209CC"/>
    <w:rsid w:val="00B20E94"/>
    <w:rsid w:val="00B20EAD"/>
    <w:rsid w:val="00B212EA"/>
    <w:rsid w:val="00B21371"/>
    <w:rsid w:val="00B215D7"/>
    <w:rsid w:val="00B2195E"/>
    <w:rsid w:val="00B21BFA"/>
    <w:rsid w:val="00B21C55"/>
    <w:rsid w:val="00B21C6A"/>
    <w:rsid w:val="00B221CF"/>
    <w:rsid w:val="00B2223C"/>
    <w:rsid w:val="00B229E7"/>
    <w:rsid w:val="00B22ADE"/>
    <w:rsid w:val="00B22DCA"/>
    <w:rsid w:val="00B2307A"/>
    <w:rsid w:val="00B23F66"/>
    <w:rsid w:val="00B257EE"/>
    <w:rsid w:val="00B2588A"/>
    <w:rsid w:val="00B25976"/>
    <w:rsid w:val="00B25A34"/>
    <w:rsid w:val="00B266FC"/>
    <w:rsid w:val="00B26887"/>
    <w:rsid w:val="00B2694E"/>
    <w:rsid w:val="00B2698A"/>
    <w:rsid w:val="00B2699B"/>
    <w:rsid w:val="00B26E7F"/>
    <w:rsid w:val="00B27136"/>
    <w:rsid w:val="00B3003C"/>
    <w:rsid w:val="00B30703"/>
    <w:rsid w:val="00B30BFA"/>
    <w:rsid w:val="00B30D33"/>
    <w:rsid w:val="00B31044"/>
    <w:rsid w:val="00B31480"/>
    <w:rsid w:val="00B3152E"/>
    <w:rsid w:val="00B316F3"/>
    <w:rsid w:val="00B317AA"/>
    <w:rsid w:val="00B318EB"/>
    <w:rsid w:val="00B31A38"/>
    <w:rsid w:val="00B327B3"/>
    <w:rsid w:val="00B32A11"/>
    <w:rsid w:val="00B32BB8"/>
    <w:rsid w:val="00B33439"/>
    <w:rsid w:val="00B341A3"/>
    <w:rsid w:val="00B3440B"/>
    <w:rsid w:val="00B34418"/>
    <w:rsid w:val="00B3459D"/>
    <w:rsid w:val="00B347BA"/>
    <w:rsid w:val="00B34CB8"/>
    <w:rsid w:val="00B34FF0"/>
    <w:rsid w:val="00B35147"/>
    <w:rsid w:val="00B35406"/>
    <w:rsid w:val="00B357D8"/>
    <w:rsid w:val="00B35B59"/>
    <w:rsid w:val="00B35C0F"/>
    <w:rsid w:val="00B35FD1"/>
    <w:rsid w:val="00B3606C"/>
    <w:rsid w:val="00B36772"/>
    <w:rsid w:val="00B36D9F"/>
    <w:rsid w:val="00B375ED"/>
    <w:rsid w:val="00B376CD"/>
    <w:rsid w:val="00B377E2"/>
    <w:rsid w:val="00B379A6"/>
    <w:rsid w:val="00B37DB2"/>
    <w:rsid w:val="00B400DB"/>
    <w:rsid w:val="00B401B6"/>
    <w:rsid w:val="00B402BA"/>
    <w:rsid w:val="00B40337"/>
    <w:rsid w:val="00B40F02"/>
    <w:rsid w:val="00B40F6A"/>
    <w:rsid w:val="00B41536"/>
    <w:rsid w:val="00B41555"/>
    <w:rsid w:val="00B42E66"/>
    <w:rsid w:val="00B430DB"/>
    <w:rsid w:val="00B43453"/>
    <w:rsid w:val="00B43900"/>
    <w:rsid w:val="00B443AD"/>
    <w:rsid w:val="00B4449A"/>
    <w:rsid w:val="00B4479D"/>
    <w:rsid w:val="00B44E11"/>
    <w:rsid w:val="00B44F07"/>
    <w:rsid w:val="00B45142"/>
    <w:rsid w:val="00B4569A"/>
    <w:rsid w:val="00B4628B"/>
    <w:rsid w:val="00B467A4"/>
    <w:rsid w:val="00B46BD3"/>
    <w:rsid w:val="00B46C2A"/>
    <w:rsid w:val="00B46E7C"/>
    <w:rsid w:val="00B46E8F"/>
    <w:rsid w:val="00B46E9B"/>
    <w:rsid w:val="00B476C1"/>
    <w:rsid w:val="00B47A39"/>
    <w:rsid w:val="00B5008D"/>
    <w:rsid w:val="00B508F7"/>
    <w:rsid w:val="00B50FDE"/>
    <w:rsid w:val="00B5135D"/>
    <w:rsid w:val="00B5225C"/>
    <w:rsid w:val="00B52313"/>
    <w:rsid w:val="00B523B8"/>
    <w:rsid w:val="00B5240A"/>
    <w:rsid w:val="00B527AD"/>
    <w:rsid w:val="00B52A86"/>
    <w:rsid w:val="00B53075"/>
    <w:rsid w:val="00B531C6"/>
    <w:rsid w:val="00B53294"/>
    <w:rsid w:val="00B534A0"/>
    <w:rsid w:val="00B5361D"/>
    <w:rsid w:val="00B537AC"/>
    <w:rsid w:val="00B5383E"/>
    <w:rsid w:val="00B53D25"/>
    <w:rsid w:val="00B53D48"/>
    <w:rsid w:val="00B53E9D"/>
    <w:rsid w:val="00B54125"/>
    <w:rsid w:val="00B54987"/>
    <w:rsid w:val="00B54B45"/>
    <w:rsid w:val="00B560F1"/>
    <w:rsid w:val="00B5693D"/>
    <w:rsid w:val="00B56B0A"/>
    <w:rsid w:val="00B56C93"/>
    <w:rsid w:val="00B56D05"/>
    <w:rsid w:val="00B56D90"/>
    <w:rsid w:val="00B57AB6"/>
    <w:rsid w:val="00B57B54"/>
    <w:rsid w:val="00B609A1"/>
    <w:rsid w:val="00B60DD5"/>
    <w:rsid w:val="00B61146"/>
    <w:rsid w:val="00B61C8E"/>
    <w:rsid w:val="00B61F21"/>
    <w:rsid w:val="00B62014"/>
    <w:rsid w:val="00B6231C"/>
    <w:rsid w:val="00B626D6"/>
    <w:rsid w:val="00B62918"/>
    <w:rsid w:val="00B62B07"/>
    <w:rsid w:val="00B63DD7"/>
    <w:rsid w:val="00B63E1E"/>
    <w:rsid w:val="00B642DA"/>
    <w:rsid w:val="00B64D9D"/>
    <w:rsid w:val="00B64E35"/>
    <w:rsid w:val="00B64F40"/>
    <w:rsid w:val="00B64F77"/>
    <w:rsid w:val="00B64FF5"/>
    <w:rsid w:val="00B65956"/>
    <w:rsid w:val="00B659E9"/>
    <w:rsid w:val="00B66EFF"/>
    <w:rsid w:val="00B6703D"/>
    <w:rsid w:val="00B670B6"/>
    <w:rsid w:val="00B678CE"/>
    <w:rsid w:val="00B67942"/>
    <w:rsid w:val="00B67A64"/>
    <w:rsid w:val="00B67D94"/>
    <w:rsid w:val="00B67F01"/>
    <w:rsid w:val="00B70BBC"/>
    <w:rsid w:val="00B70D74"/>
    <w:rsid w:val="00B70E08"/>
    <w:rsid w:val="00B712AE"/>
    <w:rsid w:val="00B717EE"/>
    <w:rsid w:val="00B71967"/>
    <w:rsid w:val="00B724F1"/>
    <w:rsid w:val="00B72D63"/>
    <w:rsid w:val="00B72F6C"/>
    <w:rsid w:val="00B747FD"/>
    <w:rsid w:val="00B7496D"/>
    <w:rsid w:val="00B74BDB"/>
    <w:rsid w:val="00B74E00"/>
    <w:rsid w:val="00B74EB8"/>
    <w:rsid w:val="00B752AF"/>
    <w:rsid w:val="00B76267"/>
    <w:rsid w:val="00B762C7"/>
    <w:rsid w:val="00B764B3"/>
    <w:rsid w:val="00B776BF"/>
    <w:rsid w:val="00B77A4F"/>
    <w:rsid w:val="00B806CB"/>
    <w:rsid w:val="00B807BE"/>
    <w:rsid w:val="00B80AC0"/>
    <w:rsid w:val="00B80CA1"/>
    <w:rsid w:val="00B80ECF"/>
    <w:rsid w:val="00B80FCF"/>
    <w:rsid w:val="00B815F8"/>
    <w:rsid w:val="00B81737"/>
    <w:rsid w:val="00B821FC"/>
    <w:rsid w:val="00B82381"/>
    <w:rsid w:val="00B82985"/>
    <w:rsid w:val="00B82B1E"/>
    <w:rsid w:val="00B82C36"/>
    <w:rsid w:val="00B82E4F"/>
    <w:rsid w:val="00B839F1"/>
    <w:rsid w:val="00B83C12"/>
    <w:rsid w:val="00B83C30"/>
    <w:rsid w:val="00B83D37"/>
    <w:rsid w:val="00B83E8C"/>
    <w:rsid w:val="00B83EEA"/>
    <w:rsid w:val="00B8400C"/>
    <w:rsid w:val="00B840C4"/>
    <w:rsid w:val="00B847CA"/>
    <w:rsid w:val="00B85110"/>
    <w:rsid w:val="00B8565E"/>
    <w:rsid w:val="00B85720"/>
    <w:rsid w:val="00B857A5"/>
    <w:rsid w:val="00B859C3"/>
    <w:rsid w:val="00B85EE0"/>
    <w:rsid w:val="00B8664A"/>
    <w:rsid w:val="00B86669"/>
    <w:rsid w:val="00B8682F"/>
    <w:rsid w:val="00B86922"/>
    <w:rsid w:val="00B86EF8"/>
    <w:rsid w:val="00B8739F"/>
    <w:rsid w:val="00B874B3"/>
    <w:rsid w:val="00B9039C"/>
    <w:rsid w:val="00B9080D"/>
    <w:rsid w:val="00B909AD"/>
    <w:rsid w:val="00B90B2A"/>
    <w:rsid w:val="00B9140B"/>
    <w:rsid w:val="00B917DB"/>
    <w:rsid w:val="00B918A5"/>
    <w:rsid w:val="00B9199C"/>
    <w:rsid w:val="00B92008"/>
    <w:rsid w:val="00B92CF6"/>
    <w:rsid w:val="00B9382F"/>
    <w:rsid w:val="00B93938"/>
    <w:rsid w:val="00B93B09"/>
    <w:rsid w:val="00B93CF0"/>
    <w:rsid w:val="00B94020"/>
    <w:rsid w:val="00B944D8"/>
    <w:rsid w:val="00B948A4"/>
    <w:rsid w:val="00B949BF"/>
    <w:rsid w:val="00B94C99"/>
    <w:rsid w:val="00B94EEB"/>
    <w:rsid w:val="00B95094"/>
    <w:rsid w:val="00B9545D"/>
    <w:rsid w:val="00B9549D"/>
    <w:rsid w:val="00B954CA"/>
    <w:rsid w:val="00B959FE"/>
    <w:rsid w:val="00B95D83"/>
    <w:rsid w:val="00B963D5"/>
    <w:rsid w:val="00B9688E"/>
    <w:rsid w:val="00B96952"/>
    <w:rsid w:val="00B9698B"/>
    <w:rsid w:val="00B973E0"/>
    <w:rsid w:val="00B9769F"/>
    <w:rsid w:val="00B97881"/>
    <w:rsid w:val="00B978FC"/>
    <w:rsid w:val="00B97BE8"/>
    <w:rsid w:val="00BA0A8D"/>
    <w:rsid w:val="00BA0E0E"/>
    <w:rsid w:val="00BA0FB9"/>
    <w:rsid w:val="00BA24BB"/>
    <w:rsid w:val="00BA2A01"/>
    <w:rsid w:val="00BA2A1B"/>
    <w:rsid w:val="00BA2DD5"/>
    <w:rsid w:val="00BA2E16"/>
    <w:rsid w:val="00BA2F3F"/>
    <w:rsid w:val="00BA37E2"/>
    <w:rsid w:val="00BA4260"/>
    <w:rsid w:val="00BA4E21"/>
    <w:rsid w:val="00BA4E3F"/>
    <w:rsid w:val="00BA5263"/>
    <w:rsid w:val="00BA5714"/>
    <w:rsid w:val="00BA5B51"/>
    <w:rsid w:val="00BA5C52"/>
    <w:rsid w:val="00BA5D41"/>
    <w:rsid w:val="00BA620A"/>
    <w:rsid w:val="00BA62B0"/>
    <w:rsid w:val="00BA6E1F"/>
    <w:rsid w:val="00BA6E3E"/>
    <w:rsid w:val="00BA6F98"/>
    <w:rsid w:val="00BA7AE8"/>
    <w:rsid w:val="00BA7CC2"/>
    <w:rsid w:val="00BB0499"/>
    <w:rsid w:val="00BB04DD"/>
    <w:rsid w:val="00BB1068"/>
    <w:rsid w:val="00BB131C"/>
    <w:rsid w:val="00BB1516"/>
    <w:rsid w:val="00BB1AD7"/>
    <w:rsid w:val="00BB21BA"/>
    <w:rsid w:val="00BB2B22"/>
    <w:rsid w:val="00BB36F8"/>
    <w:rsid w:val="00BB3786"/>
    <w:rsid w:val="00BB37D9"/>
    <w:rsid w:val="00BB3DB3"/>
    <w:rsid w:val="00BB4158"/>
    <w:rsid w:val="00BB501D"/>
    <w:rsid w:val="00BB50E8"/>
    <w:rsid w:val="00BB5849"/>
    <w:rsid w:val="00BB5C03"/>
    <w:rsid w:val="00BB5DEB"/>
    <w:rsid w:val="00BB68D9"/>
    <w:rsid w:val="00BB6A2B"/>
    <w:rsid w:val="00BB6C6E"/>
    <w:rsid w:val="00BB7330"/>
    <w:rsid w:val="00BB73D8"/>
    <w:rsid w:val="00BB771A"/>
    <w:rsid w:val="00BB799F"/>
    <w:rsid w:val="00BB7AD5"/>
    <w:rsid w:val="00BB7CDC"/>
    <w:rsid w:val="00BB7DCC"/>
    <w:rsid w:val="00BB7DE1"/>
    <w:rsid w:val="00BC02DE"/>
    <w:rsid w:val="00BC074F"/>
    <w:rsid w:val="00BC0D1B"/>
    <w:rsid w:val="00BC15F7"/>
    <w:rsid w:val="00BC187F"/>
    <w:rsid w:val="00BC1AFB"/>
    <w:rsid w:val="00BC2216"/>
    <w:rsid w:val="00BC23D9"/>
    <w:rsid w:val="00BC24EB"/>
    <w:rsid w:val="00BC25C5"/>
    <w:rsid w:val="00BC2832"/>
    <w:rsid w:val="00BC29C0"/>
    <w:rsid w:val="00BC315A"/>
    <w:rsid w:val="00BC3626"/>
    <w:rsid w:val="00BC36AD"/>
    <w:rsid w:val="00BC405C"/>
    <w:rsid w:val="00BC41C2"/>
    <w:rsid w:val="00BC422B"/>
    <w:rsid w:val="00BC46A9"/>
    <w:rsid w:val="00BC48F2"/>
    <w:rsid w:val="00BC4DB0"/>
    <w:rsid w:val="00BC4E0B"/>
    <w:rsid w:val="00BC4F02"/>
    <w:rsid w:val="00BC521F"/>
    <w:rsid w:val="00BC5261"/>
    <w:rsid w:val="00BC5393"/>
    <w:rsid w:val="00BC565C"/>
    <w:rsid w:val="00BC5947"/>
    <w:rsid w:val="00BC5AB7"/>
    <w:rsid w:val="00BC63B1"/>
    <w:rsid w:val="00BC6458"/>
    <w:rsid w:val="00BC66C4"/>
    <w:rsid w:val="00BC6803"/>
    <w:rsid w:val="00BC6E26"/>
    <w:rsid w:val="00BC6F45"/>
    <w:rsid w:val="00BC71A2"/>
    <w:rsid w:val="00BC7291"/>
    <w:rsid w:val="00BC74A3"/>
    <w:rsid w:val="00BC7A73"/>
    <w:rsid w:val="00BC7AD9"/>
    <w:rsid w:val="00BC7C22"/>
    <w:rsid w:val="00BD02EF"/>
    <w:rsid w:val="00BD0704"/>
    <w:rsid w:val="00BD0D46"/>
    <w:rsid w:val="00BD111A"/>
    <w:rsid w:val="00BD2125"/>
    <w:rsid w:val="00BD2AC4"/>
    <w:rsid w:val="00BD2B6C"/>
    <w:rsid w:val="00BD2FC6"/>
    <w:rsid w:val="00BD2FE7"/>
    <w:rsid w:val="00BD335A"/>
    <w:rsid w:val="00BD355D"/>
    <w:rsid w:val="00BD4019"/>
    <w:rsid w:val="00BD4D0C"/>
    <w:rsid w:val="00BD4DE8"/>
    <w:rsid w:val="00BD52AE"/>
    <w:rsid w:val="00BD5CBC"/>
    <w:rsid w:val="00BD60AE"/>
    <w:rsid w:val="00BD6375"/>
    <w:rsid w:val="00BD6A75"/>
    <w:rsid w:val="00BD6E90"/>
    <w:rsid w:val="00BD6FE7"/>
    <w:rsid w:val="00BD740D"/>
    <w:rsid w:val="00BD7E0A"/>
    <w:rsid w:val="00BD7FEF"/>
    <w:rsid w:val="00BE02C1"/>
    <w:rsid w:val="00BE03AF"/>
    <w:rsid w:val="00BE0AE9"/>
    <w:rsid w:val="00BE0E30"/>
    <w:rsid w:val="00BE0EB4"/>
    <w:rsid w:val="00BE24CC"/>
    <w:rsid w:val="00BE2FAE"/>
    <w:rsid w:val="00BE304E"/>
    <w:rsid w:val="00BE33F5"/>
    <w:rsid w:val="00BE3577"/>
    <w:rsid w:val="00BE378A"/>
    <w:rsid w:val="00BE40A5"/>
    <w:rsid w:val="00BE4472"/>
    <w:rsid w:val="00BE50F0"/>
    <w:rsid w:val="00BE6048"/>
    <w:rsid w:val="00BE648E"/>
    <w:rsid w:val="00BE72E7"/>
    <w:rsid w:val="00BE7E67"/>
    <w:rsid w:val="00BF0680"/>
    <w:rsid w:val="00BF0951"/>
    <w:rsid w:val="00BF0D07"/>
    <w:rsid w:val="00BF164D"/>
    <w:rsid w:val="00BF17FB"/>
    <w:rsid w:val="00BF184A"/>
    <w:rsid w:val="00BF1D4F"/>
    <w:rsid w:val="00BF1E39"/>
    <w:rsid w:val="00BF1FDD"/>
    <w:rsid w:val="00BF23E8"/>
    <w:rsid w:val="00BF26C5"/>
    <w:rsid w:val="00BF31B8"/>
    <w:rsid w:val="00BF3A00"/>
    <w:rsid w:val="00BF3BBB"/>
    <w:rsid w:val="00BF4A3F"/>
    <w:rsid w:val="00BF4A8A"/>
    <w:rsid w:val="00BF4DFD"/>
    <w:rsid w:val="00BF4E83"/>
    <w:rsid w:val="00BF6398"/>
    <w:rsid w:val="00BF6931"/>
    <w:rsid w:val="00BF7156"/>
    <w:rsid w:val="00BF7B4B"/>
    <w:rsid w:val="00C01071"/>
    <w:rsid w:val="00C0131F"/>
    <w:rsid w:val="00C0165D"/>
    <w:rsid w:val="00C016D8"/>
    <w:rsid w:val="00C016EE"/>
    <w:rsid w:val="00C01D63"/>
    <w:rsid w:val="00C02278"/>
    <w:rsid w:val="00C0238A"/>
    <w:rsid w:val="00C026E0"/>
    <w:rsid w:val="00C02AEE"/>
    <w:rsid w:val="00C02DE2"/>
    <w:rsid w:val="00C03024"/>
    <w:rsid w:val="00C03202"/>
    <w:rsid w:val="00C036FE"/>
    <w:rsid w:val="00C039E7"/>
    <w:rsid w:val="00C03C08"/>
    <w:rsid w:val="00C03DC9"/>
    <w:rsid w:val="00C03F8B"/>
    <w:rsid w:val="00C0409C"/>
    <w:rsid w:val="00C0414C"/>
    <w:rsid w:val="00C04406"/>
    <w:rsid w:val="00C046DA"/>
    <w:rsid w:val="00C04D26"/>
    <w:rsid w:val="00C058CA"/>
    <w:rsid w:val="00C062A6"/>
    <w:rsid w:val="00C06847"/>
    <w:rsid w:val="00C06AB1"/>
    <w:rsid w:val="00C072EF"/>
    <w:rsid w:val="00C072FA"/>
    <w:rsid w:val="00C079F4"/>
    <w:rsid w:val="00C07C5E"/>
    <w:rsid w:val="00C1016B"/>
    <w:rsid w:val="00C10621"/>
    <w:rsid w:val="00C10A70"/>
    <w:rsid w:val="00C10E19"/>
    <w:rsid w:val="00C11033"/>
    <w:rsid w:val="00C11B89"/>
    <w:rsid w:val="00C123CB"/>
    <w:rsid w:val="00C12ACE"/>
    <w:rsid w:val="00C134B7"/>
    <w:rsid w:val="00C136DF"/>
    <w:rsid w:val="00C138ED"/>
    <w:rsid w:val="00C139D3"/>
    <w:rsid w:val="00C13E3C"/>
    <w:rsid w:val="00C14060"/>
    <w:rsid w:val="00C1410D"/>
    <w:rsid w:val="00C148BA"/>
    <w:rsid w:val="00C148E7"/>
    <w:rsid w:val="00C14C96"/>
    <w:rsid w:val="00C15700"/>
    <w:rsid w:val="00C15811"/>
    <w:rsid w:val="00C15B8A"/>
    <w:rsid w:val="00C1670B"/>
    <w:rsid w:val="00C16B52"/>
    <w:rsid w:val="00C16F6D"/>
    <w:rsid w:val="00C17350"/>
    <w:rsid w:val="00C17C73"/>
    <w:rsid w:val="00C17E13"/>
    <w:rsid w:val="00C20603"/>
    <w:rsid w:val="00C20AD6"/>
    <w:rsid w:val="00C20C40"/>
    <w:rsid w:val="00C20E97"/>
    <w:rsid w:val="00C22F3E"/>
    <w:rsid w:val="00C22FE3"/>
    <w:rsid w:val="00C232CC"/>
    <w:rsid w:val="00C23DC7"/>
    <w:rsid w:val="00C24310"/>
    <w:rsid w:val="00C24638"/>
    <w:rsid w:val="00C24828"/>
    <w:rsid w:val="00C248CA"/>
    <w:rsid w:val="00C25021"/>
    <w:rsid w:val="00C25449"/>
    <w:rsid w:val="00C25D45"/>
    <w:rsid w:val="00C25FE0"/>
    <w:rsid w:val="00C260A3"/>
    <w:rsid w:val="00C263F1"/>
    <w:rsid w:val="00C26D27"/>
    <w:rsid w:val="00C27B51"/>
    <w:rsid w:val="00C30573"/>
    <w:rsid w:val="00C310C2"/>
    <w:rsid w:val="00C31B41"/>
    <w:rsid w:val="00C31CD0"/>
    <w:rsid w:val="00C32256"/>
    <w:rsid w:val="00C325E6"/>
    <w:rsid w:val="00C32FC6"/>
    <w:rsid w:val="00C33142"/>
    <w:rsid w:val="00C3341A"/>
    <w:rsid w:val="00C336D0"/>
    <w:rsid w:val="00C33957"/>
    <w:rsid w:val="00C34760"/>
    <w:rsid w:val="00C34800"/>
    <w:rsid w:val="00C34927"/>
    <w:rsid w:val="00C34DFB"/>
    <w:rsid w:val="00C34E04"/>
    <w:rsid w:val="00C353DC"/>
    <w:rsid w:val="00C35604"/>
    <w:rsid w:val="00C35788"/>
    <w:rsid w:val="00C35861"/>
    <w:rsid w:val="00C35C27"/>
    <w:rsid w:val="00C3662E"/>
    <w:rsid w:val="00C3758F"/>
    <w:rsid w:val="00C375E3"/>
    <w:rsid w:val="00C376DE"/>
    <w:rsid w:val="00C40059"/>
    <w:rsid w:val="00C40181"/>
    <w:rsid w:val="00C4057F"/>
    <w:rsid w:val="00C4099E"/>
    <w:rsid w:val="00C40F3D"/>
    <w:rsid w:val="00C4138F"/>
    <w:rsid w:val="00C414BF"/>
    <w:rsid w:val="00C41AE9"/>
    <w:rsid w:val="00C41B42"/>
    <w:rsid w:val="00C41B70"/>
    <w:rsid w:val="00C41C33"/>
    <w:rsid w:val="00C41ED3"/>
    <w:rsid w:val="00C41FA0"/>
    <w:rsid w:val="00C421F1"/>
    <w:rsid w:val="00C42285"/>
    <w:rsid w:val="00C42370"/>
    <w:rsid w:val="00C424A4"/>
    <w:rsid w:val="00C425C9"/>
    <w:rsid w:val="00C427F8"/>
    <w:rsid w:val="00C42B51"/>
    <w:rsid w:val="00C42BD0"/>
    <w:rsid w:val="00C42D06"/>
    <w:rsid w:val="00C43A05"/>
    <w:rsid w:val="00C43C5C"/>
    <w:rsid w:val="00C446FE"/>
    <w:rsid w:val="00C44795"/>
    <w:rsid w:val="00C44BBC"/>
    <w:rsid w:val="00C45553"/>
    <w:rsid w:val="00C45798"/>
    <w:rsid w:val="00C45845"/>
    <w:rsid w:val="00C459F1"/>
    <w:rsid w:val="00C45B8C"/>
    <w:rsid w:val="00C45E53"/>
    <w:rsid w:val="00C468EA"/>
    <w:rsid w:val="00C46DED"/>
    <w:rsid w:val="00C46F40"/>
    <w:rsid w:val="00C47061"/>
    <w:rsid w:val="00C475AC"/>
    <w:rsid w:val="00C4778C"/>
    <w:rsid w:val="00C47A37"/>
    <w:rsid w:val="00C5018D"/>
    <w:rsid w:val="00C504E2"/>
    <w:rsid w:val="00C50504"/>
    <w:rsid w:val="00C50C73"/>
    <w:rsid w:val="00C50ED5"/>
    <w:rsid w:val="00C5151C"/>
    <w:rsid w:val="00C516A2"/>
    <w:rsid w:val="00C51984"/>
    <w:rsid w:val="00C51A1D"/>
    <w:rsid w:val="00C51AE2"/>
    <w:rsid w:val="00C51CD3"/>
    <w:rsid w:val="00C52025"/>
    <w:rsid w:val="00C528DA"/>
    <w:rsid w:val="00C52DD3"/>
    <w:rsid w:val="00C53CDF"/>
    <w:rsid w:val="00C544DE"/>
    <w:rsid w:val="00C54B0D"/>
    <w:rsid w:val="00C54BD9"/>
    <w:rsid w:val="00C54D78"/>
    <w:rsid w:val="00C54F87"/>
    <w:rsid w:val="00C5508A"/>
    <w:rsid w:val="00C554DE"/>
    <w:rsid w:val="00C55A63"/>
    <w:rsid w:val="00C55B60"/>
    <w:rsid w:val="00C55CF6"/>
    <w:rsid w:val="00C55EF4"/>
    <w:rsid w:val="00C56077"/>
    <w:rsid w:val="00C5621C"/>
    <w:rsid w:val="00C56244"/>
    <w:rsid w:val="00C562D5"/>
    <w:rsid w:val="00C56D6D"/>
    <w:rsid w:val="00C5722A"/>
    <w:rsid w:val="00C572D5"/>
    <w:rsid w:val="00C576D4"/>
    <w:rsid w:val="00C57E6E"/>
    <w:rsid w:val="00C602C4"/>
    <w:rsid w:val="00C603F4"/>
    <w:rsid w:val="00C604CC"/>
    <w:rsid w:val="00C610BB"/>
    <w:rsid w:val="00C61666"/>
    <w:rsid w:val="00C61756"/>
    <w:rsid w:val="00C61D23"/>
    <w:rsid w:val="00C62757"/>
    <w:rsid w:val="00C633F2"/>
    <w:rsid w:val="00C63472"/>
    <w:rsid w:val="00C6353B"/>
    <w:rsid w:val="00C63ABD"/>
    <w:rsid w:val="00C64E6F"/>
    <w:rsid w:val="00C64EA2"/>
    <w:rsid w:val="00C64F2A"/>
    <w:rsid w:val="00C653D9"/>
    <w:rsid w:val="00C6585D"/>
    <w:rsid w:val="00C65A20"/>
    <w:rsid w:val="00C65B45"/>
    <w:rsid w:val="00C66AFB"/>
    <w:rsid w:val="00C66DFC"/>
    <w:rsid w:val="00C670FD"/>
    <w:rsid w:val="00C67B53"/>
    <w:rsid w:val="00C67B7F"/>
    <w:rsid w:val="00C7025B"/>
    <w:rsid w:val="00C70260"/>
    <w:rsid w:val="00C70781"/>
    <w:rsid w:val="00C70A5F"/>
    <w:rsid w:val="00C70CCF"/>
    <w:rsid w:val="00C70EDF"/>
    <w:rsid w:val="00C71383"/>
    <w:rsid w:val="00C713DF"/>
    <w:rsid w:val="00C7187C"/>
    <w:rsid w:val="00C71CA6"/>
    <w:rsid w:val="00C720F4"/>
    <w:rsid w:val="00C72165"/>
    <w:rsid w:val="00C72289"/>
    <w:rsid w:val="00C72CDF"/>
    <w:rsid w:val="00C73661"/>
    <w:rsid w:val="00C7389E"/>
    <w:rsid w:val="00C738D3"/>
    <w:rsid w:val="00C73CB5"/>
    <w:rsid w:val="00C74479"/>
    <w:rsid w:val="00C744D0"/>
    <w:rsid w:val="00C751E8"/>
    <w:rsid w:val="00C75276"/>
    <w:rsid w:val="00C75520"/>
    <w:rsid w:val="00C75727"/>
    <w:rsid w:val="00C75C6E"/>
    <w:rsid w:val="00C75D4F"/>
    <w:rsid w:val="00C7680C"/>
    <w:rsid w:val="00C76A05"/>
    <w:rsid w:val="00C76EB8"/>
    <w:rsid w:val="00C76F63"/>
    <w:rsid w:val="00C77027"/>
    <w:rsid w:val="00C77716"/>
    <w:rsid w:val="00C8027E"/>
    <w:rsid w:val="00C80300"/>
    <w:rsid w:val="00C8046A"/>
    <w:rsid w:val="00C80BA7"/>
    <w:rsid w:val="00C80E12"/>
    <w:rsid w:val="00C80F16"/>
    <w:rsid w:val="00C8117F"/>
    <w:rsid w:val="00C81413"/>
    <w:rsid w:val="00C81B7D"/>
    <w:rsid w:val="00C81B86"/>
    <w:rsid w:val="00C81F83"/>
    <w:rsid w:val="00C82146"/>
    <w:rsid w:val="00C82241"/>
    <w:rsid w:val="00C822EF"/>
    <w:rsid w:val="00C82E0A"/>
    <w:rsid w:val="00C82EA1"/>
    <w:rsid w:val="00C83003"/>
    <w:rsid w:val="00C833D7"/>
    <w:rsid w:val="00C83856"/>
    <w:rsid w:val="00C839C4"/>
    <w:rsid w:val="00C84730"/>
    <w:rsid w:val="00C84A2C"/>
    <w:rsid w:val="00C84B91"/>
    <w:rsid w:val="00C84BEE"/>
    <w:rsid w:val="00C8536D"/>
    <w:rsid w:val="00C853C9"/>
    <w:rsid w:val="00C85F55"/>
    <w:rsid w:val="00C860DB"/>
    <w:rsid w:val="00C8616B"/>
    <w:rsid w:val="00C862E9"/>
    <w:rsid w:val="00C865EC"/>
    <w:rsid w:val="00C87076"/>
    <w:rsid w:val="00C874E5"/>
    <w:rsid w:val="00C904C4"/>
    <w:rsid w:val="00C914E9"/>
    <w:rsid w:val="00C9166F"/>
    <w:rsid w:val="00C91724"/>
    <w:rsid w:val="00C923DA"/>
    <w:rsid w:val="00C925CC"/>
    <w:rsid w:val="00C92929"/>
    <w:rsid w:val="00C92E83"/>
    <w:rsid w:val="00C93430"/>
    <w:rsid w:val="00C939E0"/>
    <w:rsid w:val="00C93ACE"/>
    <w:rsid w:val="00C93C13"/>
    <w:rsid w:val="00C93C1B"/>
    <w:rsid w:val="00C93CFD"/>
    <w:rsid w:val="00C94480"/>
    <w:rsid w:val="00C9474C"/>
    <w:rsid w:val="00C947C0"/>
    <w:rsid w:val="00C94BD1"/>
    <w:rsid w:val="00C94DD3"/>
    <w:rsid w:val="00C95161"/>
    <w:rsid w:val="00C9523E"/>
    <w:rsid w:val="00C95581"/>
    <w:rsid w:val="00C956B3"/>
    <w:rsid w:val="00C95A16"/>
    <w:rsid w:val="00C95C56"/>
    <w:rsid w:val="00C95F4C"/>
    <w:rsid w:val="00C963A4"/>
    <w:rsid w:val="00C965C4"/>
    <w:rsid w:val="00C9676B"/>
    <w:rsid w:val="00C9680D"/>
    <w:rsid w:val="00C96837"/>
    <w:rsid w:val="00C969B9"/>
    <w:rsid w:val="00C96A0A"/>
    <w:rsid w:val="00C96D59"/>
    <w:rsid w:val="00C97233"/>
    <w:rsid w:val="00CA05CF"/>
    <w:rsid w:val="00CA0B51"/>
    <w:rsid w:val="00CA1A1D"/>
    <w:rsid w:val="00CA23C0"/>
    <w:rsid w:val="00CA24A5"/>
    <w:rsid w:val="00CA2F6E"/>
    <w:rsid w:val="00CA32CA"/>
    <w:rsid w:val="00CA3664"/>
    <w:rsid w:val="00CA395B"/>
    <w:rsid w:val="00CA3A92"/>
    <w:rsid w:val="00CA3AB5"/>
    <w:rsid w:val="00CA3DC4"/>
    <w:rsid w:val="00CA430F"/>
    <w:rsid w:val="00CA483D"/>
    <w:rsid w:val="00CA4859"/>
    <w:rsid w:val="00CA4C27"/>
    <w:rsid w:val="00CA4D84"/>
    <w:rsid w:val="00CA508E"/>
    <w:rsid w:val="00CA5369"/>
    <w:rsid w:val="00CA53E7"/>
    <w:rsid w:val="00CA58B9"/>
    <w:rsid w:val="00CA598A"/>
    <w:rsid w:val="00CA59C0"/>
    <w:rsid w:val="00CA6D10"/>
    <w:rsid w:val="00CA7013"/>
    <w:rsid w:val="00CA729E"/>
    <w:rsid w:val="00CA763F"/>
    <w:rsid w:val="00CA7704"/>
    <w:rsid w:val="00CA7AA2"/>
    <w:rsid w:val="00CB009E"/>
    <w:rsid w:val="00CB03DE"/>
    <w:rsid w:val="00CB070B"/>
    <w:rsid w:val="00CB0C2A"/>
    <w:rsid w:val="00CB0DFE"/>
    <w:rsid w:val="00CB0FB5"/>
    <w:rsid w:val="00CB10B8"/>
    <w:rsid w:val="00CB1747"/>
    <w:rsid w:val="00CB181C"/>
    <w:rsid w:val="00CB187B"/>
    <w:rsid w:val="00CB1A7B"/>
    <w:rsid w:val="00CB1B68"/>
    <w:rsid w:val="00CB1CAD"/>
    <w:rsid w:val="00CB1E37"/>
    <w:rsid w:val="00CB295C"/>
    <w:rsid w:val="00CB2F9E"/>
    <w:rsid w:val="00CB305D"/>
    <w:rsid w:val="00CB31DB"/>
    <w:rsid w:val="00CB3FD6"/>
    <w:rsid w:val="00CB4395"/>
    <w:rsid w:val="00CB44B6"/>
    <w:rsid w:val="00CB450C"/>
    <w:rsid w:val="00CB46CE"/>
    <w:rsid w:val="00CB4847"/>
    <w:rsid w:val="00CB5B75"/>
    <w:rsid w:val="00CB5BB4"/>
    <w:rsid w:val="00CB66EB"/>
    <w:rsid w:val="00CB6AAB"/>
    <w:rsid w:val="00CB715A"/>
    <w:rsid w:val="00CB7386"/>
    <w:rsid w:val="00CB74A2"/>
    <w:rsid w:val="00CB7B4D"/>
    <w:rsid w:val="00CB7CC7"/>
    <w:rsid w:val="00CB7CF9"/>
    <w:rsid w:val="00CB7D81"/>
    <w:rsid w:val="00CC0025"/>
    <w:rsid w:val="00CC0163"/>
    <w:rsid w:val="00CC0C22"/>
    <w:rsid w:val="00CC0CD4"/>
    <w:rsid w:val="00CC0CF0"/>
    <w:rsid w:val="00CC0DEC"/>
    <w:rsid w:val="00CC24BF"/>
    <w:rsid w:val="00CC270E"/>
    <w:rsid w:val="00CC29C8"/>
    <w:rsid w:val="00CC2B95"/>
    <w:rsid w:val="00CC30E6"/>
    <w:rsid w:val="00CC39A2"/>
    <w:rsid w:val="00CC39B8"/>
    <w:rsid w:val="00CC39FC"/>
    <w:rsid w:val="00CC3AB3"/>
    <w:rsid w:val="00CC4144"/>
    <w:rsid w:val="00CC4374"/>
    <w:rsid w:val="00CC438D"/>
    <w:rsid w:val="00CC476A"/>
    <w:rsid w:val="00CC47DE"/>
    <w:rsid w:val="00CC61F7"/>
    <w:rsid w:val="00CC652D"/>
    <w:rsid w:val="00CC7810"/>
    <w:rsid w:val="00CC7FE6"/>
    <w:rsid w:val="00CD252B"/>
    <w:rsid w:val="00CD27E1"/>
    <w:rsid w:val="00CD2FF7"/>
    <w:rsid w:val="00CD32F0"/>
    <w:rsid w:val="00CD339A"/>
    <w:rsid w:val="00CD33F4"/>
    <w:rsid w:val="00CD3526"/>
    <w:rsid w:val="00CD3AB3"/>
    <w:rsid w:val="00CD3AD9"/>
    <w:rsid w:val="00CD3CF3"/>
    <w:rsid w:val="00CD4816"/>
    <w:rsid w:val="00CD4A62"/>
    <w:rsid w:val="00CD4BF8"/>
    <w:rsid w:val="00CD4EE0"/>
    <w:rsid w:val="00CD528F"/>
    <w:rsid w:val="00CD54D1"/>
    <w:rsid w:val="00CD5FE5"/>
    <w:rsid w:val="00CD626C"/>
    <w:rsid w:val="00CD6485"/>
    <w:rsid w:val="00CD6A76"/>
    <w:rsid w:val="00CD6AB2"/>
    <w:rsid w:val="00CD6D47"/>
    <w:rsid w:val="00CD7672"/>
    <w:rsid w:val="00CE077B"/>
    <w:rsid w:val="00CE09E4"/>
    <w:rsid w:val="00CE0FA4"/>
    <w:rsid w:val="00CE148D"/>
    <w:rsid w:val="00CE1A4F"/>
    <w:rsid w:val="00CE1B91"/>
    <w:rsid w:val="00CE1C0D"/>
    <w:rsid w:val="00CE2060"/>
    <w:rsid w:val="00CE3564"/>
    <w:rsid w:val="00CE3CEE"/>
    <w:rsid w:val="00CE3DD5"/>
    <w:rsid w:val="00CE4039"/>
    <w:rsid w:val="00CE40D2"/>
    <w:rsid w:val="00CE450B"/>
    <w:rsid w:val="00CE4FC5"/>
    <w:rsid w:val="00CE5577"/>
    <w:rsid w:val="00CE5970"/>
    <w:rsid w:val="00CE5F1D"/>
    <w:rsid w:val="00CE60A8"/>
    <w:rsid w:val="00CE618A"/>
    <w:rsid w:val="00CE6E78"/>
    <w:rsid w:val="00CE6EF8"/>
    <w:rsid w:val="00CE72B7"/>
    <w:rsid w:val="00CE76B1"/>
    <w:rsid w:val="00CE7838"/>
    <w:rsid w:val="00CE7AD7"/>
    <w:rsid w:val="00CF0312"/>
    <w:rsid w:val="00CF0728"/>
    <w:rsid w:val="00CF0E3C"/>
    <w:rsid w:val="00CF1255"/>
    <w:rsid w:val="00CF17D5"/>
    <w:rsid w:val="00CF17E6"/>
    <w:rsid w:val="00CF1AAC"/>
    <w:rsid w:val="00CF1D98"/>
    <w:rsid w:val="00CF22D0"/>
    <w:rsid w:val="00CF2780"/>
    <w:rsid w:val="00CF2A03"/>
    <w:rsid w:val="00CF2F44"/>
    <w:rsid w:val="00CF3057"/>
    <w:rsid w:val="00CF314D"/>
    <w:rsid w:val="00CF32F7"/>
    <w:rsid w:val="00CF34B8"/>
    <w:rsid w:val="00CF3507"/>
    <w:rsid w:val="00CF3927"/>
    <w:rsid w:val="00CF4366"/>
    <w:rsid w:val="00CF4574"/>
    <w:rsid w:val="00CF4AC9"/>
    <w:rsid w:val="00CF52EA"/>
    <w:rsid w:val="00CF56F1"/>
    <w:rsid w:val="00CF5A0F"/>
    <w:rsid w:val="00CF5D17"/>
    <w:rsid w:val="00CF5DB1"/>
    <w:rsid w:val="00CF5EDB"/>
    <w:rsid w:val="00CF6482"/>
    <w:rsid w:val="00CF684F"/>
    <w:rsid w:val="00CF6B2D"/>
    <w:rsid w:val="00CF741A"/>
    <w:rsid w:val="00CF74F6"/>
    <w:rsid w:val="00CF7668"/>
    <w:rsid w:val="00CF774F"/>
    <w:rsid w:val="00CF775C"/>
    <w:rsid w:val="00CF784F"/>
    <w:rsid w:val="00CF79B9"/>
    <w:rsid w:val="00CF79E2"/>
    <w:rsid w:val="00CF7EA6"/>
    <w:rsid w:val="00D001D4"/>
    <w:rsid w:val="00D002B7"/>
    <w:rsid w:val="00D0105B"/>
    <w:rsid w:val="00D01125"/>
    <w:rsid w:val="00D013F5"/>
    <w:rsid w:val="00D01914"/>
    <w:rsid w:val="00D0257D"/>
    <w:rsid w:val="00D02F87"/>
    <w:rsid w:val="00D03362"/>
    <w:rsid w:val="00D038D7"/>
    <w:rsid w:val="00D03986"/>
    <w:rsid w:val="00D04039"/>
    <w:rsid w:val="00D043F4"/>
    <w:rsid w:val="00D04414"/>
    <w:rsid w:val="00D0538E"/>
    <w:rsid w:val="00D055C3"/>
    <w:rsid w:val="00D05661"/>
    <w:rsid w:val="00D05D11"/>
    <w:rsid w:val="00D05E55"/>
    <w:rsid w:val="00D05FC8"/>
    <w:rsid w:val="00D0602C"/>
    <w:rsid w:val="00D06662"/>
    <w:rsid w:val="00D06902"/>
    <w:rsid w:val="00D070CF"/>
    <w:rsid w:val="00D10DFD"/>
    <w:rsid w:val="00D112AC"/>
    <w:rsid w:val="00D1141F"/>
    <w:rsid w:val="00D11533"/>
    <w:rsid w:val="00D11811"/>
    <w:rsid w:val="00D11D68"/>
    <w:rsid w:val="00D1230C"/>
    <w:rsid w:val="00D12362"/>
    <w:rsid w:val="00D123D7"/>
    <w:rsid w:val="00D1256F"/>
    <w:rsid w:val="00D12B5C"/>
    <w:rsid w:val="00D12C94"/>
    <w:rsid w:val="00D12E7D"/>
    <w:rsid w:val="00D13097"/>
    <w:rsid w:val="00D130F7"/>
    <w:rsid w:val="00D137C1"/>
    <w:rsid w:val="00D13A4E"/>
    <w:rsid w:val="00D1463A"/>
    <w:rsid w:val="00D14804"/>
    <w:rsid w:val="00D14D65"/>
    <w:rsid w:val="00D15429"/>
    <w:rsid w:val="00D155FE"/>
    <w:rsid w:val="00D15973"/>
    <w:rsid w:val="00D15CCC"/>
    <w:rsid w:val="00D161BE"/>
    <w:rsid w:val="00D162CC"/>
    <w:rsid w:val="00D16328"/>
    <w:rsid w:val="00D168EF"/>
    <w:rsid w:val="00D16D23"/>
    <w:rsid w:val="00D176EE"/>
    <w:rsid w:val="00D17C58"/>
    <w:rsid w:val="00D201FC"/>
    <w:rsid w:val="00D20268"/>
    <w:rsid w:val="00D203F7"/>
    <w:rsid w:val="00D205FB"/>
    <w:rsid w:val="00D207EF"/>
    <w:rsid w:val="00D20D12"/>
    <w:rsid w:val="00D21363"/>
    <w:rsid w:val="00D213DE"/>
    <w:rsid w:val="00D2151F"/>
    <w:rsid w:val="00D217DD"/>
    <w:rsid w:val="00D21B44"/>
    <w:rsid w:val="00D21C2F"/>
    <w:rsid w:val="00D21D54"/>
    <w:rsid w:val="00D21FBB"/>
    <w:rsid w:val="00D21FC0"/>
    <w:rsid w:val="00D22171"/>
    <w:rsid w:val="00D2250D"/>
    <w:rsid w:val="00D230F7"/>
    <w:rsid w:val="00D236D2"/>
    <w:rsid w:val="00D23DAB"/>
    <w:rsid w:val="00D2441E"/>
    <w:rsid w:val="00D244E3"/>
    <w:rsid w:val="00D25400"/>
    <w:rsid w:val="00D256DE"/>
    <w:rsid w:val="00D25823"/>
    <w:rsid w:val="00D25F75"/>
    <w:rsid w:val="00D26065"/>
    <w:rsid w:val="00D26335"/>
    <w:rsid w:val="00D26F11"/>
    <w:rsid w:val="00D2740A"/>
    <w:rsid w:val="00D279DA"/>
    <w:rsid w:val="00D27F56"/>
    <w:rsid w:val="00D30379"/>
    <w:rsid w:val="00D3043B"/>
    <w:rsid w:val="00D30583"/>
    <w:rsid w:val="00D307D1"/>
    <w:rsid w:val="00D30D1C"/>
    <w:rsid w:val="00D30DD1"/>
    <w:rsid w:val="00D30ECC"/>
    <w:rsid w:val="00D30F1D"/>
    <w:rsid w:val="00D31B20"/>
    <w:rsid w:val="00D31CD5"/>
    <w:rsid w:val="00D31D66"/>
    <w:rsid w:val="00D3244D"/>
    <w:rsid w:val="00D3264B"/>
    <w:rsid w:val="00D32CC5"/>
    <w:rsid w:val="00D32D21"/>
    <w:rsid w:val="00D330EC"/>
    <w:rsid w:val="00D33137"/>
    <w:rsid w:val="00D3356C"/>
    <w:rsid w:val="00D33ADD"/>
    <w:rsid w:val="00D33B9B"/>
    <w:rsid w:val="00D33C56"/>
    <w:rsid w:val="00D33DAC"/>
    <w:rsid w:val="00D343B6"/>
    <w:rsid w:val="00D34462"/>
    <w:rsid w:val="00D345E3"/>
    <w:rsid w:val="00D348AE"/>
    <w:rsid w:val="00D34AD1"/>
    <w:rsid w:val="00D34D67"/>
    <w:rsid w:val="00D355F0"/>
    <w:rsid w:val="00D3566C"/>
    <w:rsid w:val="00D35DB5"/>
    <w:rsid w:val="00D35F93"/>
    <w:rsid w:val="00D36161"/>
    <w:rsid w:val="00D36248"/>
    <w:rsid w:val="00D36B21"/>
    <w:rsid w:val="00D371E2"/>
    <w:rsid w:val="00D37391"/>
    <w:rsid w:val="00D37442"/>
    <w:rsid w:val="00D3790A"/>
    <w:rsid w:val="00D37D4D"/>
    <w:rsid w:val="00D37DD0"/>
    <w:rsid w:val="00D40CAC"/>
    <w:rsid w:val="00D40F37"/>
    <w:rsid w:val="00D411BF"/>
    <w:rsid w:val="00D41458"/>
    <w:rsid w:val="00D416C8"/>
    <w:rsid w:val="00D41748"/>
    <w:rsid w:val="00D41B15"/>
    <w:rsid w:val="00D41C21"/>
    <w:rsid w:val="00D41F9B"/>
    <w:rsid w:val="00D421A5"/>
    <w:rsid w:val="00D425BE"/>
    <w:rsid w:val="00D42812"/>
    <w:rsid w:val="00D42A77"/>
    <w:rsid w:val="00D43196"/>
    <w:rsid w:val="00D437A4"/>
    <w:rsid w:val="00D443A8"/>
    <w:rsid w:val="00D443DB"/>
    <w:rsid w:val="00D445C6"/>
    <w:rsid w:val="00D44760"/>
    <w:rsid w:val="00D4476A"/>
    <w:rsid w:val="00D44B09"/>
    <w:rsid w:val="00D44C0D"/>
    <w:rsid w:val="00D44D7B"/>
    <w:rsid w:val="00D45431"/>
    <w:rsid w:val="00D4569F"/>
    <w:rsid w:val="00D459BC"/>
    <w:rsid w:val="00D45A97"/>
    <w:rsid w:val="00D460E0"/>
    <w:rsid w:val="00D4649D"/>
    <w:rsid w:val="00D4654D"/>
    <w:rsid w:val="00D46A17"/>
    <w:rsid w:val="00D46CFB"/>
    <w:rsid w:val="00D47510"/>
    <w:rsid w:val="00D478E0"/>
    <w:rsid w:val="00D47A1C"/>
    <w:rsid w:val="00D50068"/>
    <w:rsid w:val="00D50DDA"/>
    <w:rsid w:val="00D51503"/>
    <w:rsid w:val="00D515EE"/>
    <w:rsid w:val="00D516C6"/>
    <w:rsid w:val="00D518A6"/>
    <w:rsid w:val="00D51C11"/>
    <w:rsid w:val="00D524EF"/>
    <w:rsid w:val="00D526E1"/>
    <w:rsid w:val="00D52918"/>
    <w:rsid w:val="00D52B6A"/>
    <w:rsid w:val="00D52D3C"/>
    <w:rsid w:val="00D53160"/>
    <w:rsid w:val="00D53E79"/>
    <w:rsid w:val="00D53F15"/>
    <w:rsid w:val="00D54912"/>
    <w:rsid w:val="00D5514B"/>
    <w:rsid w:val="00D55338"/>
    <w:rsid w:val="00D55750"/>
    <w:rsid w:val="00D5599A"/>
    <w:rsid w:val="00D55B82"/>
    <w:rsid w:val="00D55C80"/>
    <w:rsid w:val="00D55FE8"/>
    <w:rsid w:val="00D566C9"/>
    <w:rsid w:val="00D56C2C"/>
    <w:rsid w:val="00D56F60"/>
    <w:rsid w:val="00D57B0F"/>
    <w:rsid w:val="00D57B71"/>
    <w:rsid w:val="00D57C35"/>
    <w:rsid w:val="00D57E88"/>
    <w:rsid w:val="00D60350"/>
    <w:rsid w:val="00D605D6"/>
    <w:rsid w:val="00D60A9E"/>
    <w:rsid w:val="00D60AE7"/>
    <w:rsid w:val="00D60C53"/>
    <w:rsid w:val="00D60CF7"/>
    <w:rsid w:val="00D60F3E"/>
    <w:rsid w:val="00D61437"/>
    <w:rsid w:val="00D616C8"/>
    <w:rsid w:val="00D616E4"/>
    <w:rsid w:val="00D6187B"/>
    <w:rsid w:val="00D61F3E"/>
    <w:rsid w:val="00D62BE9"/>
    <w:rsid w:val="00D6321F"/>
    <w:rsid w:val="00D632E8"/>
    <w:rsid w:val="00D63365"/>
    <w:rsid w:val="00D6370C"/>
    <w:rsid w:val="00D63C39"/>
    <w:rsid w:val="00D63CD0"/>
    <w:rsid w:val="00D63CE1"/>
    <w:rsid w:val="00D63D18"/>
    <w:rsid w:val="00D640DA"/>
    <w:rsid w:val="00D646CE"/>
    <w:rsid w:val="00D6494C"/>
    <w:rsid w:val="00D64A3A"/>
    <w:rsid w:val="00D64D78"/>
    <w:rsid w:val="00D65026"/>
    <w:rsid w:val="00D6535B"/>
    <w:rsid w:val="00D65557"/>
    <w:rsid w:val="00D6575D"/>
    <w:rsid w:val="00D657E8"/>
    <w:rsid w:val="00D657F1"/>
    <w:rsid w:val="00D65943"/>
    <w:rsid w:val="00D65AF5"/>
    <w:rsid w:val="00D6606D"/>
    <w:rsid w:val="00D66980"/>
    <w:rsid w:val="00D6794B"/>
    <w:rsid w:val="00D67B20"/>
    <w:rsid w:val="00D7003B"/>
    <w:rsid w:val="00D704E5"/>
    <w:rsid w:val="00D70662"/>
    <w:rsid w:val="00D707C1"/>
    <w:rsid w:val="00D707FA"/>
    <w:rsid w:val="00D70856"/>
    <w:rsid w:val="00D709E8"/>
    <w:rsid w:val="00D712A4"/>
    <w:rsid w:val="00D713F4"/>
    <w:rsid w:val="00D7150F"/>
    <w:rsid w:val="00D715BF"/>
    <w:rsid w:val="00D716B6"/>
    <w:rsid w:val="00D7172F"/>
    <w:rsid w:val="00D7178E"/>
    <w:rsid w:val="00D72EF1"/>
    <w:rsid w:val="00D73A84"/>
    <w:rsid w:val="00D73FE2"/>
    <w:rsid w:val="00D74158"/>
    <w:rsid w:val="00D74BD2"/>
    <w:rsid w:val="00D74D96"/>
    <w:rsid w:val="00D75002"/>
    <w:rsid w:val="00D75370"/>
    <w:rsid w:val="00D756EC"/>
    <w:rsid w:val="00D7588B"/>
    <w:rsid w:val="00D75C5C"/>
    <w:rsid w:val="00D76765"/>
    <w:rsid w:val="00D76846"/>
    <w:rsid w:val="00D76CAE"/>
    <w:rsid w:val="00D77057"/>
    <w:rsid w:val="00D7709B"/>
    <w:rsid w:val="00D779D8"/>
    <w:rsid w:val="00D77CDF"/>
    <w:rsid w:val="00D77D20"/>
    <w:rsid w:val="00D8041F"/>
    <w:rsid w:val="00D80492"/>
    <w:rsid w:val="00D80880"/>
    <w:rsid w:val="00D810FB"/>
    <w:rsid w:val="00D81359"/>
    <w:rsid w:val="00D81375"/>
    <w:rsid w:val="00D81428"/>
    <w:rsid w:val="00D831DE"/>
    <w:rsid w:val="00D83349"/>
    <w:rsid w:val="00D834CE"/>
    <w:rsid w:val="00D835C7"/>
    <w:rsid w:val="00D83997"/>
    <w:rsid w:val="00D84238"/>
    <w:rsid w:val="00D844F1"/>
    <w:rsid w:val="00D845D6"/>
    <w:rsid w:val="00D84DA6"/>
    <w:rsid w:val="00D85FD9"/>
    <w:rsid w:val="00D85FF1"/>
    <w:rsid w:val="00D868B9"/>
    <w:rsid w:val="00D86A8E"/>
    <w:rsid w:val="00D8724B"/>
    <w:rsid w:val="00D87628"/>
    <w:rsid w:val="00D87D93"/>
    <w:rsid w:val="00D87F43"/>
    <w:rsid w:val="00D87F94"/>
    <w:rsid w:val="00D90A19"/>
    <w:rsid w:val="00D91035"/>
    <w:rsid w:val="00D913F4"/>
    <w:rsid w:val="00D91EFB"/>
    <w:rsid w:val="00D91F41"/>
    <w:rsid w:val="00D92105"/>
    <w:rsid w:val="00D925C2"/>
    <w:rsid w:val="00D92924"/>
    <w:rsid w:val="00D92B81"/>
    <w:rsid w:val="00D92BA1"/>
    <w:rsid w:val="00D92D92"/>
    <w:rsid w:val="00D92F13"/>
    <w:rsid w:val="00D932F8"/>
    <w:rsid w:val="00D93585"/>
    <w:rsid w:val="00D9373C"/>
    <w:rsid w:val="00D93822"/>
    <w:rsid w:val="00D939CF"/>
    <w:rsid w:val="00D93CDD"/>
    <w:rsid w:val="00D9408E"/>
    <w:rsid w:val="00D949A0"/>
    <w:rsid w:val="00D94BAF"/>
    <w:rsid w:val="00D94BBC"/>
    <w:rsid w:val="00D95090"/>
    <w:rsid w:val="00D9529A"/>
    <w:rsid w:val="00D953E4"/>
    <w:rsid w:val="00D95866"/>
    <w:rsid w:val="00D9596C"/>
    <w:rsid w:val="00D95A99"/>
    <w:rsid w:val="00D95CE1"/>
    <w:rsid w:val="00D9603D"/>
    <w:rsid w:val="00D9622C"/>
    <w:rsid w:val="00D9629F"/>
    <w:rsid w:val="00D9657B"/>
    <w:rsid w:val="00D966F2"/>
    <w:rsid w:val="00D96D19"/>
    <w:rsid w:val="00D96D2F"/>
    <w:rsid w:val="00D971C1"/>
    <w:rsid w:val="00D97512"/>
    <w:rsid w:val="00D977FA"/>
    <w:rsid w:val="00D979DF"/>
    <w:rsid w:val="00D97B53"/>
    <w:rsid w:val="00D97F7E"/>
    <w:rsid w:val="00DA03C4"/>
    <w:rsid w:val="00DA060B"/>
    <w:rsid w:val="00DA1277"/>
    <w:rsid w:val="00DA1510"/>
    <w:rsid w:val="00DA1BB7"/>
    <w:rsid w:val="00DA1F01"/>
    <w:rsid w:val="00DA203A"/>
    <w:rsid w:val="00DA21A3"/>
    <w:rsid w:val="00DA2321"/>
    <w:rsid w:val="00DA23C1"/>
    <w:rsid w:val="00DA257B"/>
    <w:rsid w:val="00DA26D2"/>
    <w:rsid w:val="00DA29FA"/>
    <w:rsid w:val="00DA2B1B"/>
    <w:rsid w:val="00DA2F6B"/>
    <w:rsid w:val="00DA3353"/>
    <w:rsid w:val="00DA3457"/>
    <w:rsid w:val="00DA35F0"/>
    <w:rsid w:val="00DA3E1E"/>
    <w:rsid w:val="00DA40CE"/>
    <w:rsid w:val="00DA4377"/>
    <w:rsid w:val="00DA450D"/>
    <w:rsid w:val="00DA4BB1"/>
    <w:rsid w:val="00DA4E5E"/>
    <w:rsid w:val="00DA4F5A"/>
    <w:rsid w:val="00DA5345"/>
    <w:rsid w:val="00DA5574"/>
    <w:rsid w:val="00DA5746"/>
    <w:rsid w:val="00DA5FBB"/>
    <w:rsid w:val="00DA6454"/>
    <w:rsid w:val="00DA6479"/>
    <w:rsid w:val="00DA648D"/>
    <w:rsid w:val="00DA67BF"/>
    <w:rsid w:val="00DA6929"/>
    <w:rsid w:val="00DA6FF0"/>
    <w:rsid w:val="00DA7269"/>
    <w:rsid w:val="00DA7479"/>
    <w:rsid w:val="00DA7A41"/>
    <w:rsid w:val="00DA7B72"/>
    <w:rsid w:val="00DB009A"/>
    <w:rsid w:val="00DB0321"/>
    <w:rsid w:val="00DB0329"/>
    <w:rsid w:val="00DB03BE"/>
    <w:rsid w:val="00DB03FA"/>
    <w:rsid w:val="00DB0B34"/>
    <w:rsid w:val="00DB1A32"/>
    <w:rsid w:val="00DB1D6E"/>
    <w:rsid w:val="00DB2398"/>
    <w:rsid w:val="00DB2C5A"/>
    <w:rsid w:val="00DB2D19"/>
    <w:rsid w:val="00DB2F2D"/>
    <w:rsid w:val="00DB32CB"/>
    <w:rsid w:val="00DB36DA"/>
    <w:rsid w:val="00DB3A44"/>
    <w:rsid w:val="00DB52EC"/>
    <w:rsid w:val="00DB560F"/>
    <w:rsid w:val="00DB5C2B"/>
    <w:rsid w:val="00DB623F"/>
    <w:rsid w:val="00DB6C4A"/>
    <w:rsid w:val="00DB6CEC"/>
    <w:rsid w:val="00DB6FD5"/>
    <w:rsid w:val="00DB764E"/>
    <w:rsid w:val="00DB76C1"/>
    <w:rsid w:val="00DB76C5"/>
    <w:rsid w:val="00DB77A7"/>
    <w:rsid w:val="00DB77DC"/>
    <w:rsid w:val="00DB7F9A"/>
    <w:rsid w:val="00DC088E"/>
    <w:rsid w:val="00DC092D"/>
    <w:rsid w:val="00DC096E"/>
    <w:rsid w:val="00DC0982"/>
    <w:rsid w:val="00DC0CF7"/>
    <w:rsid w:val="00DC19FB"/>
    <w:rsid w:val="00DC1EFA"/>
    <w:rsid w:val="00DC2542"/>
    <w:rsid w:val="00DC270D"/>
    <w:rsid w:val="00DC2CE4"/>
    <w:rsid w:val="00DC3686"/>
    <w:rsid w:val="00DC3793"/>
    <w:rsid w:val="00DC3B77"/>
    <w:rsid w:val="00DC3E21"/>
    <w:rsid w:val="00DC4579"/>
    <w:rsid w:val="00DC4615"/>
    <w:rsid w:val="00DC4C63"/>
    <w:rsid w:val="00DC4F09"/>
    <w:rsid w:val="00DC5B67"/>
    <w:rsid w:val="00DC5BB9"/>
    <w:rsid w:val="00DC5F4F"/>
    <w:rsid w:val="00DC6182"/>
    <w:rsid w:val="00DC61D6"/>
    <w:rsid w:val="00DC684C"/>
    <w:rsid w:val="00DC68A8"/>
    <w:rsid w:val="00DC743E"/>
    <w:rsid w:val="00DC7AEA"/>
    <w:rsid w:val="00DD0406"/>
    <w:rsid w:val="00DD0BDA"/>
    <w:rsid w:val="00DD1342"/>
    <w:rsid w:val="00DD1416"/>
    <w:rsid w:val="00DD17F8"/>
    <w:rsid w:val="00DD1B19"/>
    <w:rsid w:val="00DD2BC4"/>
    <w:rsid w:val="00DD2EDE"/>
    <w:rsid w:val="00DD346C"/>
    <w:rsid w:val="00DD3865"/>
    <w:rsid w:val="00DD3F09"/>
    <w:rsid w:val="00DD4481"/>
    <w:rsid w:val="00DD4BAE"/>
    <w:rsid w:val="00DD4E34"/>
    <w:rsid w:val="00DD5E7F"/>
    <w:rsid w:val="00DD6127"/>
    <w:rsid w:val="00DD614F"/>
    <w:rsid w:val="00DD645A"/>
    <w:rsid w:val="00DD64AE"/>
    <w:rsid w:val="00DD64F7"/>
    <w:rsid w:val="00DD7159"/>
    <w:rsid w:val="00DD79D4"/>
    <w:rsid w:val="00DD7CE0"/>
    <w:rsid w:val="00DD7E51"/>
    <w:rsid w:val="00DE02E6"/>
    <w:rsid w:val="00DE0644"/>
    <w:rsid w:val="00DE0B5C"/>
    <w:rsid w:val="00DE0DDD"/>
    <w:rsid w:val="00DE0F9F"/>
    <w:rsid w:val="00DE14EB"/>
    <w:rsid w:val="00DE15F7"/>
    <w:rsid w:val="00DE165B"/>
    <w:rsid w:val="00DE1B01"/>
    <w:rsid w:val="00DE1C95"/>
    <w:rsid w:val="00DE1CEE"/>
    <w:rsid w:val="00DE2008"/>
    <w:rsid w:val="00DE25FC"/>
    <w:rsid w:val="00DE2971"/>
    <w:rsid w:val="00DE2B25"/>
    <w:rsid w:val="00DE2C67"/>
    <w:rsid w:val="00DE30F5"/>
    <w:rsid w:val="00DE3323"/>
    <w:rsid w:val="00DE349B"/>
    <w:rsid w:val="00DE35DA"/>
    <w:rsid w:val="00DE3863"/>
    <w:rsid w:val="00DE3D00"/>
    <w:rsid w:val="00DE3EED"/>
    <w:rsid w:val="00DE41EE"/>
    <w:rsid w:val="00DE4401"/>
    <w:rsid w:val="00DE47C0"/>
    <w:rsid w:val="00DE48C6"/>
    <w:rsid w:val="00DE4AA5"/>
    <w:rsid w:val="00DE4CD5"/>
    <w:rsid w:val="00DE523A"/>
    <w:rsid w:val="00DE5602"/>
    <w:rsid w:val="00DE573B"/>
    <w:rsid w:val="00DE5848"/>
    <w:rsid w:val="00DE5C0B"/>
    <w:rsid w:val="00DE5E1A"/>
    <w:rsid w:val="00DE60CC"/>
    <w:rsid w:val="00DE63BD"/>
    <w:rsid w:val="00DE6D58"/>
    <w:rsid w:val="00DE6E92"/>
    <w:rsid w:val="00DE73A8"/>
    <w:rsid w:val="00DE7E26"/>
    <w:rsid w:val="00DE7E90"/>
    <w:rsid w:val="00DE7FCE"/>
    <w:rsid w:val="00DF0391"/>
    <w:rsid w:val="00DF0671"/>
    <w:rsid w:val="00DF0C45"/>
    <w:rsid w:val="00DF0F92"/>
    <w:rsid w:val="00DF101D"/>
    <w:rsid w:val="00DF1CAB"/>
    <w:rsid w:val="00DF1DD5"/>
    <w:rsid w:val="00DF1EFA"/>
    <w:rsid w:val="00DF247B"/>
    <w:rsid w:val="00DF2567"/>
    <w:rsid w:val="00DF2D8A"/>
    <w:rsid w:val="00DF2EFB"/>
    <w:rsid w:val="00DF2F5D"/>
    <w:rsid w:val="00DF36B0"/>
    <w:rsid w:val="00DF36E2"/>
    <w:rsid w:val="00DF3ECD"/>
    <w:rsid w:val="00DF40BE"/>
    <w:rsid w:val="00DF43DE"/>
    <w:rsid w:val="00DF450A"/>
    <w:rsid w:val="00DF45A6"/>
    <w:rsid w:val="00DF50FD"/>
    <w:rsid w:val="00DF54FD"/>
    <w:rsid w:val="00DF61B3"/>
    <w:rsid w:val="00DF6218"/>
    <w:rsid w:val="00DF673A"/>
    <w:rsid w:val="00DF6994"/>
    <w:rsid w:val="00DF6AC5"/>
    <w:rsid w:val="00DF70CE"/>
    <w:rsid w:val="00DF76EF"/>
    <w:rsid w:val="00DF7809"/>
    <w:rsid w:val="00E0042A"/>
    <w:rsid w:val="00E00617"/>
    <w:rsid w:val="00E00790"/>
    <w:rsid w:val="00E007B2"/>
    <w:rsid w:val="00E00E01"/>
    <w:rsid w:val="00E00FCB"/>
    <w:rsid w:val="00E0123B"/>
    <w:rsid w:val="00E012B9"/>
    <w:rsid w:val="00E01FD4"/>
    <w:rsid w:val="00E02223"/>
    <w:rsid w:val="00E034A3"/>
    <w:rsid w:val="00E0430B"/>
    <w:rsid w:val="00E061FF"/>
    <w:rsid w:val="00E0628B"/>
    <w:rsid w:val="00E06A68"/>
    <w:rsid w:val="00E06CD3"/>
    <w:rsid w:val="00E06DA3"/>
    <w:rsid w:val="00E0747E"/>
    <w:rsid w:val="00E07862"/>
    <w:rsid w:val="00E07F6D"/>
    <w:rsid w:val="00E10352"/>
    <w:rsid w:val="00E11433"/>
    <w:rsid w:val="00E118D9"/>
    <w:rsid w:val="00E11BA2"/>
    <w:rsid w:val="00E11FD5"/>
    <w:rsid w:val="00E121E7"/>
    <w:rsid w:val="00E1257A"/>
    <w:rsid w:val="00E12F50"/>
    <w:rsid w:val="00E131BD"/>
    <w:rsid w:val="00E131D3"/>
    <w:rsid w:val="00E13CB3"/>
    <w:rsid w:val="00E13CB5"/>
    <w:rsid w:val="00E13D0B"/>
    <w:rsid w:val="00E141D7"/>
    <w:rsid w:val="00E14E20"/>
    <w:rsid w:val="00E156C8"/>
    <w:rsid w:val="00E157DA"/>
    <w:rsid w:val="00E15D7A"/>
    <w:rsid w:val="00E161BF"/>
    <w:rsid w:val="00E16298"/>
    <w:rsid w:val="00E16966"/>
    <w:rsid w:val="00E176B0"/>
    <w:rsid w:val="00E17714"/>
    <w:rsid w:val="00E17897"/>
    <w:rsid w:val="00E17BB4"/>
    <w:rsid w:val="00E17F23"/>
    <w:rsid w:val="00E20012"/>
    <w:rsid w:val="00E20600"/>
    <w:rsid w:val="00E20640"/>
    <w:rsid w:val="00E20738"/>
    <w:rsid w:val="00E208D9"/>
    <w:rsid w:val="00E20EF8"/>
    <w:rsid w:val="00E20F00"/>
    <w:rsid w:val="00E22300"/>
    <w:rsid w:val="00E22385"/>
    <w:rsid w:val="00E2258C"/>
    <w:rsid w:val="00E22C76"/>
    <w:rsid w:val="00E2324E"/>
    <w:rsid w:val="00E235A6"/>
    <w:rsid w:val="00E2366B"/>
    <w:rsid w:val="00E23BD7"/>
    <w:rsid w:val="00E243AF"/>
    <w:rsid w:val="00E24685"/>
    <w:rsid w:val="00E24856"/>
    <w:rsid w:val="00E249F3"/>
    <w:rsid w:val="00E24A45"/>
    <w:rsid w:val="00E24EFE"/>
    <w:rsid w:val="00E24F32"/>
    <w:rsid w:val="00E25607"/>
    <w:rsid w:val="00E25B1B"/>
    <w:rsid w:val="00E25B7F"/>
    <w:rsid w:val="00E25EEC"/>
    <w:rsid w:val="00E269EB"/>
    <w:rsid w:val="00E26A48"/>
    <w:rsid w:val="00E26AA0"/>
    <w:rsid w:val="00E2752F"/>
    <w:rsid w:val="00E27689"/>
    <w:rsid w:val="00E2775E"/>
    <w:rsid w:val="00E2795D"/>
    <w:rsid w:val="00E27B53"/>
    <w:rsid w:val="00E27BDC"/>
    <w:rsid w:val="00E27F42"/>
    <w:rsid w:val="00E27FDF"/>
    <w:rsid w:val="00E30772"/>
    <w:rsid w:val="00E30845"/>
    <w:rsid w:val="00E30B3D"/>
    <w:rsid w:val="00E30B93"/>
    <w:rsid w:val="00E30C98"/>
    <w:rsid w:val="00E311BD"/>
    <w:rsid w:val="00E3295E"/>
    <w:rsid w:val="00E3296A"/>
    <w:rsid w:val="00E32F29"/>
    <w:rsid w:val="00E334B8"/>
    <w:rsid w:val="00E33745"/>
    <w:rsid w:val="00E33A57"/>
    <w:rsid w:val="00E34B22"/>
    <w:rsid w:val="00E350CD"/>
    <w:rsid w:val="00E35176"/>
    <w:rsid w:val="00E353CD"/>
    <w:rsid w:val="00E3607C"/>
    <w:rsid w:val="00E36DCB"/>
    <w:rsid w:val="00E37022"/>
    <w:rsid w:val="00E371D2"/>
    <w:rsid w:val="00E375AA"/>
    <w:rsid w:val="00E37B1B"/>
    <w:rsid w:val="00E37B51"/>
    <w:rsid w:val="00E37B79"/>
    <w:rsid w:val="00E40081"/>
    <w:rsid w:val="00E400D5"/>
    <w:rsid w:val="00E40274"/>
    <w:rsid w:val="00E405B5"/>
    <w:rsid w:val="00E40A7A"/>
    <w:rsid w:val="00E41832"/>
    <w:rsid w:val="00E41852"/>
    <w:rsid w:val="00E4190D"/>
    <w:rsid w:val="00E41926"/>
    <w:rsid w:val="00E42975"/>
    <w:rsid w:val="00E4322B"/>
    <w:rsid w:val="00E433C1"/>
    <w:rsid w:val="00E4362E"/>
    <w:rsid w:val="00E43751"/>
    <w:rsid w:val="00E438A4"/>
    <w:rsid w:val="00E4391F"/>
    <w:rsid w:val="00E4418A"/>
    <w:rsid w:val="00E4534E"/>
    <w:rsid w:val="00E45A78"/>
    <w:rsid w:val="00E45C9D"/>
    <w:rsid w:val="00E45D48"/>
    <w:rsid w:val="00E45F8E"/>
    <w:rsid w:val="00E46442"/>
    <w:rsid w:val="00E4683B"/>
    <w:rsid w:val="00E47027"/>
    <w:rsid w:val="00E474F3"/>
    <w:rsid w:val="00E5002D"/>
    <w:rsid w:val="00E50034"/>
    <w:rsid w:val="00E502AA"/>
    <w:rsid w:val="00E50454"/>
    <w:rsid w:val="00E50792"/>
    <w:rsid w:val="00E510EB"/>
    <w:rsid w:val="00E52246"/>
    <w:rsid w:val="00E52298"/>
    <w:rsid w:val="00E522BB"/>
    <w:rsid w:val="00E52AE1"/>
    <w:rsid w:val="00E52CA6"/>
    <w:rsid w:val="00E52D27"/>
    <w:rsid w:val="00E53776"/>
    <w:rsid w:val="00E538A2"/>
    <w:rsid w:val="00E538DA"/>
    <w:rsid w:val="00E540E2"/>
    <w:rsid w:val="00E54150"/>
    <w:rsid w:val="00E546FE"/>
    <w:rsid w:val="00E54856"/>
    <w:rsid w:val="00E54BFD"/>
    <w:rsid w:val="00E551DE"/>
    <w:rsid w:val="00E55462"/>
    <w:rsid w:val="00E557C1"/>
    <w:rsid w:val="00E55BD5"/>
    <w:rsid w:val="00E55F94"/>
    <w:rsid w:val="00E56CD4"/>
    <w:rsid w:val="00E57815"/>
    <w:rsid w:val="00E57B14"/>
    <w:rsid w:val="00E600BF"/>
    <w:rsid w:val="00E60462"/>
    <w:rsid w:val="00E60A28"/>
    <w:rsid w:val="00E6184A"/>
    <w:rsid w:val="00E61D12"/>
    <w:rsid w:val="00E61E32"/>
    <w:rsid w:val="00E621BE"/>
    <w:rsid w:val="00E6238C"/>
    <w:rsid w:val="00E6309D"/>
    <w:rsid w:val="00E63A25"/>
    <w:rsid w:val="00E63CDB"/>
    <w:rsid w:val="00E645E2"/>
    <w:rsid w:val="00E646EF"/>
    <w:rsid w:val="00E648C2"/>
    <w:rsid w:val="00E64967"/>
    <w:rsid w:val="00E65E4F"/>
    <w:rsid w:val="00E65E54"/>
    <w:rsid w:val="00E66010"/>
    <w:rsid w:val="00E66795"/>
    <w:rsid w:val="00E66D47"/>
    <w:rsid w:val="00E66EF9"/>
    <w:rsid w:val="00E670C1"/>
    <w:rsid w:val="00E674C6"/>
    <w:rsid w:val="00E678B6"/>
    <w:rsid w:val="00E67E75"/>
    <w:rsid w:val="00E67EF3"/>
    <w:rsid w:val="00E70862"/>
    <w:rsid w:val="00E70A50"/>
    <w:rsid w:val="00E70F3C"/>
    <w:rsid w:val="00E71338"/>
    <w:rsid w:val="00E715E8"/>
    <w:rsid w:val="00E71B51"/>
    <w:rsid w:val="00E71CA9"/>
    <w:rsid w:val="00E72167"/>
    <w:rsid w:val="00E73466"/>
    <w:rsid w:val="00E7397D"/>
    <w:rsid w:val="00E73CFB"/>
    <w:rsid w:val="00E74102"/>
    <w:rsid w:val="00E743E7"/>
    <w:rsid w:val="00E74C87"/>
    <w:rsid w:val="00E74E11"/>
    <w:rsid w:val="00E753D6"/>
    <w:rsid w:val="00E75651"/>
    <w:rsid w:val="00E7595F"/>
    <w:rsid w:val="00E75B4D"/>
    <w:rsid w:val="00E75E16"/>
    <w:rsid w:val="00E75E71"/>
    <w:rsid w:val="00E76084"/>
    <w:rsid w:val="00E761E5"/>
    <w:rsid w:val="00E762A2"/>
    <w:rsid w:val="00E76331"/>
    <w:rsid w:val="00E76780"/>
    <w:rsid w:val="00E76916"/>
    <w:rsid w:val="00E76D28"/>
    <w:rsid w:val="00E7748D"/>
    <w:rsid w:val="00E77670"/>
    <w:rsid w:val="00E779AD"/>
    <w:rsid w:val="00E77B55"/>
    <w:rsid w:val="00E8026A"/>
    <w:rsid w:val="00E80D06"/>
    <w:rsid w:val="00E813E6"/>
    <w:rsid w:val="00E8143D"/>
    <w:rsid w:val="00E81460"/>
    <w:rsid w:val="00E81635"/>
    <w:rsid w:val="00E81647"/>
    <w:rsid w:val="00E817B4"/>
    <w:rsid w:val="00E81822"/>
    <w:rsid w:val="00E81918"/>
    <w:rsid w:val="00E81E78"/>
    <w:rsid w:val="00E823F5"/>
    <w:rsid w:val="00E82576"/>
    <w:rsid w:val="00E82CA0"/>
    <w:rsid w:val="00E83060"/>
    <w:rsid w:val="00E834E5"/>
    <w:rsid w:val="00E837D0"/>
    <w:rsid w:val="00E837E6"/>
    <w:rsid w:val="00E8393A"/>
    <w:rsid w:val="00E84194"/>
    <w:rsid w:val="00E8445C"/>
    <w:rsid w:val="00E845EA"/>
    <w:rsid w:val="00E84C24"/>
    <w:rsid w:val="00E85721"/>
    <w:rsid w:val="00E860FE"/>
    <w:rsid w:val="00E868A2"/>
    <w:rsid w:val="00E86B56"/>
    <w:rsid w:val="00E86B60"/>
    <w:rsid w:val="00E86BC9"/>
    <w:rsid w:val="00E86E9C"/>
    <w:rsid w:val="00E86F98"/>
    <w:rsid w:val="00E872F7"/>
    <w:rsid w:val="00E878E0"/>
    <w:rsid w:val="00E87DE6"/>
    <w:rsid w:val="00E87FF6"/>
    <w:rsid w:val="00E9033B"/>
    <w:rsid w:val="00E90408"/>
    <w:rsid w:val="00E906B2"/>
    <w:rsid w:val="00E91699"/>
    <w:rsid w:val="00E917EE"/>
    <w:rsid w:val="00E9202F"/>
    <w:rsid w:val="00E9247C"/>
    <w:rsid w:val="00E92A92"/>
    <w:rsid w:val="00E934A9"/>
    <w:rsid w:val="00E93AC2"/>
    <w:rsid w:val="00E93B4B"/>
    <w:rsid w:val="00E93C24"/>
    <w:rsid w:val="00E93D59"/>
    <w:rsid w:val="00E93E84"/>
    <w:rsid w:val="00E93FD3"/>
    <w:rsid w:val="00E94007"/>
    <w:rsid w:val="00E94D83"/>
    <w:rsid w:val="00E95071"/>
    <w:rsid w:val="00E95CE5"/>
    <w:rsid w:val="00E95E7C"/>
    <w:rsid w:val="00E95E7E"/>
    <w:rsid w:val="00E9663B"/>
    <w:rsid w:val="00E966EF"/>
    <w:rsid w:val="00E9676C"/>
    <w:rsid w:val="00E9684C"/>
    <w:rsid w:val="00E968BB"/>
    <w:rsid w:val="00E96962"/>
    <w:rsid w:val="00E96CDE"/>
    <w:rsid w:val="00E96F26"/>
    <w:rsid w:val="00E977BB"/>
    <w:rsid w:val="00E97AF4"/>
    <w:rsid w:val="00EA02A9"/>
    <w:rsid w:val="00EA07C1"/>
    <w:rsid w:val="00EA0922"/>
    <w:rsid w:val="00EA0EF5"/>
    <w:rsid w:val="00EA1410"/>
    <w:rsid w:val="00EA16FD"/>
    <w:rsid w:val="00EA2024"/>
    <w:rsid w:val="00EA21A5"/>
    <w:rsid w:val="00EA23D7"/>
    <w:rsid w:val="00EA288B"/>
    <w:rsid w:val="00EA28F4"/>
    <w:rsid w:val="00EA2FE1"/>
    <w:rsid w:val="00EA31FE"/>
    <w:rsid w:val="00EA33BC"/>
    <w:rsid w:val="00EA3953"/>
    <w:rsid w:val="00EA39B7"/>
    <w:rsid w:val="00EA3BF7"/>
    <w:rsid w:val="00EA3D2B"/>
    <w:rsid w:val="00EA3DA2"/>
    <w:rsid w:val="00EA4169"/>
    <w:rsid w:val="00EA4DFB"/>
    <w:rsid w:val="00EA4EE2"/>
    <w:rsid w:val="00EA6176"/>
    <w:rsid w:val="00EA61F5"/>
    <w:rsid w:val="00EA6B96"/>
    <w:rsid w:val="00EA6CBF"/>
    <w:rsid w:val="00EA745C"/>
    <w:rsid w:val="00EA76A3"/>
    <w:rsid w:val="00EA7CC5"/>
    <w:rsid w:val="00EA7F3F"/>
    <w:rsid w:val="00EB0191"/>
    <w:rsid w:val="00EB0467"/>
    <w:rsid w:val="00EB0B54"/>
    <w:rsid w:val="00EB0E72"/>
    <w:rsid w:val="00EB1515"/>
    <w:rsid w:val="00EB15BE"/>
    <w:rsid w:val="00EB1C54"/>
    <w:rsid w:val="00EB2167"/>
    <w:rsid w:val="00EB2296"/>
    <w:rsid w:val="00EB2539"/>
    <w:rsid w:val="00EB2EB3"/>
    <w:rsid w:val="00EB320D"/>
    <w:rsid w:val="00EB3507"/>
    <w:rsid w:val="00EB35FD"/>
    <w:rsid w:val="00EB3731"/>
    <w:rsid w:val="00EB37C2"/>
    <w:rsid w:val="00EB37D2"/>
    <w:rsid w:val="00EB387E"/>
    <w:rsid w:val="00EB3BF0"/>
    <w:rsid w:val="00EB3C76"/>
    <w:rsid w:val="00EB3EBD"/>
    <w:rsid w:val="00EB3FF1"/>
    <w:rsid w:val="00EB44AD"/>
    <w:rsid w:val="00EB49B7"/>
    <w:rsid w:val="00EB4AFA"/>
    <w:rsid w:val="00EB4FF8"/>
    <w:rsid w:val="00EB50CD"/>
    <w:rsid w:val="00EB580A"/>
    <w:rsid w:val="00EB589F"/>
    <w:rsid w:val="00EB637A"/>
    <w:rsid w:val="00EB6382"/>
    <w:rsid w:val="00EB678D"/>
    <w:rsid w:val="00EB6E97"/>
    <w:rsid w:val="00EB739B"/>
    <w:rsid w:val="00EB7456"/>
    <w:rsid w:val="00EB7560"/>
    <w:rsid w:val="00EB7E28"/>
    <w:rsid w:val="00EB7FCF"/>
    <w:rsid w:val="00EC08E6"/>
    <w:rsid w:val="00EC1152"/>
    <w:rsid w:val="00EC181F"/>
    <w:rsid w:val="00EC1DD2"/>
    <w:rsid w:val="00EC26CF"/>
    <w:rsid w:val="00EC2EB8"/>
    <w:rsid w:val="00EC3826"/>
    <w:rsid w:val="00EC3B50"/>
    <w:rsid w:val="00EC3F4E"/>
    <w:rsid w:val="00EC428E"/>
    <w:rsid w:val="00EC4382"/>
    <w:rsid w:val="00EC43DC"/>
    <w:rsid w:val="00EC60BC"/>
    <w:rsid w:val="00EC622A"/>
    <w:rsid w:val="00EC6327"/>
    <w:rsid w:val="00EC63A7"/>
    <w:rsid w:val="00EC63CF"/>
    <w:rsid w:val="00EC672A"/>
    <w:rsid w:val="00EC6EB7"/>
    <w:rsid w:val="00EC7922"/>
    <w:rsid w:val="00EC79FC"/>
    <w:rsid w:val="00ED0095"/>
    <w:rsid w:val="00ED03EA"/>
    <w:rsid w:val="00ED072F"/>
    <w:rsid w:val="00ED0895"/>
    <w:rsid w:val="00ED0A42"/>
    <w:rsid w:val="00ED0A55"/>
    <w:rsid w:val="00ED0CDB"/>
    <w:rsid w:val="00ED0D88"/>
    <w:rsid w:val="00ED161B"/>
    <w:rsid w:val="00ED1E70"/>
    <w:rsid w:val="00ED2021"/>
    <w:rsid w:val="00ED233D"/>
    <w:rsid w:val="00ED287A"/>
    <w:rsid w:val="00ED30A8"/>
    <w:rsid w:val="00ED3436"/>
    <w:rsid w:val="00ED3523"/>
    <w:rsid w:val="00ED3C26"/>
    <w:rsid w:val="00ED3E21"/>
    <w:rsid w:val="00ED414A"/>
    <w:rsid w:val="00ED4851"/>
    <w:rsid w:val="00ED4918"/>
    <w:rsid w:val="00ED4B43"/>
    <w:rsid w:val="00ED50F8"/>
    <w:rsid w:val="00ED511E"/>
    <w:rsid w:val="00ED5791"/>
    <w:rsid w:val="00ED611B"/>
    <w:rsid w:val="00ED61FE"/>
    <w:rsid w:val="00ED656E"/>
    <w:rsid w:val="00ED6A10"/>
    <w:rsid w:val="00ED6A35"/>
    <w:rsid w:val="00ED6A8E"/>
    <w:rsid w:val="00ED6BCD"/>
    <w:rsid w:val="00ED791F"/>
    <w:rsid w:val="00ED7E69"/>
    <w:rsid w:val="00EE0B6E"/>
    <w:rsid w:val="00EE111B"/>
    <w:rsid w:val="00EE1180"/>
    <w:rsid w:val="00EE14CA"/>
    <w:rsid w:val="00EE1B4C"/>
    <w:rsid w:val="00EE1ECE"/>
    <w:rsid w:val="00EE2105"/>
    <w:rsid w:val="00EE280A"/>
    <w:rsid w:val="00EE2ACB"/>
    <w:rsid w:val="00EE2C55"/>
    <w:rsid w:val="00EE2D14"/>
    <w:rsid w:val="00EE2DFE"/>
    <w:rsid w:val="00EE30A1"/>
    <w:rsid w:val="00EE31A8"/>
    <w:rsid w:val="00EE33A2"/>
    <w:rsid w:val="00EE3B61"/>
    <w:rsid w:val="00EE3F4F"/>
    <w:rsid w:val="00EE414D"/>
    <w:rsid w:val="00EE4813"/>
    <w:rsid w:val="00EE4896"/>
    <w:rsid w:val="00EE4E05"/>
    <w:rsid w:val="00EE506B"/>
    <w:rsid w:val="00EE5471"/>
    <w:rsid w:val="00EE569E"/>
    <w:rsid w:val="00EE648B"/>
    <w:rsid w:val="00EE6652"/>
    <w:rsid w:val="00EE6994"/>
    <w:rsid w:val="00EE6D57"/>
    <w:rsid w:val="00EE6F21"/>
    <w:rsid w:val="00EE6FD8"/>
    <w:rsid w:val="00EE72B9"/>
    <w:rsid w:val="00EE7B9B"/>
    <w:rsid w:val="00EF09BD"/>
    <w:rsid w:val="00EF16FD"/>
    <w:rsid w:val="00EF18BE"/>
    <w:rsid w:val="00EF19C5"/>
    <w:rsid w:val="00EF1A70"/>
    <w:rsid w:val="00EF2102"/>
    <w:rsid w:val="00EF26CD"/>
    <w:rsid w:val="00EF29BA"/>
    <w:rsid w:val="00EF3375"/>
    <w:rsid w:val="00EF33FA"/>
    <w:rsid w:val="00EF3BAD"/>
    <w:rsid w:val="00EF3BF6"/>
    <w:rsid w:val="00EF4335"/>
    <w:rsid w:val="00EF4A03"/>
    <w:rsid w:val="00EF4D7C"/>
    <w:rsid w:val="00EF4D85"/>
    <w:rsid w:val="00EF4E15"/>
    <w:rsid w:val="00EF584E"/>
    <w:rsid w:val="00EF5913"/>
    <w:rsid w:val="00EF5AB0"/>
    <w:rsid w:val="00EF5B83"/>
    <w:rsid w:val="00EF5F06"/>
    <w:rsid w:val="00EF6616"/>
    <w:rsid w:val="00EF6D3D"/>
    <w:rsid w:val="00EF7217"/>
    <w:rsid w:val="00EF75E0"/>
    <w:rsid w:val="00EF789E"/>
    <w:rsid w:val="00EF7C67"/>
    <w:rsid w:val="00F00113"/>
    <w:rsid w:val="00F005A7"/>
    <w:rsid w:val="00F00E98"/>
    <w:rsid w:val="00F01489"/>
    <w:rsid w:val="00F01864"/>
    <w:rsid w:val="00F01ED1"/>
    <w:rsid w:val="00F02106"/>
    <w:rsid w:val="00F0210C"/>
    <w:rsid w:val="00F0255C"/>
    <w:rsid w:val="00F0282A"/>
    <w:rsid w:val="00F0285B"/>
    <w:rsid w:val="00F02883"/>
    <w:rsid w:val="00F02F5A"/>
    <w:rsid w:val="00F02F99"/>
    <w:rsid w:val="00F034AC"/>
    <w:rsid w:val="00F03632"/>
    <w:rsid w:val="00F03821"/>
    <w:rsid w:val="00F03864"/>
    <w:rsid w:val="00F03949"/>
    <w:rsid w:val="00F03997"/>
    <w:rsid w:val="00F03C78"/>
    <w:rsid w:val="00F0443F"/>
    <w:rsid w:val="00F044C9"/>
    <w:rsid w:val="00F04FE6"/>
    <w:rsid w:val="00F05190"/>
    <w:rsid w:val="00F053AC"/>
    <w:rsid w:val="00F0590C"/>
    <w:rsid w:val="00F05BA7"/>
    <w:rsid w:val="00F060AE"/>
    <w:rsid w:val="00F0617C"/>
    <w:rsid w:val="00F06AA8"/>
    <w:rsid w:val="00F06EB0"/>
    <w:rsid w:val="00F100D5"/>
    <w:rsid w:val="00F1031F"/>
    <w:rsid w:val="00F105B2"/>
    <w:rsid w:val="00F10750"/>
    <w:rsid w:val="00F10FA9"/>
    <w:rsid w:val="00F1118E"/>
    <w:rsid w:val="00F11376"/>
    <w:rsid w:val="00F113AA"/>
    <w:rsid w:val="00F11496"/>
    <w:rsid w:val="00F11865"/>
    <w:rsid w:val="00F11939"/>
    <w:rsid w:val="00F11BE5"/>
    <w:rsid w:val="00F121D0"/>
    <w:rsid w:val="00F124D9"/>
    <w:rsid w:val="00F12CAF"/>
    <w:rsid w:val="00F13BFF"/>
    <w:rsid w:val="00F13FD3"/>
    <w:rsid w:val="00F1465D"/>
    <w:rsid w:val="00F15526"/>
    <w:rsid w:val="00F15E54"/>
    <w:rsid w:val="00F160E3"/>
    <w:rsid w:val="00F161A7"/>
    <w:rsid w:val="00F166E3"/>
    <w:rsid w:val="00F16823"/>
    <w:rsid w:val="00F16C9D"/>
    <w:rsid w:val="00F17514"/>
    <w:rsid w:val="00F175C8"/>
    <w:rsid w:val="00F20056"/>
    <w:rsid w:val="00F20760"/>
    <w:rsid w:val="00F20CA9"/>
    <w:rsid w:val="00F20D70"/>
    <w:rsid w:val="00F215D8"/>
    <w:rsid w:val="00F2194E"/>
    <w:rsid w:val="00F226F9"/>
    <w:rsid w:val="00F22D28"/>
    <w:rsid w:val="00F22F54"/>
    <w:rsid w:val="00F234A2"/>
    <w:rsid w:val="00F240A1"/>
    <w:rsid w:val="00F240C9"/>
    <w:rsid w:val="00F24348"/>
    <w:rsid w:val="00F246AF"/>
    <w:rsid w:val="00F2476D"/>
    <w:rsid w:val="00F24FFD"/>
    <w:rsid w:val="00F265C8"/>
    <w:rsid w:val="00F265ED"/>
    <w:rsid w:val="00F269BB"/>
    <w:rsid w:val="00F26CF1"/>
    <w:rsid w:val="00F27351"/>
    <w:rsid w:val="00F27454"/>
    <w:rsid w:val="00F274A6"/>
    <w:rsid w:val="00F27892"/>
    <w:rsid w:val="00F27A5B"/>
    <w:rsid w:val="00F27C8A"/>
    <w:rsid w:val="00F27C94"/>
    <w:rsid w:val="00F30821"/>
    <w:rsid w:val="00F308BC"/>
    <w:rsid w:val="00F30934"/>
    <w:rsid w:val="00F30B8E"/>
    <w:rsid w:val="00F30BED"/>
    <w:rsid w:val="00F30D39"/>
    <w:rsid w:val="00F30E0A"/>
    <w:rsid w:val="00F30F5D"/>
    <w:rsid w:val="00F31251"/>
    <w:rsid w:val="00F31774"/>
    <w:rsid w:val="00F31C0A"/>
    <w:rsid w:val="00F336A3"/>
    <w:rsid w:val="00F338D7"/>
    <w:rsid w:val="00F338FC"/>
    <w:rsid w:val="00F33CA5"/>
    <w:rsid w:val="00F33E40"/>
    <w:rsid w:val="00F3403D"/>
    <w:rsid w:val="00F34377"/>
    <w:rsid w:val="00F34414"/>
    <w:rsid w:val="00F34641"/>
    <w:rsid w:val="00F346AD"/>
    <w:rsid w:val="00F34C35"/>
    <w:rsid w:val="00F34FA9"/>
    <w:rsid w:val="00F351B9"/>
    <w:rsid w:val="00F359B2"/>
    <w:rsid w:val="00F359B6"/>
    <w:rsid w:val="00F35A64"/>
    <w:rsid w:val="00F35AFF"/>
    <w:rsid w:val="00F35BEA"/>
    <w:rsid w:val="00F35C97"/>
    <w:rsid w:val="00F35CBC"/>
    <w:rsid w:val="00F35EFE"/>
    <w:rsid w:val="00F36082"/>
    <w:rsid w:val="00F361B1"/>
    <w:rsid w:val="00F36295"/>
    <w:rsid w:val="00F3659B"/>
    <w:rsid w:val="00F3664F"/>
    <w:rsid w:val="00F3683B"/>
    <w:rsid w:val="00F36B04"/>
    <w:rsid w:val="00F36B5F"/>
    <w:rsid w:val="00F36D35"/>
    <w:rsid w:val="00F374A5"/>
    <w:rsid w:val="00F37517"/>
    <w:rsid w:val="00F37CAA"/>
    <w:rsid w:val="00F40132"/>
    <w:rsid w:val="00F4038F"/>
    <w:rsid w:val="00F40DB7"/>
    <w:rsid w:val="00F40EA6"/>
    <w:rsid w:val="00F41C6A"/>
    <w:rsid w:val="00F41EFC"/>
    <w:rsid w:val="00F422B8"/>
    <w:rsid w:val="00F42566"/>
    <w:rsid w:val="00F42AE5"/>
    <w:rsid w:val="00F42C81"/>
    <w:rsid w:val="00F42DE7"/>
    <w:rsid w:val="00F42FFE"/>
    <w:rsid w:val="00F43084"/>
    <w:rsid w:val="00F4319A"/>
    <w:rsid w:val="00F4373E"/>
    <w:rsid w:val="00F43DDC"/>
    <w:rsid w:val="00F43FB1"/>
    <w:rsid w:val="00F44170"/>
    <w:rsid w:val="00F4427F"/>
    <w:rsid w:val="00F443FF"/>
    <w:rsid w:val="00F44DB2"/>
    <w:rsid w:val="00F44E35"/>
    <w:rsid w:val="00F4537B"/>
    <w:rsid w:val="00F45759"/>
    <w:rsid w:val="00F45A7B"/>
    <w:rsid w:val="00F4698E"/>
    <w:rsid w:val="00F4786D"/>
    <w:rsid w:val="00F47ED1"/>
    <w:rsid w:val="00F50430"/>
    <w:rsid w:val="00F5127B"/>
    <w:rsid w:val="00F5139B"/>
    <w:rsid w:val="00F5146E"/>
    <w:rsid w:val="00F514FB"/>
    <w:rsid w:val="00F5185C"/>
    <w:rsid w:val="00F51D38"/>
    <w:rsid w:val="00F5205D"/>
    <w:rsid w:val="00F52286"/>
    <w:rsid w:val="00F527A1"/>
    <w:rsid w:val="00F527FE"/>
    <w:rsid w:val="00F531F9"/>
    <w:rsid w:val="00F53780"/>
    <w:rsid w:val="00F53904"/>
    <w:rsid w:val="00F54811"/>
    <w:rsid w:val="00F5498D"/>
    <w:rsid w:val="00F55143"/>
    <w:rsid w:val="00F551EF"/>
    <w:rsid w:val="00F55224"/>
    <w:rsid w:val="00F5581D"/>
    <w:rsid w:val="00F558C7"/>
    <w:rsid w:val="00F55B01"/>
    <w:rsid w:val="00F55CBB"/>
    <w:rsid w:val="00F55E64"/>
    <w:rsid w:val="00F56667"/>
    <w:rsid w:val="00F566A4"/>
    <w:rsid w:val="00F56E73"/>
    <w:rsid w:val="00F576BE"/>
    <w:rsid w:val="00F57ACC"/>
    <w:rsid w:val="00F57B41"/>
    <w:rsid w:val="00F57D10"/>
    <w:rsid w:val="00F6031E"/>
    <w:rsid w:val="00F60B45"/>
    <w:rsid w:val="00F6143E"/>
    <w:rsid w:val="00F62765"/>
    <w:rsid w:val="00F6383E"/>
    <w:rsid w:val="00F63A63"/>
    <w:rsid w:val="00F63C36"/>
    <w:rsid w:val="00F63D5E"/>
    <w:rsid w:val="00F64098"/>
    <w:rsid w:val="00F64454"/>
    <w:rsid w:val="00F6469B"/>
    <w:rsid w:val="00F64E01"/>
    <w:rsid w:val="00F64FC1"/>
    <w:rsid w:val="00F65482"/>
    <w:rsid w:val="00F661E5"/>
    <w:rsid w:val="00F665CE"/>
    <w:rsid w:val="00F6699B"/>
    <w:rsid w:val="00F66C72"/>
    <w:rsid w:val="00F66CDD"/>
    <w:rsid w:val="00F66EB2"/>
    <w:rsid w:val="00F66F93"/>
    <w:rsid w:val="00F67DAF"/>
    <w:rsid w:val="00F70319"/>
    <w:rsid w:val="00F7050A"/>
    <w:rsid w:val="00F709B6"/>
    <w:rsid w:val="00F70DBD"/>
    <w:rsid w:val="00F71255"/>
    <w:rsid w:val="00F714BC"/>
    <w:rsid w:val="00F720E5"/>
    <w:rsid w:val="00F7216F"/>
    <w:rsid w:val="00F72567"/>
    <w:rsid w:val="00F72FBC"/>
    <w:rsid w:val="00F73301"/>
    <w:rsid w:val="00F735BC"/>
    <w:rsid w:val="00F736D6"/>
    <w:rsid w:val="00F73AA7"/>
    <w:rsid w:val="00F73CC1"/>
    <w:rsid w:val="00F73F58"/>
    <w:rsid w:val="00F74559"/>
    <w:rsid w:val="00F74827"/>
    <w:rsid w:val="00F7485D"/>
    <w:rsid w:val="00F75268"/>
    <w:rsid w:val="00F75B90"/>
    <w:rsid w:val="00F76404"/>
    <w:rsid w:val="00F7641D"/>
    <w:rsid w:val="00F76F04"/>
    <w:rsid w:val="00F7725B"/>
    <w:rsid w:val="00F77270"/>
    <w:rsid w:val="00F77466"/>
    <w:rsid w:val="00F803AD"/>
    <w:rsid w:val="00F8078D"/>
    <w:rsid w:val="00F80832"/>
    <w:rsid w:val="00F8151F"/>
    <w:rsid w:val="00F817DF"/>
    <w:rsid w:val="00F818BF"/>
    <w:rsid w:val="00F81A45"/>
    <w:rsid w:val="00F81D49"/>
    <w:rsid w:val="00F81E21"/>
    <w:rsid w:val="00F81EB4"/>
    <w:rsid w:val="00F8242A"/>
    <w:rsid w:val="00F82A53"/>
    <w:rsid w:val="00F83032"/>
    <w:rsid w:val="00F836FB"/>
    <w:rsid w:val="00F83C51"/>
    <w:rsid w:val="00F83C5C"/>
    <w:rsid w:val="00F83D77"/>
    <w:rsid w:val="00F83D87"/>
    <w:rsid w:val="00F83DF3"/>
    <w:rsid w:val="00F8476B"/>
    <w:rsid w:val="00F849A8"/>
    <w:rsid w:val="00F849E7"/>
    <w:rsid w:val="00F84FE4"/>
    <w:rsid w:val="00F8540E"/>
    <w:rsid w:val="00F85E93"/>
    <w:rsid w:val="00F85EB0"/>
    <w:rsid w:val="00F86243"/>
    <w:rsid w:val="00F863FE"/>
    <w:rsid w:val="00F87832"/>
    <w:rsid w:val="00F87956"/>
    <w:rsid w:val="00F900AC"/>
    <w:rsid w:val="00F900C8"/>
    <w:rsid w:val="00F90915"/>
    <w:rsid w:val="00F90ABA"/>
    <w:rsid w:val="00F90F8D"/>
    <w:rsid w:val="00F90FB6"/>
    <w:rsid w:val="00F91227"/>
    <w:rsid w:val="00F913A8"/>
    <w:rsid w:val="00F91517"/>
    <w:rsid w:val="00F91662"/>
    <w:rsid w:val="00F9195D"/>
    <w:rsid w:val="00F91AC8"/>
    <w:rsid w:val="00F92377"/>
    <w:rsid w:val="00F92A12"/>
    <w:rsid w:val="00F92E1D"/>
    <w:rsid w:val="00F92ECC"/>
    <w:rsid w:val="00F93367"/>
    <w:rsid w:val="00F93CF1"/>
    <w:rsid w:val="00F93D50"/>
    <w:rsid w:val="00F9404E"/>
    <w:rsid w:val="00F9463F"/>
    <w:rsid w:val="00F946B6"/>
    <w:rsid w:val="00F94D8E"/>
    <w:rsid w:val="00F95152"/>
    <w:rsid w:val="00F953E0"/>
    <w:rsid w:val="00F95518"/>
    <w:rsid w:val="00F95A62"/>
    <w:rsid w:val="00F95C4D"/>
    <w:rsid w:val="00F966C0"/>
    <w:rsid w:val="00F975CB"/>
    <w:rsid w:val="00F97880"/>
    <w:rsid w:val="00F978CE"/>
    <w:rsid w:val="00F978F9"/>
    <w:rsid w:val="00F97C4C"/>
    <w:rsid w:val="00F97DEE"/>
    <w:rsid w:val="00F97DFB"/>
    <w:rsid w:val="00F97E51"/>
    <w:rsid w:val="00FA0089"/>
    <w:rsid w:val="00FA0F26"/>
    <w:rsid w:val="00FA1321"/>
    <w:rsid w:val="00FA19E7"/>
    <w:rsid w:val="00FA1BA4"/>
    <w:rsid w:val="00FA25DE"/>
    <w:rsid w:val="00FA2E5F"/>
    <w:rsid w:val="00FA3A62"/>
    <w:rsid w:val="00FA4460"/>
    <w:rsid w:val="00FA4726"/>
    <w:rsid w:val="00FA5351"/>
    <w:rsid w:val="00FA5AC4"/>
    <w:rsid w:val="00FA5BBB"/>
    <w:rsid w:val="00FA603C"/>
    <w:rsid w:val="00FA60B8"/>
    <w:rsid w:val="00FA6DBC"/>
    <w:rsid w:val="00FA7414"/>
    <w:rsid w:val="00FA7FE6"/>
    <w:rsid w:val="00FB0434"/>
    <w:rsid w:val="00FB0A8D"/>
    <w:rsid w:val="00FB0B60"/>
    <w:rsid w:val="00FB0FC0"/>
    <w:rsid w:val="00FB12EC"/>
    <w:rsid w:val="00FB135A"/>
    <w:rsid w:val="00FB13A7"/>
    <w:rsid w:val="00FB17AD"/>
    <w:rsid w:val="00FB2058"/>
    <w:rsid w:val="00FB2308"/>
    <w:rsid w:val="00FB2BA5"/>
    <w:rsid w:val="00FB3347"/>
    <w:rsid w:val="00FB34AB"/>
    <w:rsid w:val="00FB3971"/>
    <w:rsid w:val="00FB3E2C"/>
    <w:rsid w:val="00FB4901"/>
    <w:rsid w:val="00FB4C6A"/>
    <w:rsid w:val="00FB5094"/>
    <w:rsid w:val="00FB52B4"/>
    <w:rsid w:val="00FB52E5"/>
    <w:rsid w:val="00FB53F6"/>
    <w:rsid w:val="00FB5A50"/>
    <w:rsid w:val="00FB5A92"/>
    <w:rsid w:val="00FB5DD3"/>
    <w:rsid w:val="00FB5F39"/>
    <w:rsid w:val="00FB5FDB"/>
    <w:rsid w:val="00FB64EF"/>
    <w:rsid w:val="00FB663A"/>
    <w:rsid w:val="00FB687D"/>
    <w:rsid w:val="00FB6921"/>
    <w:rsid w:val="00FB6E48"/>
    <w:rsid w:val="00FB70E8"/>
    <w:rsid w:val="00FB74A9"/>
    <w:rsid w:val="00FC02DC"/>
    <w:rsid w:val="00FC0CD0"/>
    <w:rsid w:val="00FC0DCC"/>
    <w:rsid w:val="00FC142B"/>
    <w:rsid w:val="00FC174A"/>
    <w:rsid w:val="00FC17F5"/>
    <w:rsid w:val="00FC1A0C"/>
    <w:rsid w:val="00FC1E48"/>
    <w:rsid w:val="00FC27B6"/>
    <w:rsid w:val="00FC2A1B"/>
    <w:rsid w:val="00FC2DB4"/>
    <w:rsid w:val="00FC3134"/>
    <w:rsid w:val="00FC35CD"/>
    <w:rsid w:val="00FC3A0D"/>
    <w:rsid w:val="00FC3CFC"/>
    <w:rsid w:val="00FC4DAC"/>
    <w:rsid w:val="00FC5036"/>
    <w:rsid w:val="00FC520D"/>
    <w:rsid w:val="00FC53A2"/>
    <w:rsid w:val="00FC61EF"/>
    <w:rsid w:val="00FC63E8"/>
    <w:rsid w:val="00FC67B6"/>
    <w:rsid w:val="00FC69E1"/>
    <w:rsid w:val="00FC7FED"/>
    <w:rsid w:val="00FD0E84"/>
    <w:rsid w:val="00FD0FEA"/>
    <w:rsid w:val="00FD1078"/>
    <w:rsid w:val="00FD1464"/>
    <w:rsid w:val="00FD1AFA"/>
    <w:rsid w:val="00FD20E1"/>
    <w:rsid w:val="00FD279A"/>
    <w:rsid w:val="00FD2AC6"/>
    <w:rsid w:val="00FD32D7"/>
    <w:rsid w:val="00FD3940"/>
    <w:rsid w:val="00FD40DC"/>
    <w:rsid w:val="00FD44E0"/>
    <w:rsid w:val="00FD45BF"/>
    <w:rsid w:val="00FD4999"/>
    <w:rsid w:val="00FD4A5D"/>
    <w:rsid w:val="00FD4C74"/>
    <w:rsid w:val="00FD5167"/>
    <w:rsid w:val="00FD53BE"/>
    <w:rsid w:val="00FD53D5"/>
    <w:rsid w:val="00FD5891"/>
    <w:rsid w:val="00FD5E1A"/>
    <w:rsid w:val="00FD5E92"/>
    <w:rsid w:val="00FD5FA8"/>
    <w:rsid w:val="00FD623A"/>
    <w:rsid w:val="00FD626F"/>
    <w:rsid w:val="00FD6416"/>
    <w:rsid w:val="00FD688F"/>
    <w:rsid w:val="00FD6FBB"/>
    <w:rsid w:val="00FD75B2"/>
    <w:rsid w:val="00FD76E7"/>
    <w:rsid w:val="00FD7A95"/>
    <w:rsid w:val="00FD7F46"/>
    <w:rsid w:val="00FE06DB"/>
    <w:rsid w:val="00FE08C0"/>
    <w:rsid w:val="00FE12C7"/>
    <w:rsid w:val="00FE14D8"/>
    <w:rsid w:val="00FE1FB5"/>
    <w:rsid w:val="00FE26A0"/>
    <w:rsid w:val="00FE295F"/>
    <w:rsid w:val="00FE2DFE"/>
    <w:rsid w:val="00FE3637"/>
    <w:rsid w:val="00FE3C88"/>
    <w:rsid w:val="00FE4C58"/>
    <w:rsid w:val="00FE5411"/>
    <w:rsid w:val="00FE573D"/>
    <w:rsid w:val="00FE5E90"/>
    <w:rsid w:val="00FE61BC"/>
    <w:rsid w:val="00FE61D7"/>
    <w:rsid w:val="00FE662B"/>
    <w:rsid w:val="00FE6787"/>
    <w:rsid w:val="00FE682B"/>
    <w:rsid w:val="00FE68B8"/>
    <w:rsid w:val="00FE6A17"/>
    <w:rsid w:val="00FE6DE9"/>
    <w:rsid w:val="00FE71BC"/>
    <w:rsid w:val="00FE742D"/>
    <w:rsid w:val="00FE79C6"/>
    <w:rsid w:val="00FE7BD3"/>
    <w:rsid w:val="00FE7C68"/>
    <w:rsid w:val="00FE7D71"/>
    <w:rsid w:val="00FE7F4A"/>
    <w:rsid w:val="00FF036A"/>
    <w:rsid w:val="00FF07C3"/>
    <w:rsid w:val="00FF0C6F"/>
    <w:rsid w:val="00FF15C7"/>
    <w:rsid w:val="00FF172C"/>
    <w:rsid w:val="00FF181E"/>
    <w:rsid w:val="00FF1A6B"/>
    <w:rsid w:val="00FF1AA5"/>
    <w:rsid w:val="00FF22EC"/>
    <w:rsid w:val="00FF2581"/>
    <w:rsid w:val="00FF2EDE"/>
    <w:rsid w:val="00FF33BB"/>
    <w:rsid w:val="00FF38D6"/>
    <w:rsid w:val="00FF40D3"/>
    <w:rsid w:val="00FF42DD"/>
    <w:rsid w:val="00FF44EC"/>
    <w:rsid w:val="00FF48BD"/>
    <w:rsid w:val="00FF4BF6"/>
    <w:rsid w:val="00FF4E05"/>
    <w:rsid w:val="00FF56AB"/>
    <w:rsid w:val="00FF59C2"/>
    <w:rsid w:val="00FF59C4"/>
    <w:rsid w:val="00FF6025"/>
    <w:rsid w:val="00FF64AD"/>
    <w:rsid w:val="00FF720D"/>
    <w:rsid w:val="00FF72A1"/>
    <w:rsid w:val="00FF7941"/>
    <w:rsid w:val="00FF79C9"/>
    <w:rsid w:val="00FF7D3F"/>
    <w:rsid w:val="00FF7EA7"/>
    <w:rsid w:val="3260ED36"/>
    <w:rsid w:val="5AF74E07"/>
    <w:rsid w:val="5F3A6432"/>
  </w:rsids>
  <m:mathPr>
    <m:mathFont m:val="Cambria Math"/>
    <m:brkBin m:val="before"/>
    <m:brkBinSub m:val="--"/>
    <m:smallFrac/>
    <m:dispDef/>
    <m:lMargin m:val="0"/>
    <m:rMargin m:val="0"/>
    <m:defJc m:val="centerGroup"/>
    <m:wrapIndent m:val="1440"/>
    <m:intLim m:val="subSup"/>
    <m:naryLim m:val="undOvr"/>
  </m:mathPr>
  <w:themeFontLang w:val="hr-HR"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D7BD0F"/>
  <w15:docId w15:val="{218DE0D7-B4C6-43C3-B11B-5A5E1425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lsdException w:name="heading 8" w:locked="1" w:semiHidden="1" w:uiPriority="0" w:unhideWhenUsed="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locked="1" w:uiPriority="10"/>
    <w:lsdException w:name="Closing" w:semiHidden="1" w:uiPriority="0" w:unhideWhenUsed="1"/>
    <w:lsdException w:name="Signature" w:semiHidden="1" w:unhideWhenUsed="1"/>
    <w:lsdException w:name="Default Paragraph Font" w:locked="1" w:uiPriority="1"/>
    <w:lsdException w:name="Body Text" w:lock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uiPriority="22"/>
    <w:lsdException w:name="Emphasis" w:locked="1"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33B"/>
    <w:pPr>
      <w:spacing w:after="120"/>
      <w:jc w:val="both"/>
    </w:pPr>
    <w:rPr>
      <w:rFonts w:ascii="Arial" w:hAnsi="Arial"/>
      <w:sz w:val="22"/>
      <w:szCs w:val="24"/>
    </w:rPr>
  </w:style>
  <w:style w:type="paragraph" w:styleId="Heading1">
    <w:name w:val="heading 1"/>
    <w:basedOn w:val="Normal"/>
    <w:next w:val="Normal"/>
    <w:link w:val="Heading1Char"/>
    <w:uiPriority w:val="99"/>
    <w:qFormat/>
    <w:rsid w:val="008F7C86"/>
    <w:pPr>
      <w:keepNext/>
      <w:spacing w:before="240"/>
      <w:outlineLvl w:val="0"/>
    </w:pPr>
    <w:rPr>
      <w:rFonts w:ascii="Arial Bold" w:hAnsi="Arial Bold" w:cs="Arial"/>
      <w:b/>
      <w:color w:val="002776" w:themeColor="accent1"/>
      <w:sz w:val="28"/>
    </w:rPr>
  </w:style>
  <w:style w:type="paragraph" w:styleId="Heading2">
    <w:name w:val="heading 2"/>
    <w:basedOn w:val="Heading4"/>
    <w:next w:val="Normal"/>
    <w:link w:val="Heading2Char"/>
    <w:autoRedefine/>
    <w:uiPriority w:val="99"/>
    <w:qFormat/>
    <w:rsid w:val="00FE61BC"/>
    <w:pPr>
      <w:keepNext/>
      <w:keepLines/>
      <w:numPr>
        <w:ilvl w:val="1"/>
        <w:numId w:val="14"/>
      </w:numPr>
      <w:tabs>
        <w:tab w:val="left" w:pos="720"/>
      </w:tabs>
      <w:spacing w:before="120"/>
      <w:outlineLvl w:val="1"/>
    </w:pPr>
    <w:rPr>
      <w:b w:val="0"/>
      <w:bCs/>
      <w:color w:val="4F81BD"/>
      <w:sz w:val="24"/>
    </w:rPr>
  </w:style>
  <w:style w:type="paragraph" w:styleId="Heading3">
    <w:name w:val="heading 3"/>
    <w:basedOn w:val="ListParagraph"/>
    <w:next w:val="Normal"/>
    <w:link w:val="Heading3Char"/>
    <w:uiPriority w:val="99"/>
    <w:qFormat/>
    <w:rsid w:val="0068365E"/>
    <w:pPr>
      <w:spacing w:before="0"/>
      <w:outlineLvl w:val="2"/>
    </w:pPr>
    <w:rPr>
      <w:rFonts w:eastAsia="Arial" w:cs="Arial"/>
      <w:b/>
      <w:iCs/>
      <w:color w:val="002776"/>
      <w:szCs w:val="24"/>
      <w:lang w:eastAsia="en-US"/>
    </w:rPr>
  </w:style>
  <w:style w:type="paragraph" w:styleId="Heading4">
    <w:name w:val="heading 4"/>
    <w:basedOn w:val="Heading3"/>
    <w:next w:val="Normal"/>
    <w:link w:val="Heading4Char"/>
    <w:unhideWhenUsed/>
    <w:qFormat/>
    <w:locked/>
    <w:rsid w:val="00544FE9"/>
    <w:pPr>
      <w:outlineLvl w:val="3"/>
    </w:pPr>
    <w:rPr>
      <w:color w:val="28A9DA" w:themeColor="background2" w:themeShade="BF"/>
    </w:rPr>
  </w:style>
  <w:style w:type="paragraph" w:styleId="Heading5">
    <w:name w:val="heading 5"/>
    <w:basedOn w:val="Heading4"/>
    <w:next w:val="Normal"/>
    <w:link w:val="Heading5Char"/>
    <w:unhideWhenUsed/>
    <w:qFormat/>
    <w:locked/>
    <w:rsid w:val="00544FE9"/>
    <w:pPr>
      <w:numPr>
        <w:ilvl w:val="4"/>
      </w:numPr>
      <w:outlineLvl w:val="4"/>
    </w:pPr>
    <w:rPr>
      <w:color w:val="92D400" w:themeColor="accent2"/>
    </w:rPr>
  </w:style>
  <w:style w:type="paragraph" w:styleId="Heading6">
    <w:name w:val="heading 6"/>
    <w:basedOn w:val="Normal"/>
    <w:next w:val="Normal"/>
    <w:link w:val="Heading6Char"/>
    <w:qFormat/>
    <w:locked/>
    <w:rsid w:val="00E6309D"/>
    <w:pPr>
      <w:keepNext/>
      <w:pageBreakBefore/>
      <w:pBdr>
        <w:bottom w:val="single" w:sz="12" w:space="1" w:color="auto"/>
      </w:pBdr>
      <w:outlineLvl w:val="5"/>
    </w:pPr>
    <w:rPr>
      <w:b/>
      <w:i/>
      <w:caps/>
      <w:kern w:val="28"/>
      <w:szCs w:val="20"/>
    </w:rPr>
  </w:style>
  <w:style w:type="paragraph" w:styleId="Heading7">
    <w:name w:val="heading 7"/>
    <w:basedOn w:val="Normal"/>
    <w:next w:val="Normal"/>
    <w:link w:val="Heading7Char"/>
    <w:locked/>
    <w:rsid w:val="00E6309D"/>
    <w:pPr>
      <w:keepNext/>
      <w:spacing w:before="280"/>
      <w:outlineLvl w:val="6"/>
    </w:pPr>
    <w:rPr>
      <w:b/>
      <w:caps/>
      <w:kern w:val="28"/>
      <w:szCs w:val="20"/>
    </w:rPr>
  </w:style>
  <w:style w:type="paragraph" w:styleId="Heading8">
    <w:name w:val="heading 8"/>
    <w:basedOn w:val="Normal"/>
    <w:next w:val="Normal"/>
    <w:link w:val="Heading8Char"/>
    <w:locked/>
    <w:rsid w:val="00E6309D"/>
    <w:pPr>
      <w:keepNext/>
      <w:spacing w:before="260"/>
      <w:outlineLvl w:val="7"/>
    </w:pPr>
    <w:rPr>
      <w:b/>
      <w:kern w:val="28"/>
      <w:szCs w:val="20"/>
    </w:rPr>
  </w:style>
  <w:style w:type="paragraph" w:styleId="Heading9">
    <w:name w:val="heading 9"/>
    <w:basedOn w:val="Normal"/>
    <w:next w:val="Normal"/>
    <w:link w:val="Heading9Char"/>
    <w:qFormat/>
    <w:locked/>
    <w:rsid w:val="00E6309D"/>
    <w:pPr>
      <w:keepNext/>
      <w:spacing w:before="240"/>
      <w:outlineLvl w:val="8"/>
    </w:pPr>
    <w:rPr>
      <w:i/>
      <w:caps/>
      <w:kern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7C86"/>
    <w:rPr>
      <w:rFonts w:ascii="Arial Bold" w:hAnsi="Arial Bold" w:cs="Arial"/>
      <w:b/>
      <w:color w:val="002776" w:themeColor="accent1"/>
      <w:sz w:val="28"/>
      <w:szCs w:val="24"/>
    </w:rPr>
  </w:style>
  <w:style w:type="paragraph" w:styleId="ListParagraph">
    <w:name w:val="List Paragraph"/>
    <w:aliases w:val="List Paragraph_Table bullets,Bullets - level 1,Resume Title,Colorful List - Accent 11,Bullet Number,List Paragraph1,Number Bullets,RSB 2,Heading 2_sj,Numbered Para 1,Dot pt,No Spacing1,List Paragraph Char Char Char,Indicator Text,3,Graphi"/>
    <w:basedOn w:val="Normal"/>
    <w:link w:val="ListParagraphChar"/>
    <w:uiPriority w:val="34"/>
    <w:qFormat/>
    <w:rsid w:val="00607D3F"/>
    <w:pPr>
      <w:spacing w:before="120"/>
    </w:pPr>
    <w:rPr>
      <w:szCs w:val="22"/>
      <w:lang w:eastAsia="hr-HR"/>
    </w:rPr>
  </w:style>
  <w:style w:type="character" w:customStyle="1" w:styleId="ListParagraphChar">
    <w:name w:val="List Paragraph Char"/>
    <w:aliases w:val="List Paragraph_Table bullets Char,Bullets - level 1 Char,Resume Title Char,Colorful List - Accent 11 Char,Bullet Number Char,List Paragraph1 Char,Number Bullets Char,RSB 2 Char,Heading 2_sj Char,Numbered Para 1 Char,Dot pt Char"/>
    <w:basedOn w:val="DefaultParagraphFont"/>
    <w:link w:val="ListParagraph"/>
    <w:uiPriority w:val="34"/>
    <w:qFormat/>
    <w:rsid w:val="00607D3F"/>
    <w:rPr>
      <w:rFonts w:ascii="Arial" w:hAnsi="Arial"/>
      <w:sz w:val="22"/>
      <w:szCs w:val="22"/>
      <w:lang w:eastAsia="hr-HR"/>
    </w:rPr>
  </w:style>
  <w:style w:type="character" w:customStyle="1" w:styleId="Heading3Char">
    <w:name w:val="Heading 3 Char"/>
    <w:basedOn w:val="DefaultParagraphFont"/>
    <w:link w:val="Heading3"/>
    <w:uiPriority w:val="99"/>
    <w:locked/>
    <w:rsid w:val="0068365E"/>
    <w:rPr>
      <w:rFonts w:ascii="Arial" w:eastAsia="Arial" w:hAnsi="Arial" w:cs="Arial"/>
      <w:b/>
      <w:iCs/>
      <w:color w:val="002776"/>
      <w:sz w:val="22"/>
      <w:szCs w:val="24"/>
    </w:rPr>
  </w:style>
  <w:style w:type="character" w:customStyle="1" w:styleId="Heading4Char">
    <w:name w:val="Heading 4 Char"/>
    <w:basedOn w:val="DefaultParagraphFont"/>
    <w:link w:val="Heading4"/>
    <w:rsid w:val="00544FE9"/>
    <w:rPr>
      <w:rFonts w:ascii="Arial" w:eastAsia="Arial" w:hAnsi="Arial" w:cs="Arial"/>
      <w:b/>
      <w:iCs/>
      <w:color w:val="28A9DA" w:themeColor="background2" w:themeShade="BF"/>
      <w:sz w:val="22"/>
      <w:szCs w:val="24"/>
    </w:rPr>
  </w:style>
  <w:style w:type="character" w:customStyle="1" w:styleId="Heading2Char">
    <w:name w:val="Heading 2 Char"/>
    <w:basedOn w:val="DefaultParagraphFont"/>
    <w:link w:val="Heading2"/>
    <w:uiPriority w:val="99"/>
    <w:locked/>
    <w:rsid w:val="00FE61BC"/>
    <w:rPr>
      <w:rFonts w:ascii="Arial" w:eastAsia="Arial" w:hAnsi="Arial" w:cs="Arial"/>
      <w:bCs/>
      <w:iCs/>
      <w:color w:val="4F81BD"/>
      <w:sz w:val="24"/>
      <w:szCs w:val="24"/>
    </w:rPr>
  </w:style>
  <w:style w:type="character" w:customStyle="1" w:styleId="Heading5Char">
    <w:name w:val="Heading 5 Char"/>
    <w:basedOn w:val="DefaultParagraphFont"/>
    <w:link w:val="Heading5"/>
    <w:rsid w:val="00544FE9"/>
    <w:rPr>
      <w:rFonts w:ascii="Arial" w:eastAsia="Arial" w:hAnsi="Arial" w:cs="Arial"/>
      <w:b/>
      <w:iCs/>
      <w:color w:val="92D400" w:themeColor="accent2"/>
      <w:sz w:val="22"/>
      <w:szCs w:val="24"/>
    </w:rPr>
  </w:style>
  <w:style w:type="character" w:customStyle="1" w:styleId="Heading6Char">
    <w:name w:val="Heading 6 Char"/>
    <w:basedOn w:val="DefaultParagraphFont"/>
    <w:link w:val="Heading6"/>
    <w:rsid w:val="00E6309D"/>
    <w:rPr>
      <w:rFonts w:ascii="Arial" w:hAnsi="Arial"/>
      <w:b/>
      <w:i/>
      <w:caps/>
      <w:kern w:val="28"/>
      <w:sz w:val="22"/>
    </w:rPr>
  </w:style>
  <w:style w:type="character" w:customStyle="1" w:styleId="Heading7Char">
    <w:name w:val="Heading 7 Char"/>
    <w:basedOn w:val="DefaultParagraphFont"/>
    <w:link w:val="Heading7"/>
    <w:rsid w:val="00E6309D"/>
    <w:rPr>
      <w:rFonts w:ascii="Arial" w:hAnsi="Arial"/>
      <w:b/>
      <w:caps/>
      <w:kern w:val="28"/>
      <w:sz w:val="22"/>
    </w:rPr>
  </w:style>
  <w:style w:type="character" w:customStyle="1" w:styleId="Heading8Char">
    <w:name w:val="Heading 8 Char"/>
    <w:basedOn w:val="DefaultParagraphFont"/>
    <w:link w:val="Heading8"/>
    <w:rsid w:val="00E6309D"/>
    <w:rPr>
      <w:rFonts w:ascii="Arial" w:hAnsi="Arial"/>
      <w:b/>
      <w:kern w:val="28"/>
      <w:sz w:val="22"/>
    </w:rPr>
  </w:style>
  <w:style w:type="character" w:customStyle="1" w:styleId="Heading9Char">
    <w:name w:val="Heading 9 Char"/>
    <w:basedOn w:val="DefaultParagraphFont"/>
    <w:link w:val="Heading9"/>
    <w:rsid w:val="00E6309D"/>
    <w:rPr>
      <w:rFonts w:ascii="Arial" w:hAnsi="Arial"/>
      <w:i/>
      <w:caps/>
      <w:kern w:val="28"/>
      <w:sz w:val="22"/>
    </w:rPr>
  </w:style>
  <w:style w:type="paragraph" w:customStyle="1" w:styleId="Default">
    <w:name w:val="Default"/>
    <w:link w:val="DefaultChar"/>
    <w:rsid w:val="00BB36F8"/>
    <w:pPr>
      <w:autoSpaceDE w:val="0"/>
      <w:autoSpaceDN w:val="0"/>
      <w:adjustRightInd w:val="0"/>
    </w:pPr>
    <w:rPr>
      <w:rFonts w:ascii="Times New Roman" w:hAnsi="Times New Roman"/>
      <w:color w:val="000000"/>
      <w:sz w:val="24"/>
      <w:szCs w:val="24"/>
      <w:lang w:val="hr-HR"/>
    </w:rPr>
  </w:style>
  <w:style w:type="character" w:customStyle="1" w:styleId="DefaultChar">
    <w:name w:val="Default Char"/>
    <w:basedOn w:val="DefaultParagraphFont"/>
    <w:link w:val="Default"/>
    <w:rsid w:val="00E6309D"/>
    <w:rPr>
      <w:rFonts w:ascii="Times New Roman" w:hAnsi="Times New Roman"/>
      <w:color w:val="000000"/>
      <w:sz w:val="24"/>
      <w:szCs w:val="24"/>
      <w:lang w:val="hr-HR"/>
    </w:rPr>
  </w:style>
  <w:style w:type="paragraph" w:styleId="FootnoteText">
    <w:name w:val="footnote text"/>
    <w:aliases w:val="ALTS FOOTNOTE,FOOTNOTES,fn,single space,footnote text,(NECG) Footnote Text,Footnote Text Char Char Char Char Char,Footnote Text Char Char Char Char Char Char,(NECG) Footnote Text Char Char Char Char Char,Char3,ft2,Fußnote,ADB,f,AD,脚注文字列,nt"/>
    <w:basedOn w:val="Normal"/>
    <w:link w:val="FootnoteTextChar"/>
    <w:qFormat/>
    <w:rsid w:val="004B77D4"/>
    <w:pPr>
      <w:spacing w:after="240"/>
    </w:pPr>
    <w:rPr>
      <w:rFonts w:ascii="Calibri" w:hAnsi="Calibri"/>
      <w:sz w:val="20"/>
      <w:szCs w:val="20"/>
      <w:lang w:eastAsia="hr-HR"/>
    </w:rPr>
  </w:style>
  <w:style w:type="character" w:customStyle="1" w:styleId="FootnoteTextChar">
    <w:name w:val="Footnote Text Char"/>
    <w:aliases w:val="ALTS FOOTNOTE Char,FOOTNOTES Char,fn Char,single space Char,footnote text Char,(NECG) Footnote Text Char,Footnote Text Char Char Char Char Char Char1,Footnote Text Char Char Char Char Char Char Char,Char3 Char,ft2 Char,Fußnote Char"/>
    <w:basedOn w:val="DefaultParagraphFont"/>
    <w:link w:val="FootnoteText"/>
    <w:locked/>
    <w:rsid w:val="004B77D4"/>
    <w:rPr>
      <w:rFonts w:cs="Times New Roman"/>
      <w:sz w:val="20"/>
      <w:szCs w:val="20"/>
    </w:rPr>
  </w:style>
  <w:style w:type="character" w:styleId="FootnoteReference">
    <w:name w:val="footnote reference"/>
    <w:aliases w:val="ftref,16 Point,Superscript 6 Point,fr,Ref,de nota al pie,(NECG) Footnote Reference,BVI fnr, BVI fnr,Fußnotenzeichen DISS,Footnote text,Footnote Ref in FtNote,SUPERS,脚注引用,Знак сноски-FN,List Bullet Char Char,appel Char Char,FnR-ANZDEC"/>
    <w:basedOn w:val="DefaultParagraphFont"/>
    <w:link w:val="Char2"/>
    <w:uiPriority w:val="99"/>
    <w:qFormat/>
    <w:rsid w:val="004B77D4"/>
    <w:rPr>
      <w:rFonts w:cs="Times New Roman"/>
      <w:vertAlign w:val="superscript"/>
    </w:rPr>
  </w:style>
  <w:style w:type="paragraph" w:customStyle="1" w:styleId="bodytext1">
    <w:name w:val="bodytext1"/>
    <w:basedOn w:val="Normal"/>
    <w:uiPriority w:val="99"/>
    <w:rsid w:val="00035194"/>
    <w:pPr>
      <w:spacing w:line="335" w:lineRule="atLeast"/>
    </w:pPr>
    <w:rPr>
      <w:color w:val="49565E"/>
      <w:szCs w:val="22"/>
    </w:rPr>
  </w:style>
  <w:style w:type="character" w:styleId="Hyperlink">
    <w:name w:val="Hyperlink"/>
    <w:basedOn w:val="DefaultParagraphFont"/>
    <w:uiPriority w:val="99"/>
    <w:qFormat/>
    <w:rsid w:val="004E1163"/>
    <w:rPr>
      <w:rFonts w:cs="Times New Roman"/>
      <w:color w:val="0000FF"/>
      <w:u w:val="single"/>
    </w:rPr>
  </w:style>
  <w:style w:type="paragraph" w:styleId="BalloonText">
    <w:name w:val="Balloon Text"/>
    <w:basedOn w:val="Normal"/>
    <w:link w:val="BalloonTextChar"/>
    <w:semiHidden/>
    <w:rsid w:val="00721AD0"/>
    <w:rPr>
      <w:rFonts w:ascii="Tahoma" w:hAnsi="Tahoma" w:cs="Tahoma"/>
      <w:sz w:val="16"/>
      <w:szCs w:val="16"/>
      <w:lang w:eastAsia="hr-HR"/>
    </w:rPr>
  </w:style>
  <w:style w:type="character" w:customStyle="1" w:styleId="BalloonTextChar">
    <w:name w:val="Balloon Text Char"/>
    <w:basedOn w:val="DefaultParagraphFont"/>
    <w:link w:val="BalloonText"/>
    <w:semiHidden/>
    <w:locked/>
    <w:rsid w:val="00721AD0"/>
    <w:rPr>
      <w:rFonts w:ascii="Tahoma" w:hAnsi="Tahoma" w:cs="Tahoma"/>
      <w:sz w:val="16"/>
      <w:szCs w:val="16"/>
      <w:lang w:val="hr-HR" w:eastAsia="hr-HR"/>
    </w:rPr>
  </w:style>
  <w:style w:type="paragraph" w:styleId="Header">
    <w:name w:val="header"/>
    <w:basedOn w:val="Normal"/>
    <w:link w:val="HeaderChar"/>
    <w:uiPriority w:val="99"/>
    <w:rsid w:val="00DB1A32"/>
    <w:pPr>
      <w:tabs>
        <w:tab w:val="center" w:pos="4536"/>
        <w:tab w:val="right" w:pos="9072"/>
      </w:tabs>
    </w:pPr>
    <w:rPr>
      <w:rFonts w:ascii="Calibri" w:hAnsi="Calibri"/>
      <w:szCs w:val="22"/>
      <w:lang w:eastAsia="hr-HR"/>
    </w:rPr>
  </w:style>
  <w:style w:type="character" w:customStyle="1" w:styleId="HeaderChar">
    <w:name w:val="Header Char"/>
    <w:basedOn w:val="DefaultParagraphFont"/>
    <w:link w:val="Header"/>
    <w:uiPriority w:val="99"/>
    <w:locked/>
    <w:rsid w:val="00DB1A32"/>
    <w:rPr>
      <w:rFonts w:cs="Times New Roman"/>
      <w:lang w:val="hr-HR" w:eastAsia="hr-HR"/>
    </w:rPr>
  </w:style>
  <w:style w:type="paragraph" w:styleId="Footer">
    <w:name w:val="footer"/>
    <w:basedOn w:val="Normal"/>
    <w:link w:val="FooterChar"/>
    <w:uiPriority w:val="99"/>
    <w:rsid w:val="00DB1A32"/>
    <w:pPr>
      <w:tabs>
        <w:tab w:val="center" w:pos="4536"/>
        <w:tab w:val="right" w:pos="9072"/>
      </w:tabs>
    </w:pPr>
    <w:rPr>
      <w:rFonts w:ascii="Calibri" w:hAnsi="Calibri"/>
      <w:szCs w:val="22"/>
      <w:lang w:eastAsia="hr-HR"/>
    </w:rPr>
  </w:style>
  <w:style w:type="character" w:customStyle="1" w:styleId="FooterChar">
    <w:name w:val="Footer Char"/>
    <w:basedOn w:val="DefaultParagraphFont"/>
    <w:link w:val="Footer"/>
    <w:uiPriority w:val="99"/>
    <w:locked/>
    <w:rsid w:val="00DB1A32"/>
    <w:rPr>
      <w:rFonts w:cs="Times New Roman"/>
      <w:lang w:val="hr-HR" w:eastAsia="hr-HR"/>
    </w:rPr>
  </w:style>
  <w:style w:type="paragraph" w:styleId="NoSpacing">
    <w:name w:val="No Spacing"/>
    <w:link w:val="NoSpacingChar"/>
    <w:uiPriority w:val="1"/>
    <w:qFormat/>
    <w:rsid w:val="00DB1A32"/>
    <w:rPr>
      <w:sz w:val="22"/>
      <w:szCs w:val="22"/>
      <w:lang w:val="hr-HR" w:eastAsia="hr-HR"/>
    </w:rPr>
  </w:style>
  <w:style w:type="character" w:customStyle="1" w:styleId="NoSpacingChar">
    <w:name w:val="No Spacing Char"/>
    <w:basedOn w:val="DefaultParagraphFont"/>
    <w:link w:val="NoSpacing"/>
    <w:uiPriority w:val="1"/>
    <w:rsid w:val="00E6309D"/>
    <w:rPr>
      <w:sz w:val="22"/>
      <w:szCs w:val="22"/>
      <w:lang w:val="hr-HR" w:eastAsia="hr-HR"/>
    </w:rPr>
  </w:style>
  <w:style w:type="paragraph" w:styleId="TOCHeading">
    <w:name w:val="TOC Heading"/>
    <w:basedOn w:val="Heading1"/>
    <w:next w:val="Normal"/>
    <w:uiPriority w:val="39"/>
    <w:qFormat/>
    <w:rsid w:val="00BF184A"/>
    <w:pPr>
      <w:keepLines/>
      <w:spacing w:before="480" w:after="0"/>
      <w:outlineLvl w:val="9"/>
    </w:pPr>
    <w:rPr>
      <w:rFonts w:ascii="Cambria" w:hAnsi="Cambria"/>
      <w:bCs/>
      <w:color w:val="365F91"/>
      <w:szCs w:val="28"/>
    </w:rPr>
  </w:style>
  <w:style w:type="paragraph" w:styleId="TOC1">
    <w:name w:val="toc 1"/>
    <w:basedOn w:val="Normal"/>
    <w:next w:val="Normal"/>
    <w:autoRedefine/>
    <w:uiPriority w:val="39"/>
    <w:rsid w:val="00130E11"/>
    <w:pPr>
      <w:tabs>
        <w:tab w:val="left" w:pos="440"/>
        <w:tab w:val="right" w:leader="dot" w:pos="9360"/>
      </w:tabs>
    </w:pPr>
    <w:rPr>
      <w:rFonts w:cs="Arial"/>
      <w:b/>
      <w:bCs/>
      <w:noProof/>
      <w:color w:val="002776" w:themeColor="accent1"/>
      <w:sz w:val="20"/>
      <w:szCs w:val="22"/>
      <w:lang w:eastAsia="hr-HR"/>
    </w:rPr>
  </w:style>
  <w:style w:type="paragraph" w:styleId="CommentText">
    <w:name w:val="annotation text"/>
    <w:basedOn w:val="Normal"/>
    <w:link w:val="CommentTextChar"/>
    <w:uiPriority w:val="99"/>
    <w:rsid w:val="00BC02DE"/>
    <w:pPr>
      <w:spacing w:after="240"/>
    </w:pPr>
    <w:rPr>
      <w:rFonts w:ascii="Calibri" w:hAnsi="Calibri"/>
      <w:sz w:val="20"/>
      <w:szCs w:val="20"/>
      <w:lang w:eastAsia="hr-HR"/>
    </w:rPr>
  </w:style>
  <w:style w:type="character" w:customStyle="1" w:styleId="CommentTextChar">
    <w:name w:val="Comment Text Char"/>
    <w:basedOn w:val="DefaultParagraphFont"/>
    <w:link w:val="CommentText"/>
    <w:uiPriority w:val="99"/>
    <w:locked/>
    <w:rsid w:val="00BC02DE"/>
    <w:rPr>
      <w:rFonts w:cs="Times New Roman"/>
      <w:sz w:val="20"/>
      <w:szCs w:val="20"/>
      <w:lang w:val="hr-HR" w:eastAsia="hr-HR"/>
    </w:rPr>
  </w:style>
  <w:style w:type="character" w:customStyle="1" w:styleId="smallstandard">
    <w:name w:val="smallstandard"/>
    <w:basedOn w:val="DefaultParagraphFont"/>
    <w:uiPriority w:val="99"/>
    <w:rsid w:val="007E36E2"/>
    <w:rPr>
      <w:rFonts w:cs="Times New Roman"/>
    </w:rPr>
  </w:style>
  <w:style w:type="paragraph" w:customStyle="1" w:styleId="glavnitekst">
    <w:name w:val="glavnitekst"/>
    <w:basedOn w:val="Normal"/>
    <w:uiPriority w:val="99"/>
    <w:rsid w:val="00725134"/>
    <w:pPr>
      <w:spacing w:before="100" w:beforeAutospacing="1" w:after="100" w:afterAutospacing="1"/>
    </w:pPr>
    <w:rPr>
      <w:lang w:val="hr-BA" w:eastAsia="hr-BA"/>
    </w:rPr>
  </w:style>
  <w:style w:type="character" w:styleId="Strong">
    <w:name w:val="Strong"/>
    <w:basedOn w:val="DefaultParagraphFont"/>
    <w:uiPriority w:val="22"/>
    <w:rsid w:val="00725134"/>
    <w:rPr>
      <w:rFonts w:cs="Times New Roman"/>
      <w:b/>
      <w:bCs/>
    </w:rPr>
  </w:style>
  <w:style w:type="paragraph" w:styleId="TOC2">
    <w:name w:val="toc 2"/>
    <w:basedOn w:val="Normal"/>
    <w:next w:val="Normal"/>
    <w:autoRedefine/>
    <w:uiPriority w:val="39"/>
    <w:rsid w:val="00130E11"/>
    <w:pPr>
      <w:tabs>
        <w:tab w:val="left" w:pos="880"/>
        <w:tab w:val="right" w:leader="dot" w:pos="9408"/>
      </w:tabs>
      <w:ind w:left="806" w:hanging="806"/>
    </w:pPr>
    <w:rPr>
      <w:rFonts w:cstheme="minorHAnsi"/>
      <w:iCs/>
      <w:sz w:val="20"/>
      <w:szCs w:val="20"/>
      <w:lang w:eastAsia="hr-HR"/>
    </w:rPr>
  </w:style>
  <w:style w:type="paragraph" w:styleId="TOC3">
    <w:name w:val="toc 3"/>
    <w:basedOn w:val="Normal"/>
    <w:next w:val="Normal"/>
    <w:autoRedefine/>
    <w:uiPriority w:val="39"/>
    <w:rsid w:val="006037E5"/>
    <w:pPr>
      <w:ind w:left="440"/>
    </w:pPr>
    <w:rPr>
      <w:rFonts w:asciiTheme="minorHAnsi" w:hAnsiTheme="minorHAnsi" w:cstheme="minorHAnsi"/>
      <w:sz w:val="20"/>
      <w:szCs w:val="20"/>
      <w:lang w:eastAsia="hr-HR"/>
    </w:rPr>
  </w:style>
  <w:style w:type="character" w:styleId="HTMLCite">
    <w:name w:val="HTML Cite"/>
    <w:basedOn w:val="DefaultParagraphFont"/>
    <w:uiPriority w:val="99"/>
    <w:semiHidden/>
    <w:rsid w:val="00657FDC"/>
    <w:rPr>
      <w:rFonts w:cs="Times New Roman"/>
      <w:i/>
      <w:iCs/>
    </w:rPr>
  </w:style>
  <w:style w:type="table" w:styleId="TableGrid">
    <w:name w:val="Table Grid"/>
    <w:aliases w:val="Table Definitions Grid,Table Definitions Grid1,Deloitte Table Grid,Table Definitions Grid2,Table Definitions Grid11,Table Definitions Grid3,Table Definitions Grid12"/>
    <w:basedOn w:val="TableNormal"/>
    <w:uiPriority w:val="59"/>
    <w:rsid w:val="003C54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EB3FF1"/>
    <w:pPr>
      <w:spacing w:before="100" w:beforeAutospacing="1" w:after="100" w:afterAutospacing="1"/>
    </w:pPr>
    <w:rPr>
      <w:lang w:eastAsia="hr-HR"/>
    </w:rPr>
  </w:style>
  <w:style w:type="character" w:styleId="CommentReference">
    <w:name w:val="annotation reference"/>
    <w:basedOn w:val="DefaultParagraphFont"/>
    <w:uiPriority w:val="99"/>
    <w:rsid w:val="00545C4C"/>
    <w:rPr>
      <w:rFonts w:cs="Times New Roman"/>
      <w:sz w:val="16"/>
      <w:szCs w:val="16"/>
    </w:rPr>
  </w:style>
  <w:style w:type="paragraph" w:styleId="CommentSubject">
    <w:name w:val="annotation subject"/>
    <w:basedOn w:val="CommentText"/>
    <w:next w:val="CommentText"/>
    <w:link w:val="CommentSubjectChar"/>
    <w:rsid w:val="00545C4C"/>
    <w:rPr>
      <w:b/>
      <w:bCs/>
    </w:rPr>
  </w:style>
  <w:style w:type="character" w:customStyle="1" w:styleId="CommentSubjectChar">
    <w:name w:val="Comment Subject Char"/>
    <w:basedOn w:val="CommentTextChar"/>
    <w:link w:val="CommentSubject"/>
    <w:locked/>
    <w:rsid w:val="00545C4C"/>
    <w:rPr>
      <w:rFonts w:cs="Times New Roman"/>
      <w:b/>
      <w:bCs/>
      <w:sz w:val="20"/>
      <w:szCs w:val="20"/>
      <w:lang w:val="hr-HR" w:eastAsia="hr-HR"/>
    </w:rPr>
  </w:style>
  <w:style w:type="paragraph" w:customStyle="1" w:styleId="TitlePageFooter">
    <w:name w:val="Title Page Footer"/>
    <w:basedOn w:val="Normal"/>
    <w:uiPriority w:val="99"/>
    <w:semiHidden/>
    <w:rsid w:val="00084C9E"/>
    <w:pPr>
      <w:ind w:left="1440" w:right="1440"/>
    </w:pPr>
    <w:rPr>
      <w:rFonts w:ascii="Calibri" w:hAnsi="Calibri"/>
      <w:color w:val="FFFFFF"/>
    </w:rPr>
  </w:style>
  <w:style w:type="paragraph" w:customStyle="1" w:styleId="CoverTitle">
    <w:name w:val="Cover Title"/>
    <w:basedOn w:val="Normal"/>
    <w:next w:val="CoverSubtitle"/>
    <w:uiPriority w:val="99"/>
    <w:rsid w:val="00084C9E"/>
    <w:pPr>
      <w:ind w:left="1440" w:right="1440"/>
    </w:pPr>
    <w:rPr>
      <w:rFonts w:ascii="Arial Bold" w:hAnsi="Arial Bold"/>
      <w:b/>
      <w:caps/>
      <w:color w:val="FFFFFF"/>
      <w:sz w:val="60"/>
    </w:rPr>
  </w:style>
  <w:style w:type="paragraph" w:customStyle="1" w:styleId="CoverSubtitle">
    <w:name w:val="Cover Subtitle"/>
    <w:basedOn w:val="Normal"/>
    <w:uiPriority w:val="99"/>
    <w:rsid w:val="00084C9E"/>
    <w:pPr>
      <w:ind w:left="1440" w:right="1440"/>
    </w:pPr>
    <w:rPr>
      <w:rFonts w:ascii="Calibri" w:hAnsi="Calibri"/>
      <w:color w:val="FFFFFF"/>
      <w:sz w:val="30"/>
    </w:rPr>
  </w:style>
  <w:style w:type="character" w:customStyle="1" w:styleId="Subheading2Char">
    <w:name w:val="Subheading 2 Char"/>
    <w:basedOn w:val="DefaultParagraphFont"/>
    <w:link w:val="Subheading2"/>
    <w:uiPriority w:val="99"/>
    <w:locked/>
    <w:rsid w:val="00F77270"/>
    <w:rPr>
      <w:rFonts w:ascii="Times New Roman Bold" w:hAnsi="Times New Roman Bold"/>
      <w:b/>
      <w:color w:val="3C8A2E"/>
      <w:sz w:val="22"/>
      <w:szCs w:val="24"/>
      <w:lang w:val="en-US" w:eastAsia="en-US" w:bidi="ar-SA"/>
    </w:rPr>
  </w:style>
  <w:style w:type="paragraph" w:customStyle="1" w:styleId="Subheading2">
    <w:name w:val="Subheading 2"/>
    <w:next w:val="BodyText"/>
    <w:link w:val="Subheading2Char"/>
    <w:uiPriority w:val="99"/>
    <w:rsid w:val="00F77270"/>
    <w:pPr>
      <w:keepNext/>
      <w:spacing w:after="60"/>
    </w:pPr>
    <w:rPr>
      <w:rFonts w:ascii="Times New Roman Bold" w:hAnsi="Times New Roman Bold"/>
      <w:b/>
      <w:color w:val="3C8A2E"/>
      <w:sz w:val="22"/>
      <w:szCs w:val="24"/>
    </w:rPr>
  </w:style>
  <w:style w:type="paragraph" w:styleId="BodyText">
    <w:name w:val="Body Text"/>
    <w:basedOn w:val="Normal"/>
    <w:link w:val="BodyTextChar"/>
    <w:uiPriority w:val="99"/>
    <w:qFormat/>
    <w:rsid w:val="00E0042A"/>
    <w:pPr>
      <w:spacing w:after="180"/>
    </w:pPr>
    <w:rPr>
      <w:rFonts w:cs="Arial"/>
    </w:rPr>
  </w:style>
  <w:style w:type="character" w:customStyle="1" w:styleId="BodyTextChar">
    <w:name w:val="Body Text Char"/>
    <w:basedOn w:val="DefaultParagraphFont"/>
    <w:link w:val="BodyText"/>
    <w:uiPriority w:val="99"/>
    <w:locked/>
    <w:rsid w:val="00E0042A"/>
    <w:rPr>
      <w:rFonts w:ascii="Arial" w:hAnsi="Arial" w:cs="Arial"/>
      <w:sz w:val="22"/>
      <w:szCs w:val="24"/>
    </w:rPr>
  </w:style>
  <w:style w:type="paragraph" w:customStyle="1" w:styleId="Bullet1">
    <w:name w:val="Bullet 1"/>
    <w:basedOn w:val="ListParagraph"/>
    <w:link w:val="Bullet1Char"/>
    <w:uiPriority w:val="99"/>
    <w:rsid w:val="00A349E4"/>
    <w:pPr>
      <w:spacing w:before="0" w:after="0"/>
    </w:pPr>
  </w:style>
  <w:style w:type="character" w:customStyle="1" w:styleId="Bullet1Char">
    <w:name w:val="Bullet 1 Char"/>
    <w:basedOn w:val="BodyTextChar"/>
    <w:link w:val="Bullet1"/>
    <w:uiPriority w:val="99"/>
    <w:locked/>
    <w:rsid w:val="00A349E4"/>
    <w:rPr>
      <w:rFonts w:ascii="Times New Roman" w:hAnsi="Times New Roman" w:cs="Arial"/>
      <w:sz w:val="22"/>
      <w:szCs w:val="22"/>
      <w:lang w:val="en-US" w:eastAsia="hr-HR" w:bidi="ar-SA"/>
    </w:rPr>
  </w:style>
  <w:style w:type="paragraph" w:customStyle="1" w:styleId="Bullet2">
    <w:name w:val="Bullet 2"/>
    <w:basedOn w:val="ListParagraph"/>
    <w:uiPriority w:val="99"/>
    <w:rsid w:val="00C76F63"/>
    <w:pPr>
      <w:numPr>
        <w:ilvl w:val="1"/>
        <w:numId w:val="2"/>
      </w:numPr>
    </w:pPr>
  </w:style>
  <w:style w:type="paragraph" w:customStyle="1" w:styleId="CalloutText">
    <w:name w:val="Callout Text"/>
    <w:link w:val="CalloutTextChar"/>
    <w:qFormat/>
    <w:rsid w:val="007765CD"/>
    <w:pPr>
      <w:framePr w:wrap="auto" w:hAnchor="text" w:xAlign="right"/>
      <w:spacing w:before="60" w:after="60"/>
    </w:pPr>
    <w:rPr>
      <w:color w:val="002060"/>
    </w:rPr>
  </w:style>
  <w:style w:type="character" w:customStyle="1" w:styleId="CalloutTextChar">
    <w:name w:val="Callout Text Char"/>
    <w:basedOn w:val="DefaultParagraphFont"/>
    <w:link w:val="CalloutText"/>
    <w:locked/>
    <w:rsid w:val="009A392B"/>
    <w:rPr>
      <w:color w:val="002060"/>
    </w:rPr>
  </w:style>
  <w:style w:type="paragraph" w:customStyle="1" w:styleId="Bullet2Last">
    <w:name w:val="Bullet 2_Last"/>
    <w:basedOn w:val="Bullet2"/>
    <w:next w:val="BodyText"/>
    <w:uiPriority w:val="99"/>
    <w:rsid w:val="00F77270"/>
    <w:pPr>
      <w:spacing w:after="180"/>
    </w:pPr>
  </w:style>
  <w:style w:type="character" w:customStyle="1" w:styleId="CharacterBoldBlueItalic">
    <w:name w:val="Character Bold Blue Italic"/>
    <w:uiPriority w:val="1"/>
    <w:rsid w:val="00F77270"/>
    <w:rPr>
      <w:b/>
      <w:i/>
      <w:color w:val="002776"/>
    </w:rPr>
  </w:style>
  <w:style w:type="paragraph" w:customStyle="1" w:styleId="TableColumnHeadingAlignLeft">
    <w:name w:val="Table Column Heading (Align Left)"/>
    <w:basedOn w:val="Normal"/>
    <w:next w:val="Normal"/>
    <w:uiPriority w:val="99"/>
    <w:rsid w:val="00F576BE"/>
    <w:pPr>
      <w:spacing w:before="20" w:after="20"/>
    </w:pPr>
    <w:rPr>
      <w:rFonts w:asciiTheme="minorHAnsi" w:eastAsiaTheme="minorHAnsi" w:hAnsiTheme="minorHAnsi" w:cstheme="minorHAnsi"/>
      <w:b/>
      <w:color w:val="FFFFFF" w:themeColor="background1"/>
      <w:sz w:val="20"/>
      <w:szCs w:val="20"/>
    </w:rPr>
  </w:style>
  <w:style w:type="paragraph" w:customStyle="1" w:styleId="Heading0-NoTOC">
    <w:name w:val="Heading 0 - No TOC"/>
    <w:basedOn w:val="Heading1"/>
    <w:next w:val="Normal"/>
    <w:uiPriority w:val="99"/>
    <w:rsid w:val="00331578"/>
    <w:pPr>
      <w:spacing w:after="240"/>
    </w:pPr>
    <w:rPr>
      <w:bCs/>
      <w:color w:val="002A6C"/>
      <w:szCs w:val="28"/>
    </w:rPr>
  </w:style>
  <w:style w:type="paragraph" w:customStyle="1" w:styleId="Style1">
    <w:name w:val="Style1"/>
    <w:basedOn w:val="Heading2"/>
    <w:uiPriority w:val="99"/>
    <w:rsid w:val="008003F2"/>
  </w:style>
  <w:style w:type="paragraph" w:customStyle="1" w:styleId="Style2">
    <w:name w:val="Style2"/>
    <w:basedOn w:val="Style1"/>
    <w:uiPriority w:val="99"/>
    <w:rsid w:val="008003F2"/>
    <w:pPr>
      <w:ind w:left="432"/>
    </w:pPr>
  </w:style>
  <w:style w:type="paragraph" w:customStyle="1" w:styleId="Style3">
    <w:name w:val="Style3"/>
    <w:basedOn w:val="Style2"/>
    <w:uiPriority w:val="99"/>
    <w:rsid w:val="008003F2"/>
  </w:style>
  <w:style w:type="paragraph" w:customStyle="1" w:styleId="Style4">
    <w:name w:val="Style4"/>
    <w:basedOn w:val="Style3"/>
    <w:uiPriority w:val="99"/>
    <w:rsid w:val="0076416C"/>
    <w:pPr>
      <w:ind w:left="0"/>
    </w:pPr>
  </w:style>
  <w:style w:type="paragraph" w:customStyle="1" w:styleId="Style5">
    <w:name w:val="Style5"/>
    <w:basedOn w:val="Heading2"/>
    <w:uiPriority w:val="99"/>
    <w:rsid w:val="008003F2"/>
    <w:pPr>
      <w:ind w:left="144"/>
    </w:pPr>
  </w:style>
  <w:style w:type="paragraph" w:styleId="Title">
    <w:name w:val="Title"/>
    <w:basedOn w:val="Normal"/>
    <w:next w:val="Normal"/>
    <w:link w:val="TitleChar"/>
    <w:uiPriority w:val="10"/>
    <w:locked/>
    <w:rsid w:val="009C741D"/>
    <w:pPr>
      <w:pBdr>
        <w:bottom w:val="single" w:sz="8" w:space="1" w:color="4F81BD"/>
      </w:pBdr>
      <w:spacing w:after="240"/>
    </w:pPr>
    <w:rPr>
      <w:rFonts w:ascii="Cambria" w:hAnsi="Cambria"/>
      <w:sz w:val="36"/>
      <w:szCs w:val="22"/>
      <w:lang w:eastAsia="hr-HR"/>
    </w:rPr>
  </w:style>
  <w:style w:type="character" w:customStyle="1" w:styleId="TitleChar">
    <w:name w:val="Title Char"/>
    <w:basedOn w:val="DefaultParagraphFont"/>
    <w:link w:val="Title"/>
    <w:uiPriority w:val="10"/>
    <w:rsid w:val="009C741D"/>
    <w:rPr>
      <w:rFonts w:ascii="Cambria" w:hAnsi="Cambria"/>
      <w:sz w:val="36"/>
      <w:szCs w:val="22"/>
      <w:lang w:eastAsia="hr-HR"/>
    </w:rPr>
  </w:style>
  <w:style w:type="paragraph" w:customStyle="1" w:styleId="Style7">
    <w:name w:val="Style7"/>
    <w:basedOn w:val="Heading3"/>
    <w:uiPriority w:val="99"/>
    <w:rsid w:val="00992E3F"/>
    <w:pPr>
      <w:ind w:left="432"/>
    </w:pPr>
  </w:style>
  <w:style w:type="paragraph" w:customStyle="1" w:styleId="Figuretitle">
    <w:name w:val="Figure title"/>
    <w:basedOn w:val="Heading3"/>
    <w:uiPriority w:val="99"/>
    <w:rsid w:val="00EE6FD8"/>
    <w:pPr>
      <w:spacing w:before="240"/>
      <w:jc w:val="center"/>
    </w:pPr>
    <w:rPr>
      <w:rFonts w:ascii="Cambria" w:hAnsi="Cambria"/>
      <w:sz w:val="20"/>
      <w:szCs w:val="20"/>
    </w:rPr>
  </w:style>
  <w:style w:type="paragraph" w:styleId="EndnoteText">
    <w:name w:val="endnote text"/>
    <w:basedOn w:val="Normal"/>
    <w:link w:val="EndnoteTextChar"/>
    <w:uiPriority w:val="99"/>
    <w:semiHidden/>
    <w:rsid w:val="00FF79C9"/>
    <w:rPr>
      <w:rFonts w:ascii="Calibri" w:hAnsi="Calibri"/>
      <w:sz w:val="20"/>
      <w:szCs w:val="20"/>
      <w:lang w:eastAsia="hr-HR"/>
    </w:rPr>
  </w:style>
  <w:style w:type="character" w:customStyle="1" w:styleId="EndnoteTextChar">
    <w:name w:val="Endnote Text Char"/>
    <w:basedOn w:val="DefaultParagraphFont"/>
    <w:link w:val="EndnoteText"/>
    <w:uiPriority w:val="99"/>
    <w:semiHidden/>
    <w:locked/>
    <w:rsid w:val="00FF79C9"/>
    <w:rPr>
      <w:rFonts w:cs="Times New Roman"/>
      <w:sz w:val="20"/>
      <w:szCs w:val="20"/>
      <w:lang w:val="en-US"/>
    </w:rPr>
  </w:style>
  <w:style w:type="character" w:styleId="EndnoteReference">
    <w:name w:val="endnote reference"/>
    <w:basedOn w:val="DefaultParagraphFont"/>
    <w:uiPriority w:val="99"/>
    <w:semiHidden/>
    <w:rsid w:val="00FF79C9"/>
    <w:rPr>
      <w:rFonts w:cs="Times New Roman"/>
      <w:vertAlign w:val="superscript"/>
    </w:rPr>
  </w:style>
  <w:style w:type="paragraph" w:styleId="Revision">
    <w:name w:val="Revision"/>
    <w:hidden/>
    <w:uiPriority w:val="99"/>
    <w:semiHidden/>
    <w:rsid w:val="00BC6E26"/>
    <w:rPr>
      <w:sz w:val="22"/>
      <w:szCs w:val="22"/>
      <w:lang w:eastAsia="hr-HR"/>
    </w:rPr>
  </w:style>
  <w:style w:type="paragraph" w:customStyle="1" w:styleId="RearCoverAddress">
    <w:name w:val="Rear Cover Address"/>
    <w:basedOn w:val="Normal"/>
    <w:semiHidden/>
    <w:rsid w:val="009D4EC2"/>
    <w:pPr>
      <w:jc w:val="center"/>
    </w:pPr>
    <w:rPr>
      <w:color w:val="FFFFFF"/>
      <w:sz w:val="30"/>
    </w:rPr>
  </w:style>
  <w:style w:type="paragraph" w:customStyle="1" w:styleId="Pa0">
    <w:name w:val="Pa0"/>
    <w:basedOn w:val="Normal"/>
    <w:next w:val="Normal"/>
    <w:uiPriority w:val="99"/>
    <w:rsid w:val="00186B7E"/>
    <w:pPr>
      <w:autoSpaceDE w:val="0"/>
      <w:autoSpaceDN w:val="0"/>
      <w:adjustRightInd w:val="0"/>
      <w:spacing w:line="241" w:lineRule="atLeast"/>
    </w:pPr>
    <w:rPr>
      <w:rFonts w:ascii="Helvetica 35 Thin" w:eastAsia="Calibri" w:hAnsi="Helvetica 35 Thin"/>
    </w:rPr>
  </w:style>
  <w:style w:type="character" w:customStyle="1" w:styleId="A8">
    <w:name w:val="A8"/>
    <w:uiPriority w:val="99"/>
    <w:rsid w:val="00186B7E"/>
    <w:rPr>
      <w:rFonts w:cs="Helvetica 35 Thin"/>
      <w:color w:val="000000"/>
      <w:sz w:val="22"/>
      <w:szCs w:val="22"/>
    </w:rPr>
  </w:style>
  <w:style w:type="paragraph" w:styleId="TOC4">
    <w:name w:val="toc 4"/>
    <w:basedOn w:val="Normal"/>
    <w:next w:val="Normal"/>
    <w:autoRedefine/>
    <w:locked/>
    <w:rsid w:val="00A92A9B"/>
    <w:pPr>
      <w:ind w:left="660"/>
    </w:pPr>
    <w:rPr>
      <w:rFonts w:asciiTheme="minorHAnsi" w:hAnsiTheme="minorHAnsi" w:cstheme="minorHAnsi"/>
      <w:sz w:val="20"/>
      <w:szCs w:val="20"/>
      <w:lang w:eastAsia="hr-HR"/>
    </w:rPr>
  </w:style>
  <w:style w:type="paragraph" w:styleId="TOC5">
    <w:name w:val="toc 5"/>
    <w:basedOn w:val="Normal"/>
    <w:next w:val="Normal"/>
    <w:autoRedefine/>
    <w:locked/>
    <w:rsid w:val="00C468EA"/>
    <w:pPr>
      <w:ind w:left="880"/>
    </w:pPr>
    <w:rPr>
      <w:rFonts w:asciiTheme="minorHAnsi" w:hAnsiTheme="minorHAnsi" w:cstheme="minorHAnsi"/>
      <w:sz w:val="20"/>
      <w:szCs w:val="20"/>
      <w:lang w:eastAsia="hr-HR"/>
    </w:rPr>
  </w:style>
  <w:style w:type="paragraph" w:styleId="TOC6">
    <w:name w:val="toc 6"/>
    <w:basedOn w:val="Normal"/>
    <w:next w:val="Normal"/>
    <w:autoRedefine/>
    <w:locked/>
    <w:rsid w:val="00C468EA"/>
    <w:pPr>
      <w:ind w:left="1100"/>
    </w:pPr>
    <w:rPr>
      <w:rFonts w:asciiTheme="minorHAnsi" w:hAnsiTheme="minorHAnsi" w:cstheme="minorHAnsi"/>
      <w:sz w:val="20"/>
      <w:szCs w:val="20"/>
      <w:lang w:eastAsia="hr-HR"/>
    </w:rPr>
  </w:style>
  <w:style w:type="paragraph" w:styleId="TOC7">
    <w:name w:val="toc 7"/>
    <w:basedOn w:val="Normal"/>
    <w:next w:val="Normal"/>
    <w:autoRedefine/>
    <w:locked/>
    <w:rsid w:val="00C468EA"/>
    <w:pPr>
      <w:ind w:left="1320"/>
    </w:pPr>
    <w:rPr>
      <w:rFonts w:asciiTheme="minorHAnsi" w:hAnsiTheme="minorHAnsi" w:cstheme="minorHAnsi"/>
      <w:sz w:val="20"/>
      <w:szCs w:val="20"/>
      <w:lang w:eastAsia="hr-HR"/>
    </w:rPr>
  </w:style>
  <w:style w:type="paragraph" w:styleId="TOC8">
    <w:name w:val="toc 8"/>
    <w:basedOn w:val="Normal"/>
    <w:next w:val="Normal"/>
    <w:autoRedefine/>
    <w:locked/>
    <w:rsid w:val="00C468EA"/>
    <w:pPr>
      <w:ind w:left="1540"/>
    </w:pPr>
    <w:rPr>
      <w:rFonts w:asciiTheme="minorHAnsi" w:hAnsiTheme="minorHAnsi" w:cstheme="minorHAnsi"/>
      <w:sz w:val="20"/>
      <w:szCs w:val="20"/>
      <w:lang w:eastAsia="hr-HR"/>
    </w:rPr>
  </w:style>
  <w:style w:type="paragraph" w:styleId="TOC9">
    <w:name w:val="toc 9"/>
    <w:basedOn w:val="Normal"/>
    <w:next w:val="Normal"/>
    <w:autoRedefine/>
    <w:locked/>
    <w:rsid w:val="00C468EA"/>
    <w:pPr>
      <w:ind w:left="1760"/>
    </w:pPr>
    <w:rPr>
      <w:rFonts w:asciiTheme="minorHAnsi" w:hAnsiTheme="minorHAnsi" w:cstheme="minorHAnsi"/>
      <w:sz w:val="20"/>
      <w:szCs w:val="20"/>
      <w:lang w:eastAsia="hr-HR"/>
    </w:rPr>
  </w:style>
  <w:style w:type="paragraph" w:customStyle="1" w:styleId="Bullet1Last">
    <w:name w:val="Bullet 1_Last"/>
    <w:basedOn w:val="Bullet1"/>
    <w:qFormat/>
    <w:rsid w:val="0038787D"/>
    <w:pPr>
      <w:spacing w:after="240"/>
    </w:pPr>
  </w:style>
  <w:style w:type="character" w:styleId="SubtleEmphasis">
    <w:name w:val="Subtle Emphasis"/>
    <w:uiPriority w:val="19"/>
    <w:rsid w:val="006C3F61"/>
    <w:rPr>
      <w:rFonts w:cs="Calibri"/>
      <w:i/>
      <w:color w:val="808080" w:themeColor="background1" w:themeShade="80"/>
      <w:sz w:val="20"/>
    </w:rPr>
  </w:style>
  <w:style w:type="character" w:styleId="IntenseEmphasis">
    <w:name w:val="Intense Emphasis"/>
    <w:basedOn w:val="DefaultParagraphFont"/>
    <w:uiPriority w:val="21"/>
    <w:qFormat/>
    <w:rsid w:val="00783DFA"/>
    <w:rPr>
      <w:b/>
      <w:bCs/>
      <w:i/>
      <w:iCs/>
      <w:color w:val="002776" w:themeColor="accent1"/>
    </w:rPr>
  </w:style>
  <w:style w:type="paragraph" w:customStyle="1" w:styleId="Heading1-nonumbering">
    <w:name w:val="Heading 1 - no numbering"/>
    <w:basedOn w:val="Heading1"/>
    <w:qFormat/>
    <w:rsid w:val="0016347D"/>
    <w:pPr>
      <w:spacing w:before="120"/>
    </w:pPr>
    <w:rPr>
      <w:rFonts w:ascii="Arial" w:hAnsi="Arial"/>
      <w:iCs/>
    </w:rPr>
  </w:style>
  <w:style w:type="paragraph" w:customStyle="1" w:styleId="TableBody">
    <w:name w:val="Table Body"/>
    <w:link w:val="TableBodyChar"/>
    <w:qFormat/>
    <w:rsid w:val="007765CD"/>
    <w:pPr>
      <w:spacing w:before="60" w:after="60"/>
    </w:pPr>
    <w:rPr>
      <w:rFonts w:asciiTheme="minorHAnsi" w:hAnsiTheme="minorHAnsi"/>
      <w:color w:val="002776"/>
      <w:szCs w:val="24"/>
    </w:rPr>
  </w:style>
  <w:style w:type="character" w:customStyle="1" w:styleId="TableBodyChar">
    <w:name w:val="Table Body Char"/>
    <w:basedOn w:val="DefaultParagraphFont"/>
    <w:link w:val="TableBody"/>
    <w:locked/>
    <w:rsid w:val="00557E9C"/>
    <w:rPr>
      <w:rFonts w:asciiTheme="minorHAnsi" w:hAnsiTheme="minorHAnsi"/>
      <w:color w:val="002776"/>
      <w:szCs w:val="24"/>
    </w:rPr>
  </w:style>
  <w:style w:type="character" w:customStyle="1" w:styleId="CharacterWhiteText">
    <w:name w:val="Character White Text"/>
    <w:uiPriority w:val="99"/>
    <w:rsid w:val="005B7909"/>
    <w:rPr>
      <w:color w:val="FFFFFF"/>
    </w:rPr>
  </w:style>
  <w:style w:type="paragraph" w:customStyle="1" w:styleId="TableText">
    <w:name w:val="Table Text"/>
    <w:basedOn w:val="Normal"/>
    <w:uiPriority w:val="99"/>
    <w:rsid w:val="007765CD"/>
    <w:pPr>
      <w:spacing w:beforeLines="40" w:afterLines="40" w:after="240"/>
    </w:pPr>
    <w:rPr>
      <w:rFonts w:asciiTheme="minorHAnsi" w:hAnsiTheme="minorHAnsi" w:cstheme="minorHAnsi"/>
      <w:color w:val="002060"/>
      <w:sz w:val="20"/>
      <w:szCs w:val="20"/>
      <w:lang w:eastAsia="hr-HR"/>
    </w:rPr>
  </w:style>
  <w:style w:type="paragraph" w:styleId="Subtitle">
    <w:name w:val="Subtitle"/>
    <w:basedOn w:val="Normal"/>
    <w:next w:val="Normal"/>
    <w:link w:val="SubtitleChar"/>
    <w:uiPriority w:val="99"/>
    <w:locked/>
    <w:rsid w:val="00646F6A"/>
    <w:pPr>
      <w:numPr>
        <w:ilvl w:val="1"/>
      </w:numPr>
      <w:spacing w:after="240"/>
    </w:pPr>
    <w:rPr>
      <w:rFonts w:asciiTheme="majorHAnsi" w:eastAsiaTheme="majorEastAsia" w:hAnsiTheme="majorHAnsi" w:cstheme="majorBidi"/>
      <w:i/>
      <w:iCs/>
      <w:color w:val="002776" w:themeColor="accent1"/>
      <w:spacing w:val="15"/>
      <w:lang w:eastAsia="hr-HR"/>
    </w:rPr>
  </w:style>
  <w:style w:type="character" w:customStyle="1" w:styleId="SubtitleChar">
    <w:name w:val="Subtitle Char"/>
    <w:basedOn w:val="DefaultParagraphFont"/>
    <w:link w:val="Subtitle"/>
    <w:uiPriority w:val="99"/>
    <w:rsid w:val="00646F6A"/>
    <w:rPr>
      <w:rFonts w:asciiTheme="majorHAnsi" w:eastAsiaTheme="majorEastAsia" w:hAnsiTheme="majorHAnsi" w:cstheme="majorBidi"/>
      <w:i/>
      <w:iCs/>
      <w:color w:val="002776" w:themeColor="accent1"/>
      <w:spacing w:val="15"/>
      <w:sz w:val="24"/>
      <w:szCs w:val="24"/>
      <w:lang w:eastAsia="hr-HR"/>
    </w:rPr>
  </w:style>
  <w:style w:type="paragraph" w:styleId="ListBullet">
    <w:name w:val="List Bullet"/>
    <w:basedOn w:val="Normal"/>
    <w:rsid w:val="00B94EEB"/>
    <w:pPr>
      <w:numPr>
        <w:numId w:val="1"/>
      </w:numPr>
      <w:autoSpaceDE w:val="0"/>
      <w:autoSpaceDN w:val="0"/>
      <w:adjustRightInd w:val="0"/>
      <w:spacing w:line="276" w:lineRule="auto"/>
      <w:contextualSpacing/>
    </w:pPr>
    <w:rPr>
      <w:rFonts w:ascii="Calibri" w:hAnsi="Calibri"/>
      <w:lang w:eastAsia="hr-HR"/>
    </w:rPr>
  </w:style>
  <w:style w:type="character" w:styleId="Emphasis">
    <w:name w:val="Emphasis"/>
    <w:basedOn w:val="DefaultParagraphFont"/>
    <w:qFormat/>
    <w:locked/>
    <w:rsid w:val="00114B18"/>
    <w:rPr>
      <w:i/>
      <w:iCs/>
    </w:rPr>
  </w:style>
  <w:style w:type="paragraph" w:customStyle="1" w:styleId="Bullet1nospace">
    <w:name w:val="Bullet 1 no space"/>
    <w:basedOn w:val="Caption"/>
    <w:qFormat/>
    <w:rsid w:val="00EC26CF"/>
  </w:style>
  <w:style w:type="table" w:customStyle="1" w:styleId="LightShading1">
    <w:name w:val="Light Shading1"/>
    <w:basedOn w:val="TableNormal"/>
    <w:uiPriority w:val="60"/>
    <w:rsid w:val="00445F47"/>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MGBodyText">
    <w:name w:val="PMG Body Text"/>
    <w:basedOn w:val="Normal"/>
    <w:link w:val="PMGBodyTextCharChar"/>
    <w:rsid w:val="008D2D6D"/>
    <w:rPr>
      <w:rFonts w:ascii="Verdana" w:hAnsi="Verdana"/>
      <w:sz w:val="20"/>
      <w:szCs w:val="20"/>
    </w:rPr>
  </w:style>
  <w:style w:type="character" w:customStyle="1" w:styleId="PMGBodyTextCharChar">
    <w:name w:val="PMG Body Text Char Char"/>
    <w:basedOn w:val="DefaultParagraphFont"/>
    <w:link w:val="PMGBodyText"/>
    <w:rsid w:val="008D2D6D"/>
    <w:rPr>
      <w:rFonts w:ascii="Verdana" w:hAnsi="Verdana"/>
    </w:rPr>
  </w:style>
  <w:style w:type="character" w:styleId="FollowedHyperlink">
    <w:name w:val="FollowedHyperlink"/>
    <w:basedOn w:val="DefaultParagraphFont"/>
    <w:uiPriority w:val="99"/>
    <w:semiHidden/>
    <w:unhideWhenUsed/>
    <w:rsid w:val="009B7483"/>
    <w:rPr>
      <w:color w:val="3C8A2E" w:themeColor="followedHyperlink"/>
      <w:u w:val="single"/>
    </w:rPr>
  </w:style>
  <w:style w:type="paragraph" w:customStyle="1" w:styleId="List-lastbullet">
    <w:name w:val="List - last bullet"/>
    <w:basedOn w:val="ListParagraph"/>
    <w:uiPriority w:val="99"/>
    <w:rsid w:val="00EF4D7C"/>
    <w:pPr>
      <w:spacing w:before="0" w:after="180"/>
      <w:ind w:left="1440"/>
      <w:contextualSpacing/>
    </w:pPr>
    <w:rPr>
      <w:lang w:eastAsia="en-US"/>
    </w:rPr>
  </w:style>
  <w:style w:type="character" w:customStyle="1" w:styleId="apple-style-span">
    <w:name w:val="apple-style-span"/>
    <w:basedOn w:val="DefaultParagraphFont"/>
    <w:rsid w:val="0035164D"/>
  </w:style>
  <w:style w:type="paragraph" w:customStyle="1" w:styleId="CalloutboxTitle">
    <w:name w:val="Callout box Title"/>
    <w:basedOn w:val="CalloutText"/>
    <w:qFormat/>
    <w:rsid w:val="006C3F61"/>
    <w:pPr>
      <w:framePr w:wrap="auto"/>
      <w:spacing w:after="120"/>
      <w:jc w:val="center"/>
    </w:pPr>
    <w:rPr>
      <w:b/>
    </w:rPr>
  </w:style>
  <w:style w:type="paragraph" w:styleId="Caption">
    <w:name w:val="caption"/>
    <w:basedOn w:val="Figuretitle"/>
    <w:next w:val="Normal"/>
    <w:link w:val="CaptionChar"/>
    <w:uiPriority w:val="35"/>
    <w:unhideWhenUsed/>
    <w:qFormat/>
    <w:locked/>
    <w:rsid w:val="00981FF6"/>
    <w:pPr>
      <w:outlineLvl w:val="9"/>
    </w:pPr>
    <w:rPr>
      <w:rFonts w:ascii="Arial" w:hAnsi="Arial"/>
    </w:rPr>
  </w:style>
  <w:style w:type="character" w:customStyle="1" w:styleId="CaptionChar">
    <w:name w:val="Caption Char"/>
    <w:link w:val="Caption"/>
    <w:uiPriority w:val="35"/>
    <w:rsid w:val="00981FF6"/>
    <w:rPr>
      <w:rFonts w:ascii="Arial" w:eastAsia="Arial" w:hAnsi="Arial" w:cs="Arial"/>
      <w:b/>
      <w:iCs/>
      <w:color w:val="002776"/>
    </w:rPr>
  </w:style>
  <w:style w:type="character" w:customStyle="1" w:styleId="ft">
    <w:name w:val="ft"/>
    <w:basedOn w:val="DefaultParagraphFont"/>
    <w:rsid w:val="00DE5C0B"/>
  </w:style>
  <w:style w:type="paragraph" w:customStyle="1" w:styleId="Calloutboxtext">
    <w:name w:val="Callout box text"/>
    <w:basedOn w:val="CalloutboxTitle"/>
    <w:qFormat/>
    <w:rsid w:val="006C3F61"/>
    <w:pPr>
      <w:framePr w:wrap="auto"/>
      <w:jc w:val="left"/>
    </w:pPr>
    <w:rPr>
      <w:b w:val="0"/>
    </w:rPr>
  </w:style>
  <w:style w:type="character" w:customStyle="1" w:styleId="field-content2">
    <w:name w:val="field-content2"/>
    <w:basedOn w:val="DefaultParagraphFont"/>
    <w:rsid w:val="00CE077B"/>
  </w:style>
  <w:style w:type="paragraph" w:customStyle="1" w:styleId="FooterOdd">
    <w:name w:val="Footer Odd"/>
    <w:basedOn w:val="Normal"/>
    <w:rsid w:val="00095796"/>
    <w:pPr>
      <w:pBdr>
        <w:top w:val="single" w:sz="4" w:space="1" w:color="002776" w:themeColor="accent1"/>
      </w:pBdr>
      <w:spacing w:after="180" w:line="264" w:lineRule="auto"/>
      <w:jc w:val="right"/>
    </w:pPr>
    <w:rPr>
      <w:rFonts w:asciiTheme="minorHAnsi" w:eastAsiaTheme="minorHAnsi" w:hAnsiTheme="minorHAnsi"/>
      <w:color w:val="C9DD03" w:themeColor="text2"/>
      <w:sz w:val="20"/>
      <w:szCs w:val="20"/>
      <w:lang w:eastAsia="ja-JP"/>
    </w:rPr>
  </w:style>
  <w:style w:type="table" w:customStyle="1" w:styleId="LightShading-Accent111">
    <w:name w:val="Light Shading - Accent 111"/>
    <w:basedOn w:val="TableNormal"/>
    <w:next w:val="TableNormal"/>
    <w:uiPriority w:val="60"/>
    <w:rsid w:val="00AB6515"/>
    <w:rPr>
      <w:rFonts w:eastAsia="Calibri"/>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alloutBullet">
    <w:name w:val="Callout Bullet"/>
    <w:basedOn w:val="ListParagraph"/>
    <w:qFormat/>
    <w:rsid w:val="000818AC"/>
    <w:pPr>
      <w:widowControl w:val="0"/>
      <w:numPr>
        <w:numId w:val="3"/>
      </w:numPr>
      <w:spacing w:before="20" w:after="20"/>
      <w:contextualSpacing/>
    </w:pPr>
    <w:rPr>
      <w:rFonts w:eastAsia="Calibri"/>
      <w:sz w:val="16"/>
      <w:szCs w:val="18"/>
      <w:lang w:eastAsia="en-US"/>
    </w:rPr>
  </w:style>
  <w:style w:type="paragraph" w:customStyle="1" w:styleId="CalloutTitle">
    <w:name w:val="Callout Title"/>
    <w:basedOn w:val="Normal"/>
    <w:qFormat/>
    <w:rsid w:val="000818AC"/>
    <w:pPr>
      <w:spacing w:before="60" w:after="60"/>
      <w:jc w:val="center"/>
    </w:pPr>
    <w:rPr>
      <w:rFonts w:ascii="Arial Bold" w:eastAsia="SimSun" w:hAnsi="Arial Bold" w:cs="Arial"/>
      <w:b/>
      <w:color w:val="FFFFFF" w:themeColor="background1"/>
      <w:sz w:val="18"/>
      <w:szCs w:val="20"/>
    </w:rPr>
  </w:style>
  <w:style w:type="paragraph" w:customStyle="1" w:styleId="calloutbullet0">
    <w:name w:val="calloutbullet"/>
    <w:basedOn w:val="Normal"/>
    <w:uiPriority w:val="99"/>
    <w:semiHidden/>
    <w:rsid w:val="00AC4F2C"/>
    <w:rPr>
      <w:rFonts w:eastAsiaTheme="minorHAnsi"/>
    </w:rPr>
  </w:style>
  <w:style w:type="paragraph" w:customStyle="1" w:styleId="CoverDate">
    <w:name w:val="Cover Date"/>
    <w:basedOn w:val="Normal"/>
    <w:uiPriority w:val="99"/>
    <w:rsid w:val="00696876"/>
    <w:pPr>
      <w:shd w:val="solid" w:color="FFFFFF" w:fill="FFFFFF"/>
      <w:spacing w:before="200" w:line="360" w:lineRule="exact"/>
      <w:ind w:left="1985"/>
    </w:pPr>
    <w:rPr>
      <w:rFonts w:cs="Arial"/>
      <w:sz w:val="36"/>
      <w:szCs w:val="36"/>
    </w:rPr>
  </w:style>
  <w:style w:type="table" w:customStyle="1" w:styleId="TableGridLight1">
    <w:name w:val="Table Grid Light1"/>
    <w:basedOn w:val="TableNormal"/>
    <w:uiPriority w:val="40"/>
    <w:rsid w:val="002743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inTable">
    <w:name w:val="Main Table"/>
    <w:basedOn w:val="TableNormal"/>
    <w:uiPriority w:val="99"/>
    <w:rsid w:val="0027437C"/>
    <w:rPr>
      <w:rFonts w:ascii="Arial" w:hAnsi="Arial"/>
      <w:sz w:val="22"/>
    </w:rPr>
    <w:tblPr>
      <w:tblBorders>
        <w:top w:val="single" w:sz="4" w:space="0" w:color="1361FF" w:themeColor="accent1" w:themeTint="99"/>
        <w:left w:val="single" w:sz="4" w:space="0" w:color="1361FF" w:themeColor="accent1" w:themeTint="99"/>
        <w:bottom w:val="single" w:sz="4" w:space="0" w:color="1361FF" w:themeColor="accent1" w:themeTint="99"/>
        <w:right w:val="single" w:sz="4" w:space="0" w:color="1361FF" w:themeColor="accent1" w:themeTint="99"/>
        <w:insideH w:val="single" w:sz="4" w:space="0" w:color="1361FF" w:themeColor="accent1" w:themeTint="99"/>
        <w:insideV w:val="single" w:sz="4" w:space="0" w:color="1361FF" w:themeColor="accent1" w:themeTint="99"/>
      </w:tblBorders>
    </w:tblPr>
    <w:tblStylePr w:type="firstRow">
      <w:rPr>
        <w:b/>
      </w:rPr>
      <w:tblPr/>
      <w:tcPr>
        <w:shd w:val="clear" w:color="auto" w:fill="002776" w:themeFill="accent1"/>
      </w:tcPr>
    </w:tblStylePr>
  </w:style>
  <w:style w:type="paragraph" w:customStyle="1" w:styleId="CoverClientName">
    <w:name w:val="Cover Client Name"/>
    <w:basedOn w:val="Normal"/>
    <w:next w:val="Normal"/>
    <w:uiPriority w:val="99"/>
    <w:rsid w:val="00E6309D"/>
    <w:pPr>
      <w:spacing w:before="2220" w:line="720" w:lineRule="exact"/>
      <w:ind w:left="1985"/>
    </w:pPr>
    <w:rPr>
      <w:sz w:val="60"/>
      <w:szCs w:val="20"/>
    </w:rPr>
  </w:style>
  <w:style w:type="paragraph" w:customStyle="1" w:styleId="CoverNarrative">
    <w:name w:val="Cover Narrative"/>
    <w:basedOn w:val="Normal"/>
    <w:rsid w:val="00E6309D"/>
    <w:pPr>
      <w:shd w:val="solid" w:color="FFFFFF" w:fill="FFFFFF"/>
      <w:spacing w:before="200" w:line="360" w:lineRule="exact"/>
      <w:ind w:left="1985"/>
    </w:pPr>
    <w:rPr>
      <w:sz w:val="36"/>
      <w:szCs w:val="20"/>
    </w:rPr>
  </w:style>
  <w:style w:type="paragraph" w:customStyle="1" w:styleId="CoverCopyright">
    <w:name w:val="Cover Copyright"/>
    <w:basedOn w:val="CoverNarrative"/>
    <w:rsid w:val="00E6309D"/>
    <w:pPr>
      <w:spacing w:line="240" w:lineRule="auto"/>
    </w:pPr>
    <w:rPr>
      <w:sz w:val="16"/>
    </w:rPr>
  </w:style>
  <w:style w:type="character" w:styleId="PageNumber">
    <w:name w:val="page number"/>
    <w:basedOn w:val="DefaultParagraphFont"/>
    <w:rsid w:val="00E6309D"/>
    <w:rPr>
      <w:noProof/>
      <w:sz w:val="22"/>
    </w:rPr>
  </w:style>
  <w:style w:type="paragraph" w:customStyle="1" w:styleId="CoverConfidentiality">
    <w:name w:val="Cover Confidentiality"/>
    <w:basedOn w:val="Normal"/>
    <w:rsid w:val="00E6309D"/>
    <w:pPr>
      <w:spacing w:before="800"/>
      <w:ind w:left="1985"/>
    </w:pPr>
    <w:rPr>
      <w:i/>
      <w:szCs w:val="20"/>
    </w:rPr>
  </w:style>
  <w:style w:type="paragraph" w:customStyle="1" w:styleId="Normal0pt">
    <w:name w:val="Normal 0pt"/>
    <w:basedOn w:val="Normal"/>
    <w:rsid w:val="00E6309D"/>
    <w:rPr>
      <w:szCs w:val="20"/>
    </w:rPr>
  </w:style>
  <w:style w:type="paragraph" w:customStyle="1" w:styleId="CoverFooter">
    <w:name w:val="Cover Footer"/>
    <w:basedOn w:val="Normal"/>
    <w:rsid w:val="00E6309D"/>
    <w:pPr>
      <w:spacing w:before="160"/>
      <w:jc w:val="right"/>
    </w:pPr>
    <w:rPr>
      <w:sz w:val="16"/>
      <w:szCs w:val="20"/>
    </w:rPr>
  </w:style>
  <w:style w:type="paragraph" w:customStyle="1" w:styleId="Foreword">
    <w:name w:val="Foreword"/>
    <w:basedOn w:val="Normal"/>
    <w:next w:val="Normal"/>
    <w:rsid w:val="00E6309D"/>
    <w:pPr>
      <w:keepNext/>
      <w:pageBreakBefore/>
      <w:pBdr>
        <w:bottom w:val="single" w:sz="12" w:space="1" w:color="auto"/>
      </w:pBdr>
    </w:pPr>
    <w:rPr>
      <w:b/>
      <w:i/>
      <w:caps/>
      <w:kern w:val="28"/>
      <w:szCs w:val="20"/>
    </w:rPr>
  </w:style>
  <w:style w:type="paragraph" w:customStyle="1" w:styleId="Ghost">
    <w:name w:val="Ghost"/>
    <w:basedOn w:val="Normal"/>
    <w:rsid w:val="00E6309D"/>
    <w:pPr>
      <w:spacing w:after="240"/>
      <w:ind w:left="-567"/>
    </w:pPr>
    <w:rPr>
      <w:i/>
      <w:noProof/>
      <w:szCs w:val="20"/>
    </w:rPr>
  </w:style>
  <w:style w:type="paragraph" w:customStyle="1" w:styleId="ChapterFooter">
    <w:name w:val="Chapter Footer"/>
    <w:basedOn w:val="CoverFooter"/>
    <w:rsid w:val="00E6309D"/>
  </w:style>
  <w:style w:type="paragraph" w:styleId="DocumentMap">
    <w:name w:val="Document Map"/>
    <w:basedOn w:val="Normal"/>
    <w:link w:val="DocumentMapChar"/>
    <w:semiHidden/>
    <w:rsid w:val="00E6309D"/>
    <w:pPr>
      <w:shd w:val="clear" w:color="auto" w:fill="000080"/>
      <w:spacing w:before="240"/>
    </w:pPr>
    <w:rPr>
      <w:rFonts w:ascii="Tahoma" w:hAnsi="Tahoma"/>
      <w:sz w:val="16"/>
      <w:szCs w:val="20"/>
    </w:rPr>
  </w:style>
  <w:style w:type="character" w:customStyle="1" w:styleId="DocumentMapChar">
    <w:name w:val="Document Map Char"/>
    <w:basedOn w:val="DefaultParagraphFont"/>
    <w:link w:val="DocumentMap"/>
    <w:semiHidden/>
    <w:rsid w:val="00E6309D"/>
    <w:rPr>
      <w:rFonts w:ascii="Tahoma" w:hAnsi="Tahoma"/>
      <w:sz w:val="16"/>
      <w:shd w:val="clear" w:color="auto" w:fill="000080"/>
    </w:rPr>
  </w:style>
  <w:style w:type="paragraph" w:customStyle="1" w:styleId="TOCNormal">
    <w:name w:val="TOC Normal"/>
    <w:basedOn w:val="TOCHeading"/>
    <w:rsid w:val="00E6309D"/>
    <w:pPr>
      <w:keepNext w:val="0"/>
      <w:keepLines w:val="0"/>
      <w:spacing w:before="240"/>
    </w:pPr>
    <w:rPr>
      <w:rFonts w:ascii="Arial" w:hAnsi="Arial" w:cs="Times New Roman"/>
      <w:bCs w:val="0"/>
      <w:caps/>
      <w:color w:val="auto"/>
      <w:sz w:val="26"/>
      <w:szCs w:val="20"/>
    </w:rPr>
  </w:style>
  <w:style w:type="paragraph" w:customStyle="1" w:styleId="CoverAddress">
    <w:name w:val="Cover Address"/>
    <w:basedOn w:val="Normal"/>
    <w:rsid w:val="00E6309D"/>
    <w:pPr>
      <w:framePr w:hSpace="180" w:wrap="around" w:vAnchor="page" w:hAnchor="page" w:x="6912" w:y="576"/>
      <w:jc w:val="right"/>
    </w:pPr>
    <w:rPr>
      <w:noProof/>
      <w:szCs w:val="20"/>
    </w:rPr>
  </w:style>
  <w:style w:type="paragraph" w:styleId="ListNumber">
    <w:name w:val="List Number"/>
    <w:basedOn w:val="ListBullet"/>
    <w:rsid w:val="00E6309D"/>
    <w:pPr>
      <w:numPr>
        <w:numId w:val="0"/>
      </w:numPr>
      <w:tabs>
        <w:tab w:val="left" w:pos="851"/>
      </w:tabs>
      <w:autoSpaceDE/>
      <w:autoSpaceDN/>
      <w:adjustRightInd/>
      <w:spacing w:before="160" w:line="240" w:lineRule="auto"/>
      <w:ind w:left="851" w:hanging="284"/>
      <w:contextualSpacing w:val="0"/>
      <w:jc w:val="left"/>
    </w:pPr>
    <w:rPr>
      <w:rFonts w:ascii="Arial" w:hAnsi="Arial"/>
      <w:szCs w:val="20"/>
      <w:lang w:eastAsia="en-US"/>
    </w:rPr>
  </w:style>
  <w:style w:type="paragraph" w:styleId="ListBullet2">
    <w:name w:val="List Bullet 2"/>
    <w:basedOn w:val="ListBullet"/>
    <w:rsid w:val="00E6309D"/>
    <w:pPr>
      <w:numPr>
        <w:numId w:val="4"/>
      </w:numPr>
      <w:tabs>
        <w:tab w:val="clear" w:pos="643"/>
        <w:tab w:val="num" w:pos="1134"/>
      </w:tabs>
      <w:autoSpaceDE/>
      <w:autoSpaceDN/>
      <w:adjustRightInd/>
      <w:spacing w:before="80" w:line="240" w:lineRule="auto"/>
      <w:contextualSpacing w:val="0"/>
      <w:jc w:val="left"/>
    </w:pPr>
    <w:rPr>
      <w:rFonts w:ascii="Arial" w:hAnsi="Arial"/>
      <w:szCs w:val="20"/>
      <w:lang w:eastAsia="en-US"/>
    </w:rPr>
  </w:style>
  <w:style w:type="paragraph" w:styleId="ListBullet3">
    <w:name w:val="List Bullet 3"/>
    <w:basedOn w:val="ListBullet2"/>
    <w:rsid w:val="00E6309D"/>
    <w:pPr>
      <w:numPr>
        <w:numId w:val="5"/>
      </w:numPr>
      <w:tabs>
        <w:tab w:val="clear" w:pos="926"/>
        <w:tab w:val="num" w:pos="1418"/>
      </w:tabs>
    </w:pPr>
  </w:style>
  <w:style w:type="paragraph" w:styleId="ListBullet4">
    <w:name w:val="List Bullet 4"/>
    <w:basedOn w:val="ListBullet3"/>
    <w:rsid w:val="00E6309D"/>
    <w:pPr>
      <w:numPr>
        <w:numId w:val="6"/>
      </w:numPr>
      <w:tabs>
        <w:tab w:val="clear" w:pos="1209"/>
        <w:tab w:val="left" w:pos="1701"/>
      </w:tabs>
    </w:pPr>
  </w:style>
  <w:style w:type="paragraph" w:styleId="ListNumber2">
    <w:name w:val="List Number 2"/>
    <w:basedOn w:val="ListBullet2"/>
    <w:rsid w:val="00E6309D"/>
    <w:pPr>
      <w:numPr>
        <w:numId w:val="0"/>
      </w:numPr>
      <w:tabs>
        <w:tab w:val="num" w:pos="1134"/>
      </w:tabs>
      <w:ind w:left="1134" w:hanging="283"/>
    </w:pPr>
  </w:style>
  <w:style w:type="paragraph" w:styleId="ListNumber3">
    <w:name w:val="List Number 3"/>
    <w:basedOn w:val="ListBullet3"/>
    <w:rsid w:val="00E6309D"/>
    <w:pPr>
      <w:numPr>
        <w:numId w:val="0"/>
      </w:numPr>
      <w:tabs>
        <w:tab w:val="num" w:pos="1418"/>
      </w:tabs>
      <w:ind w:left="1418" w:hanging="284"/>
    </w:pPr>
  </w:style>
  <w:style w:type="paragraph" w:styleId="PlainText">
    <w:name w:val="Plain Text"/>
    <w:basedOn w:val="Normal"/>
    <w:link w:val="PlainTextChar"/>
    <w:rsid w:val="00E6309D"/>
    <w:pPr>
      <w:spacing w:before="240"/>
    </w:pPr>
    <w:rPr>
      <w:szCs w:val="20"/>
    </w:rPr>
  </w:style>
  <w:style w:type="character" w:customStyle="1" w:styleId="PlainTextChar">
    <w:name w:val="Plain Text Char"/>
    <w:basedOn w:val="DefaultParagraphFont"/>
    <w:link w:val="PlainText"/>
    <w:rsid w:val="00E6309D"/>
    <w:rPr>
      <w:rFonts w:ascii="Arial" w:hAnsi="Arial"/>
      <w:sz w:val="22"/>
    </w:rPr>
  </w:style>
  <w:style w:type="paragraph" w:customStyle="1" w:styleId="a">
    <w:name w:val="Знак Знак"/>
    <w:basedOn w:val="Normal"/>
    <w:rsid w:val="00E6309D"/>
    <w:pPr>
      <w:spacing w:after="160" w:line="240" w:lineRule="exact"/>
    </w:pPr>
    <w:rPr>
      <w:rFonts w:ascii="Tahoma" w:hAnsi="Tahoma"/>
      <w:sz w:val="20"/>
      <w:szCs w:val="20"/>
    </w:rPr>
  </w:style>
  <w:style w:type="paragraph" w:styleId="BodyText2">
    <w:name w:val="Body Text 2"/>
    <w:basedOn w:val="Normal"/>
    <w:link w:val="BodyText2Char"/>
    <w:rsid w:val="00E6309D"/>
    <w:rPr>
      <w:color w:val="FFFFFF"/>
      <w:szCs w:val="20"/>
    </w:rPr>
  </w:style>
  <w:style w:type="character" w:customStyle="1" w:styleId="BodyText2Char">
    <w:name w:val="Body Text 2 Char"/>
    <w:basedOn w:val="DefaultParagraphFont"/>
    <w:link w:val="BodyText2"/>
    <w:rsid w:val="00E6309D"/>
    <w:rPr>
      <w:rFonts w:ascii="Times New Roman" w:hAnsi="Times New Roman"/>
      <w:color w:val="FFFFFF"/>
      <w:sz w:val="24"/>
    </w:rPr>
  </w:style>
  <w:style w:type="paragraph" w:customStyle="1" w:styleId="Pa2">
    <w:name w:val="Pa2"/>
    <w:basedOn w:val="Normal"/>
    <w:next w:val="Normal"/>
    <w:rsid w:val="00E6309D"/>
    <w:pPr>
      <w:autoSpaceDE w:val="0"/>
      <w:autoSpaceDN w:val="0"/>
      <w:adjustRightInd w:val="0"/>
      <w:spacing w:line="217" w:lineRule="atLeast"/>
    </w:pPr>
    <w:rPr>
      <w:rFonts w:ascii="Warnock Pro" w:hAnsi="Warnock Pro"/>
      <w:lang w:val="en-GB" w:eastAsia="en-GB"/>
    </w:rPr>
  </w:style>
  <w:style w:type="paragraph" w:styleId="Closing">
    <w:name w:val="Closing"/>
    <w:basedOn w:val="Normal"/>
    <w:link w:val="ClosingChar"/>
    <w:rsid w:val="00E6309D"/>
    <w:rPr>
      <w:szCs w:val="20"/>
    </w:rPr>
  </w:style>
  <w:style w:type="character" w:customStyle="1" w:styleId="ClosingChar">
    <w:name w:val="Closing Char"/>
    <w:basedOn w:val="DefaultParagraphFont"/>
    <w:link w:val="Closing"/>
    <w:rsid w:val="00E6309D"/>
    <w:rPr>
      <w:rFonts w:ascii="Times New Roman" w:hAnsi="Times New Roman"/>
      <w:sz w:val="24"/>
    </w:rPr>
  </w:style>
  <w:style w:type="character" w:customStyle="1" w:styleId="RunInHead">
    <w:name w:val="RunInHead"/>
    <w:basedOn w:val="DefaultParagraphFont"/>
    <w:rsid w:val="00E6309D"/>
    <w:rPr>
      <w:rFonts w:ascii="Arial" w:hAnsi="Arial"/>
      <w:b/>
      <w:sz w:val="22"/>
    </w:rPr>
  </w:style>
  <w:style w:type="paragraph" w:styleId="Salutation">
    <w:name w:val="Salutation"/>
    <w:basedOn w:val="Normal"/>
    <w:next w:val="Normal"/>
    <w:link w:val="SalutationChar"/>
    <w:rsid w:val="00E6309D"/>
    <w:rPr>
      <w:szCs w:val="20"/>
    </w:rPr>
  </w:style>
  <w:style w:type="character" w:customStyle="1" w:styleId="SalutationChar">
    <w:name w:val="Salutation Char"/>
    <w:basedOn w:val="DefaultParagraphFont"/>
    <w:link w:val="Salutation"/>
    <w:rsid w:val="00E6309D"/>
    <w:rPr>
      <w:rFonts w:ascii="Times New Roman" w:hAnsi="Times New Roman"/>
      <w:sz w:val="24"/>
    </w:rPr>
  </w:style>
  <w:style w:type="paragraph" w:customStyle="1" w:styleId="NRELBodyText">
    <w:name w:val="NREL_Body_Text"/>
    <w:link w:val="NRELBodyTextCharChar"/>
    <w:qFormat/>
    <w:rsid w:val="00E6309D"/>
    <w:pPr>
      <w:spacing w:after="220"/>
    </w:pPr>
    <w:rPr>
      <w:rFonts w:asciiTheme="minorHAnsi" w:eastAsia="Times" w:hAnsiTheme="minorHAnsi"/>
      <w:sz w:val="22"/>
      <w:szCs w:val="22"/>
    </w:rPr>
  </w:style>
  <w:style w:type="character" w:customStyle="1" w:styleId="NRELBodyTextCharChar">
    <w:name w:val="NREL_Body_Text Char Char"/>
    <w:basedOn w:val="DefaultParagraphFont"/>
    <w:link w:val="NRELBodyText"/>
    <w:rsid w:val="00E6309D"/>
    <w:rPr>
      <w:rFonts w:asciiTheme="minorHAnsi" w:eastAsia="Times" w:hAnsiTheme="minorHAnsi"/>
      <w:sz w:val="22"/>
      <w:szCs w:val="22"/>
    </w:rPr>
  </w:style>
  <w:style w:type="paragraph" w:customStyle="1" w:styleId="NRELBullet01">
    <w:name w:val="NREL_Bullet_01"/>
    <w:qFormat/>
    <w:rsid w:val="00E6309D"/>
    <w:pPr>
      <w:numPr>
        <w:numId w:val="7"/>
      </w:numPr>
      <w:spacing w:after="80"/>
    </w:pPr>
    <w:rPr>
      <w:rFonts w:asciiTheme="minorHAnsi" w:eastAsia="Times" w:hAnsiTheme="minorHAnsi"/>
      <w:sz w:val="22"/>
      <w:szCs w:val="24"/>
    </w:rPr>
  </w:style>
  <w:style w:type="character" w:customStyle="1" w:styleId="xapple-style-span">
    <w:name w:val="x_apple-style-span"/>
    <w:basedOn w:val="DefaultParagraphFont"/>
    <w:rsid w:val="00E6309D"/>
  </w:style>
  <w:style w:type="paragraph" w:customStyle="1" w:styleId="Heading10">
    <w:name w:val="Heading1"/>
    <w:basedOn w:val="Heading1-nonumbering"/>
    <w:link w:val="Heading1Char0"/>
    <w:qFormat/>
    <w:rsid w:val="00D46A17"/>
  </w:style>
  <w:style w:type="character" w:customStyle="1" w:styleId="Heading1Char0">
    <w:name w:val="Heading1 Char"/>
    <w:basedOn w:val="DefaultParagraphFont"/>
    <w:link w:val="Heading10"/>
    <w:rsid w:val="00D46A17"/>
    <w:rPr>
      <w:rFonts w:ascii="Arial" w:hAnsi="Arial" w:cs="Arial"/>
      <w:b/>
      <w:iCs/>
      <w:color w:val="002776" w:themeColor="accent1"/>
      <w:sz w:val="28"/>
      <w:szCs w:val="24"/>
    </w:rPr>
  </w:style>
  <w:style w:type="paragraph" w:customStyle="1" w:styleId="xl63">
    <w:name w:val="xl63"/>
    <w:basedOn w:val="Normal"/>
    <w:rsid w:val="00E6309D"/>
    <w:pPr>
      <w:pBdr>
        <w:left w:val="single" w:sz="4" w:space="0" w:color="auto"/>
      </w:pBdr>
      <w:spacing w:before="100" w:beforeAutospacing="1" w:after="100" w:afterAutospacing="1"/>
    </w:pPr>
  </w:style>
  <w:style w:type="paragraph" w:customStyle="1" w:styleId="xl64">
    <w:name w:val="xl64"/>
    <w:basedOn w:val="Normal"/>
    <w:rsid w:val="00E6309D"/>
    <w:pPr>
      <w:pBdr>
        <w:right w:val="single" w:sz="4" w:space="0" w:color="auto"/>
      </w:pBdr>
      <w:spacing w:before="100" w:beforeAutospacing="1" w:after="100" w:afterAutospacing="1"/>
    </w:pPr>
  </w:style>
  <w:style w:type="paragraph" w:customStyle="1" w:styleId="xl65">
    <w:name w:val="xl65"/>
    <w:basedOn w:val="Normal"/>
    <w:rsid w:val="00E6309D"/>
    <w:pPr>
      <w:pBdr>
        <w:left w:val="single" w:sz="4" w:space="0" w:color="auto"/>
        <w:bottom w:val="single" w:sz="4" w:space="0" w:color="auto"/>
      </w:pBdr>
      <w:spacing w:before="100" w:beforeAutospacing="1" w:after="100" w:afterAutospacing="1"/>
    </w:pPr>
  </w:style>
  <w:style w:type="paragraph" w:customStyle="1" w:styleId="xl66">
    <w:name w:val="xl66"/>
    <w:basedOn w:val="Normal"/>
    <w:rsid w:val="00E6309D"/>
    <w:pPr>
      <w:pBdr>
        <w:bottom w:val="single" w:sz="4" w:space="0" w:color="auto"/>
      </w:pBdr>
      <w:spacing w:before="100" w:beforeAutospacing="1" w:after="100" w:afterAutospacing="1"/>
    </w:pPr>
  </w:style>
  <w:style w:type="paragraph" w:customStyle="1" w:styleId="xl67">
    <w:name w:val="xl67"/>
    <w:basedOn w:val="Normal"/>
    <w:rsid w:val="00E6309D"/>
    <w:pPr>
      <w:pBdr>
        <w:bottom w:val="single" w:sz="4" w:space="0" w:color="auto"/>
        <w:right w:val="single" w:sz="4" w:space="0" w:color="auto"/>
      </w:pBdr>
      <w:spacing w:before="100" w:beforeAutospacing="1" w:after="100" w:afterAutospacing="1"/>
    </w:pPr>
  </w:style>
  <w:style w:type="paragraph" w:customStyle="1" w:styleId="xl68">
    <w:name w:val="xl68"/>
    <w:basedOn w:val="Normal"/>
    <w:rsid w:val="00E6309D"/>
    <w:pPr>
      <w:shd w:val="clear" w:color="000000" w:fill="76933C"/>
      <w:spacing w:before="100" w:beforeAutospacing="1" w:after="100" w:afterAutospacing="1"/>
    </w:pPr>
    <w:rPr>
      <w:color w:val="FFFFFF"/>
    </w:rPr>
  </w:style>
  <w:style w:type="paragraph" w:customStyle="1" w:styleId="xl69">
    <w:name w:val="xl69"/>
    <w:basedOn w:val="Normal"/>
    <w:rsid w:val="00E6309D"/>
    <w:pPr>
      <w:pBdr>
        <w:left w:val="single" w:sz="4" w:space="0" w:color="auto"/>
      </w:pBdr>
      <w:shd w:val="clear" w:color="000000" w:fill="76933C"/>
      <w:spacing w:before="100" w:beforeAutospacing="1" w:after="100" w:afterAutospacing="1"/>
      <w:jc w:val="center"/>
    </w:pPr>
    <w:rPr>
      <w:color w:val="FFFFFF"/>
    </w:rPr>
  </w:style>
  <w:style w:type="paragraph" w:customStyle="1" w:styleId="xl70">
    <w:name w:val="xl70"/>
    <w:basedOn w:val="Normal"/>
    <w:rsid w:val="00E6309D"/>
    <w:pPr>
      <w:spacing w:before="100" w:beforeAutospacing="1" w:after="100" w:afterAutospacing="1"/>
    </w:pPr>
    <w:rPr>
      <w:color w:val="FFFFFF"/>
    </w:rPr>
  </w:style>
  <w:style w:type="paragraph" w:customStyle="1" w:styleId="xl71">
    <w:name w:val="xl71"/>
    <w:basedOn w:val="Normal"/>
    <w:rsid w:val="00E6309D"/>
    <w:pPr>
      <w:shd w:val="clear" w:color="000000" w:fill="8DB4E2"/>
      <w:spacing w:before="100" w:beforeAutospacing="1" w:after="100" w:afterAutospacing="1"/>
    </w:pPr>
  </w:style>
  <w:style w:type="paragraph" w:customStyle="1" w:styleId="xl72">
    <w:name w:val="xl72"/>
    <w:basedOn w:val="Normal"/>
    <w:rsid w:val="00E6309D"/>
    <w:pPr>
      <w:pBdr>
        <w:left w:val="single" w:sz="4" w:space="0" w:color="auto"/>
      </w:pBdr>
      <w:spacing w:before="100" w:beforeAutospacing="1" w:after="100" w:afterAutospacing="1"/>
    </w:pPr>
  </w:style>
  <w:style w:type="paragraph" w:customStyle="1" w:styleId="xl73">
    <w:name w:val="xl73"/>
    <w:basedOn w:val="Normal"/>
    <w:rsid w:val="00E6309D"/>
    <w:pPr>
      <w:pBdr>
        <w:right w:val="single" w:sz="4" w:space="0" w:color="auto"/>
      </w:pBdr>
      <w:shd w:val="clear" w:color="000000" w:fill="8DB4E2"/>
      <w:spacing w:before="100" w:beforeAutospacing="1" w:after="100" w:afterAutospacing="1"/>
    </w:pPr>
  </w:style>
  <w:style w:type="paragraph" w:customStyle="1" w:styleId="xl74">
    <w:name w:val="xl74"/>
    <w:basedOn w:val="Normal"/>
    <w:rsid w:val="00E6309D"/>
    <w:pPr>
      <w:pBdr>
        <w:left w:val="single" w:sz="4" w:space="0" w:color="auto"/>
      </w:pBdr>
      <w:spacing w:before="100" w:beforeAutospacing="1" w:after="100" w:afterAutospacing="1"/>
    </w:pPr>
    <w:rPr>
      <w:color w:val="FFFFFF"/>
    </w:rPr>
  </w:style>
  <w:style w:type="paragraph" w:customStyle="1" w:styleId="xl75">
    <w:name w:val="xl75"/>
    <w:basedOn w:val="Normal"/>
    <w:rsid w:val="00E6309D"/>
    <w:pPr>
      <w:pBdr>
        <w:left w:val="single" w:sz="4" w:space="0" w:color="auto"/>
        <w:bottom w:val="single" w:sz="4" w:space="0" w:color="auto"/>
      </w:pBdr>
      <w:shd w:val="clear" w:color="000000" w:fill="538DD5"/>
      <w:spacing w:before="100" w:beforeAutospacing="1" w:after="100" w:afterAutospacing="1"/>
      <w:jc w:val="center"/>
    </w:pPr>
    <w:rPr>
      <w:color w:val="FFFFFF"/>
    </w:rPr>
  </w:style>
  <w:style w:type="paragraph" w:customStyle="1" w:styleId="xl76">
    <w:name w:val="xl76"/>
    <w:basedOn w:val="Normal"/>
    <w:rsid w:val="00E6309D"/>
    <w:pPr>
      <w:pBdr>
        <w:bottom w:val="single" w:sz="4" w:space="0" w:color="auto"/>
      </w:pBdr>
      <w:shd w:val="clear" w:color="000000" w:fill="538DD5"/>
      <w:spacing w:before="100" w:beforeAutospacing="1" w:after="100" w:afterAutospacing="1"/>
      <w:jc w:val="center"/>
    </w:pPr>
    <w:rPr>
      <w:color w:val="FFFFFF"/>
    </w:rPr>
  </w:style>
  <w:style w:type="paragraph" w:customStyle="1" w:styleId="xl77">
    <w:name w:val="xl77"/>
    <w:basedOn w:val="Normal"/>
    <w:rsid w:val="00E6309D"/>
    <w:pPr>
      <w:pBdr>
        <w:bottom w:val="single" w:sz="4" w:space="0" w:color="auto"/>
        <w:right w:val="single" w:sz="4" w:space="0" w:color="auto"/>
      </w:pBdr>
      <w:shd w:val="clear" w:color="000000" w:fill="538DD5"/>
      <w:spacing w:before="100" w:beforeAutospacing="1" w:after="100" w:afterAutospacing="1"/>
      <w:jc w:val="center"/>
    </w:pPr>
    <w:rPr>
      <w:color w:val="FFFFFF"/>
    </w:rPr>
  </w:style>
  <w:style w:type="paragraph" w:customStyle="1" w:styleId="xl78">
    <w:name w:val="xl78"/>
    <w:basedOn w:val="Normal"/>
    <w:rsid w:val="00E6309D"/>
    <w:pPr>
      <w:pBdr>
        <w:top w:val="single" w:sz="4" w:space="0" w:color="auto"/>
        <w:left w:val="single" w:sz="4" w:space="0" w:color="auto"/>
        <w:bottom w:val="single" w:sz="4" w:space="0" w:color="auto"/>
      </w:pBdr>
      <w:spacing w:before="100" w:beforeAutospacing="1" w:after="100" w:afterAutospacing="1"/>
      <w:jc w:val="center"/>
      <w:textAlignment w:val="top"/>
    </w:pPr>
  </w:style>
  <w:style w:type="paragraph" w:customStyle="1" w:styleId="xl79">
    <w:name w:val="xl79"/>
    <w:basedOn w:val="Normal"/>
    <w:rsid w:val="00E6309D"/>
    <w:pPr>
      <w:pBdr>
        <w:left w:val="single" w:sz="4" w:space="0" w:color="auto"/>
      </w:pBdr>
      <w:shd w:val="clear" w:color="000000" w:fill="538DD5"/>
      <w:spacing w:before="100" w:beforeAutospacing="1" w:after="100" w:afterAutospacing="1"/>
      <w:jc w:val="center"/>
    </w:pPr>
    <w:rPr>
      <w:color w:val="FFFFFF"/>
    </w:rPr>
  </w:style>
  <w:style w:type="paragraph" w:customStyle="1" w:styleId="xl80">
    <w:name w:val="xl80"/>
    <w:basedOn w:val="Normal"/>
    <w:rsid w:val="00E6309D"/>
    <w:pPr>
      <w:shd w:val="clear" w:color="000000" w:fill="538DD5"/>
      <w:spacing w:before="100" w:beforeAutospacing="1" w:after="100" w:afterAutospacing="1"/>
      <w:jc w:val="center"/>
    </w:pPr>
    <w:rPr>
      <w:color w:val="FFFFFF"/>
    </w:rPr>
  </w:style>
  <w:style w:type="paragraph" w:customStyle="1" w:styleId="xl81">
    <w:name w:val="xl81"/>
    <w:basedOn w:val="Normal"/>
    <w:rsid w:val="00E6309D"/>
    <w:pPr>
      <w:pBdr>
        <w:top w:val="single" w:sz="4" w:space="0" w:color="auto"/>
        <w:left w:val="single" w:sz="4" w:space="0" w:color="auto"/>
      </w:pBdr>
      <w:shd w:val="clear" w:color="000000" w:fill="538DD5"/>
      <w:spacing w:before="100" w:beforeAutospacing="1" w:after="100" w:afterAutospacing="1"/>
      <w:jc w:val="center"/>
    </w:pPr>
    <w:rPr>
      <w:color w:val="FFFFFF"/>
    </w:rPr>
  </w:style>
  <w:style w:type="paragraph" w:customStyle="1" w:styleId="xl82">
    <w:name w:val="xl82"/>
    <w:basedOn w:val="Normal"/>
    <w:rsid w:val="00E6309D"/>
    <w:pPr>
      <w:pBdr>
        <w:top w:val="single" w:sz="4" w:space="0" w:color="auto"/>
      </w:pBdr>
      <w:shd w:val="clear" w:color="000000" w:fill="538DD5"/>
      <w:spacing w:before="100" w:beforeAutospacing="1" w:after="100" w:afterAutospacing="1"/>
      <w:jc w:val="center"/>
    </w:pPr>
    <w:rPr>
      <w:color w:val="FFFFFF"/>
    </w:rPr>
  </w:style>
  <w:style w:type="paragraph" w:customStyle="1" w:styleId="xl83">
    <w:name w:val="xl83"/>
    <w:basedOn w:val="Normal"/>
    <w:rsid w:val="00E6309D"/>
    <w:pPr>
      <w:pBdr>
        <w:left w:val="single" w:sz="4" w:space="0" w:color="auto"/>
      </w:pBdr>
      <w:spacing w:before="100" w:beforeAutospacing="1" w:after="100" w:afterAutospacing="1"/>
      <w:jc w:val="center"/>
    </w:pPr>
    <w:rPr>
      <w:b/>
      <w:bCs/>
    </w:rPr>
  </w:style>
  <w:style w:type="paragraph" w:customStyle="1" w:styleId="xl84">
    <w:name w:val="xl84"/>
    <w:basedOn w:val="Normal"/>
    <w:rsid w:val="00E6309D"/>
    <w:pPr>
      <w:spacing w:before="100" w:beforeAutospacing="1" w:after="100" w:afterAutospacing="1"/>
      <w:jc w:val="center"/>
    </w:pPr>
    <w:rPr>
      <w:b/>
      <w:bCs/>
    </w:rPr>
  </w:style>
  <w:style w:type="paragraph" w:customStyle="1" w:styleId="xl85">
    <w:name w:val="xl85"/>
    <w:basedOn w:val="Normal"/>
    <w:rsid w:val="00E6309D"/>
    <w:pPr>
      <w:pBdr>
        <w:top w:val="single" w:sz="4" w:space="0" w:color="auto"/>
        <w:bottom w:val="single" w:sz="4" w:space="0" w:color="auto"/>
      </w:pBdr>
      <w:spacing w:before="100" w:beforeAutospacing="1" w:after="100" w:afterAutospacing="1"/>
      <w:jc w:val="center"/>
      <w:textAlignment w:val="top"/>
    </w:pPr>
  </w:style>
  <w:style w:type="paragraph" w:customStyle="1" w:styleId="xl86">
    <w:name w:val="xl86"/>
    <w:basedOn w:val="Normal"/>
    <w:rsid w:val="00E6309D"/>
    <w:pPr>
      <w:pBdr>
        <w:top w:val="single" w:sz="4" w:space="0" w:color="auto"/>
        <w:right w:val="single" w:sz="4" w:space="0" w:color="auto"/>
      </w:pBdr>
      <w:shd w:val="clear" w:color="000000" w:fill="538DD5"/>
      <w:spacing w:before="100" w:beforeAutospacing="1" w:after="100" w:afterAutospacing="1"/>
      <w:jc w:val="center"/>
    </w:pPr>
    <w:rPr>
      <w:color w:val="FFFFFF"/>
    </w:rPr>
  </w:style>
  <w:style w:type="paragraph" w:customStyle="1" w:styleId="xl87">
    <w:name w:val="xl87"/>
    <w:basedOn w:val="Normal"/>
    <w:rsid w:val="00E6309D"/>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88">
    <w:name w:val="xl88"/>
    <w:basedOn w:val="Normal"/>
    <w:rsid w:val="00E6309D"/>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KenSub-Heading">
    <w:name w:val="Ken Sub-Heading"/>
    <w:basedOn w:val="Normal"/>
    <w:link w:val="KenSub-HeadingChar"/>
    <w:qFormat/>
    <w:rsid w:val="00E6309D"/>
    <w:pPr>
      <w:autoSpaceDE w:val="0"/>
      <w:autoSpaceDN w:val="0"/>
      <w:adjustRightInd w:val="0"/>
      <w:spacing w:line="276" w:lineRule="auto"/>
    </w:pPr>
    <w:rPr>
      <w:rFonts w:asciiTheme="minorHAnsi" w:eastAsiaTheme="minorHAnsi" w:hAnsiTheme="minorHAnsi" w:cstheme="minorHAnsi"/>
      <w:b/>
      <w:bCs/>
      <w:i/>
    </w:rPr>
  </w:style>
  <w:style w:type="character" w:customStyle="1" w:styleId="KenSub-HeadingChar">
    <w:name w:val="Ken Sub-Heading Char"/>
    <w:basedOn w:val="DefaultParagraphFont"/>
    <w:link w:val="KenSub-Heading"/>
    <w:rsid w:val="00E6309D"/>
    <w:rPr>
      <w:rFonts w:asciiTheme="minorHAnsi" w:eastAsiaTheme="minorHAnsi" w:hAnsiTheme="minorHAnsi" w:cstheme="minorHAnsi"/>
      <w:b/>
      <w:bCs/>
      <w:i/>
      <w:sz w:val="24"/>
      <w:szCs w:val="24"/>
    </w:rPr>
  </w:style>
  <w:style w:type="table" w:customStyle="1" w:styleId="TableGrid1">
    <w:name w:val="Table Grid1"/>
    <w:basedOn w:val="TableNormal"/>
    <w:next w:val="TableGrid"/>
    <w:uiPriority w:val="59"/>
    <w:rsid w:val="008F00B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link w:val="BodycopyChar"/>
    <w:qFormat/>
    <w:rsid w:val="008915B4"/>
    <w:pPr>
      <w:suppressAutoHyphens/>
      <w:spacing w:after="240" w:line="260" w:lineRule="atLeast"/>
    </w:pPr>
    <w:rPr>
      <w:rFonts w:ascii="Times New Roman" w:eastAsia="Times" w:hAnsi="Times New Roman"/>
      <w:color w:val="000000"/>
      <w:sz w:val="24"/>
    </w:rPr>
  </w:style>
  <w:style w:type="character" w:customStyle="1" w:styleId="BodycopyChar">
    <w:name w:val="Body copy Char"/>
    <w:basedOn w:val="DefaultParagraphFont"/>
    <w:link w:val="Bodycopy"/>
    <w:rsid w:val="008915B4"/>
    <w:rPr>
      <w:rFonts w:ascii="Times New Roman" w:eastAsia="Times" w:hAnsi="Times New Roman"/>
      <w:color w:val="000000"/>
      <w:sz w:val="24"/>
    </w:rPr>
  </w:style>
  <w:style w:type="paragraph" w:customStyle="1" w:styleId="ResumeDash">
    <w:name w:val="Resume Dash"/>
    <w:basedOn w:val="Normal"/>
    <w:rsid w:val="008915B4"/>
    <w:pPr>
      <w:numPr>
        <w:numId w:val="8"/>
      </w:numPr>
    </w:pPr>
    <w:rPr>
      <w:szCs w:val="22"/>
    </w:rPr>
  </w:style>
  <w:style w:type="paragraph" w:styleId="HTMLPreformatted">
    <w:name w:val="HTML Preformatted"/>
    <w:basedOn w:val="Normal"/>
    <w:link w:val="HTMLPreformattedChar"/>
    <w:uiPriority w:val="99"/>
    <w:semiHidden/>
    <w:unhideWhenUsed/>
    <w:rsid w:val="00F3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36082"/>
    <w:rPr>
      <w:rFonts w:ascii="Courier New" w:hAnsi="Courier New" w:cs="Courier New"/>
    </w:rPr>
  </w:style>
  <w:style w:type="paragraph" w:customStyle="1" w:styleId="TableParagraph">
    <w:name w:val="Table Paragraph"/>
    <w:basedOn w:val="Normal"/>
    <w:uiPriority w:val="1"/>
    <w:qFormat/>
    <w:rsid w:val="001D24EF"/>
    <w:pPr>
      <w:widowControl w:val="0"/>
      <w:spacing w:after="0"/>
      <w:jc w:val="left"/>
    </w:pPr>
    <w:rPr>
      <w:rFonts w:eastAsiaTheme="minorHAnsi" w:cstheme="minorBidi"/>
      <w:sz w:val="20"/>
      <w:szCs w:val="22"/>
    </w:rPr>
  </w:style>
  <w:style w:type="table" w:customStyle="1" w:styleId="TableGrid2">
    <w:name w:val="Table Grid2"/>
    <w:basedOn w:val="TableNormal"/>
    <w:next w:val="TableGrid"/>
    <w:uiPriority w:val="59"/>
    <w:rsid w:val="001544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1">
    <w:name w:val="Table Grid Light11"/>
    <w:basedOn w:val="TableNormal"/>
    <w:uiPriority w:val="40"/>
    <w:rsid w:val="00A85909"/>
    <w:rPr>
      <w:rFonts w:ascii="Arial" w:hAnsi="Arial"/>
    </w:rPr>
    <w:tblPr>
      <w:tblBorders>
        <w:top w:val="single" w:sz="4" w:space="0" w:color="1361FF"/>
        <w:left w:val="single" w:sz="4" w:space="0" w:color="1361FF"/>
        <w:bottom w:val="single" w:sz="4" w:space="0" w:color="1361FF"/>
        <w:right w:val="single" w:sz="4" w:space="0" w:color="1361FF"/>
        <w:insideH w:val="single" w:sz="4" w:space="0" w:color="1361FF"/>
        <w:insideV w:val="single" w:sz="4" w:space="0" w:color="1361FF"/>
      </w:tblBorders>
    </w:tblPr>
    <w:tblStylePr w:type="firstRow">
      <w:rPr>
        <w:rFonts w:ascii="Arial" w:hAnsi="Arial"/>
        <w:sz w:val="24"/>
      </w:rPr>
      <w:tblPr/>
      <w:tcPr>
        <w:shd w:val="clear" w:color="auto" w:fill="002776"/>
      </w:tcPr>
    </w:tblStylePr>
  </w:style>
  <w:style w:type="table" w:customStyle="1" w:styleId="MainTable1">
    <w:name w:val="Main Table1"/>
    <w:basedOn w:val="TableNormal"/>
    <w:uiPriority w:val="99"/>
    <w:rsid w:val="00A85909"/>
    <w:rPr>
      <w:rFonts w:ascii="Arial" w:hAnsi="Arial"/>
      <w:sz w:val="22"/>
    </w:rPr>
    <w:tblPr>
      <w:tblBorders>
        <w:top w:val="single" w:sz="4" w:space="0" w:color="1361FF"/>
        <w:left w:val="single" w:sz="4" w:space="0" w:color="1361FF"/>
        <w:bottom w:val="single" w:sz="4" w:space="0" w:color="1361FF"/>
        <w:right w:val="single" w:sz="4" w:space="0" w:color="1361FF"/>
        <w:insideH w:val="single" w:sz="4" w:space="0" w:color="1361FF"/>
        <w:insideV w:val="single" w:sz="4" w:space="0" w:color="1361FF"/>
      </w:tblBorders>
    </w:tblPr>
    <w:tblStylePr w:type="firstRow">
      <w:rPr>
        <w:b/>
      </w:rPr>
      <w:tblPr/>
      <w:tcPr>
        <w:shd w:val="clear" w:color="auto" w:fill="002776"/>
      </w:tcPr>
    </w:tblStylePr>
  </w:style>
  <w:style w:type="table" w:customStyle="1" w:styleId="TableGrid3">
    <w:name w:val="Table Grid3"/>
    <w:basedOn w:val="TableNormal"/>
    <w:next w:val="TableGrid"/>
    <w:uiPriority w:val="39"/>
    <w:rsid w:val="00A85909"/>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5002D"/>
    <w:rPr>
      <w:color w:val="808080"/>
      <w:shd w:val="clear" w:color="auto" w:fill="E6E6E6"/>
    </w:rPr>
  </w:style>
  <w:style w:type="character" w:customStyle="1" w:styleId="UnresolvedMention2">
    <w:name w:val="Unresolved Mention2"/>
    <w:basedOn w:val="DefaultParagraphFont"/>
    <w:uiPriority w:val="99"/>
    <w:semiHidden/>
    <w:unhideWhenUsed/>
    <w:rsid w:val="00840077"/>
    <w:rPr>
      <w:color w:val="808080"/>
      <w:shd w:val="clear" w:color="auto" w:fill="E6E6E6"/>
    </w:rPr>
  </w:style>
  <w:style w:type="character" w:customStyle="1" w:styleId="UnresolvedMention3">
    <w:name w:val="Unresolved Mention3"/>
    <w:basedOn w:val="DefaultParagraphFont"/>
    <w:uiPriority w:val="99"/>
    <w:semiHidden/>
    <w:unhideWhenUsed/>
    <w:rsid w:val="004315ED"/>
    <w:rPr>
      <w:color w:val="808080"/>
      <w:shd w:val="clear" w:color="auto" w:fill="E6E6E6"/>
    </w:rPr>
  </w:style>
  <w:style w:type="paragraph" w:customStyle="1" w:styleId="08Accomplishments">
    <w:name w:val="08. Accomplishments"/>
    <w:basedOn w:val="Normal"/>
    <w:rsid w:val="00E95E7C"/>
    <w:pPr>
      <w:numPr>
        <w:numId w:val="9"/>
      </w:numPr>
      <w:spacing w:after="60"/>
    </w:pPr>
    <w:rPr>
      <w:szCs w:val="20"/>
    </w:rPr>
  </w:style>
  <w:style w:type="paragraph" w:customStyle="1" w:styleId="BodyTextBullet">
    <w:name w:val="Body Text Bullet"/>
    <w:basedOn w:val="Normal"/>
    <w:next w:val="Normal"/>
    <w:qFormat/>
    <w:rsid w:val="00281546"/>
    <w:pPr>
      <w:spacing w:after="40"/>
      <w:textboxTightWrap w:val="allLines"/>
    </w:pPr>
    <w:rPr>
      <w:rFonts w:eastAsiaTheme="minorHAnsi"/>
    </w:rPr>
  </w:style>
  <w:style w:type="character" w:customStyle="1" w:styleId="UnresolvedMention4">
    <w:name w:val="Unresolved Mention4"/>
    <w:basedOn w:val="DefaultParagraphFont"/>
    <w:uiPriority w:val="99"/>
    <w:semiHidden/>
    <w:unhideWhenUsed/>
    <w:rsid w:val="00691ED3"/>
    <w:rPr>
      <w:color w:val="605E5C"/>
      <w:shd w:val="clear" w:color="auto" w:fill="E1DFDD"/>
    </w:rPr>
  </w:style>
  <w:style w:type="paragraph" w:styleId="TableofFigures">
    <w:name w:val="table of figures"/>
    <w:basedOn w:val="Normal"/>
    <w:next w:val="Normal"/>
    <w:uiPriority w:val="99"/>
    <w:unhideWhenUsed/>
    <w:rsid w:val="0054020E"/>
    <w:pPr>
      <w:ind w:left="440" w:hanging="440"/>
    </w:pPr>
    <w:rPr>
      <w:rFonts w:cstheme="minorHAnsi"/>
      <w:bCs/>
      <w:sz w:val="20"/>
      <w:szCs w:val="20"/>
      <w:lang w:eastAsia="hr-HR"/>
    </w:rPr>
  </w:style>
  <w:style w:type="table" w:customStyle="1" w:styleId="LightList-Accent12">
    <w:name w:val="Light List - Accent 12"/>
    <w:basedOn w:val="TableNormal"/>
    <w:uiPriority w:val="61"/>
    <w:rsid w:val="0085583F"/>
    <w:pPr>
      <w:widowControl w:val="0"/>
    </w:pPr>
    <w:rPr>
      <w:rFonts w:asciiTheme="minorHAnsi" w:eastAsiaTheme="minorHAnsi" w:hAnsiTheme="minorHAnsi" w:cstheme="minorBidi"/>
      <w:sz w:val="22"/>
      <w:szCs w:val="22"/>
    </w:rPr>
    <w:tblPr>
      <w:tblStyleRowBandSize w:val="1"/>
      <w:tblStyleColBandSize w:val="1"/>
      <w:tblInd w:w="0" w:type="nil"/>
      <w:tblBorders>
        <w:top w:val="single" w:sz="8" w:space="0" w:color="002776" w:themeColor="accent1"/>
        <w:left w:val="single" w:sz="8" w:space="0" w:color="002776" w:themeColor="accent1"/>
        <w:bottom w:val="single" w:sz="8" w:space="0" w:color="002776" w:themeColor="accent1"/>
        <w:right w:val="single" w:sz="8" w:space="0" w:color="002776"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002776" w:themeFill="accent1"/>
      </w:tcPr>
    </w:tblStylePr>
    <w:tblStylePr w:type="lastRow">
      <w:pPr>
        <w:spacing w:beforeLines="0" w:before="0" w:beforeAutospacing="0" w:afterLines="0" w:after="0" w:afterAutospacing="0" w:line="240" w:lineRule="auto"/>
      </w:pPr>
      <w:rPr>
        <w:b/>
        <w:bCs/>
      </w:rPr>
      <w:tblPr/>
      <w:tcPr>
        <w:tcBorders>
          <w:top w:val="double" w:sz="6" w:space="0" w:color="002776" w:themeColor="accent1"/>
          <w:left w:val="single" w:sz="8" w:space="0" w:color="002776" w:themeColor="accent1"/>
          <w:bottom w:val="single" w:sz="8" w:space="0" w:color="002776" w:themeColor="accent1"/>
          <w:right w:val="single" w:sz="8" w:space="0" w:color="002776" w:themeColor="accent1"/>
        </w:tcBorders>
      </w:tcPr>
    </w:tblStylePr>
    <w:tblStylePr w:type="firstCol">
      <w:rPr>
        <w:b/>
        <w:bCs/>
      </w:rPr>
    </w:tblStylePr>
    <w:tblStylePr w:type="lastCol">
      <w:rPr>
        <w:b/>
        <w:bCs/>
      </w:rPr>
    </w:tblStylePr>
    <w:tblStylePr w:type="band1Vert">
      <w:tblPr/>
      <w:tcPr>
        <w:tcBorders>
          <w:top w:val="single" w:sz="8" w:space="0" w:color="002776" w:themeColor="accent1"/>
          <w:left w:val="single" w:sz="8" w:space="0" w:color="002776" w:themeColor="accent1"/>
          <w:bottom w:val="single" w:sz="8" w:space="0" w:color="002776" w:themeColor="accent1"/>
          <w:right w:val="single" w:sz="8" w:space="0" w:color="002776" w:themeColor="accent1"/>
        </w:tcBorders>
      </w:tcPr>
    </w:tblStylePr>
    <w:tblStylePr w:type="band1Horz">
      <w:tblPr/>
      <w:tcPr>
        <w:tcBorders>
          <w:top w:val="single" w:sz="8" w:space="0" w:color="002776" w:themeColor="accent1"/>
          <w:left w:val="single" w:sz="8" w:space="0" w:color="002776" w:themeColor="accent1"/>
          <w:bottom w:val="single" w:sz="8" w:space="0" w:color="002776" w:themeColor="accent1"/>
          <w:right w:val="single" w:sz="8" w:space="0" w:color="002776" w:themeColor="accent1"/>
        </w:tcBorders>
      </w:tcPr>
    </w:tblStylePr>
  </w:style>
  <w:style w:type="paragraph" w:customStyle="1" w:styleId="xmsolistparagraph">
    <w:name w:val="x_msolistparagraph"/>
    <w:basedOn w:val="Normal"/>
    <w:rsid w:val="00863141"/>
    <w:pPr>
      <w:spacing w:after="160" w:line="252" w:lineRule="auto"/>
      <w:ind w:left="720"/>
    </w:pPr>
    <w:rPr>
      <w:rFonts w:ascii="Calibri" w:eastAsiaTheme="minorHAnsi" w:hAnsi="Calibri" w:cs="Calibri"/>
      <w:szCs w:val="22"/>
      <w:lang w:val="en-AU" w:eastAsia="en-AU"/>
    </w:rPr>
  </w:style>
  <w:style w:type="paragraph" w:customStyle="1" w:styleId="paragraph">
    <w:name w:val="paragraph"/>
    <w:basedOn w:val="Normal"/>
    <w:uiPriority w:val="1"/>
    <w:rsid w:val="001A7C30"/>
    <w:pPr>
      <w:spacing w:beforeAutospacing="1" w:afterAutospacing="1"/>
    </w:pPr>
  </w:style>
  <w:style w:type="character" w:customStyle="1" w:styleId="normaltextrun">
    <w:name w:val="normaltextrun"/>
    <w:basedOn w:val="DefaultParagraphFont"/>
    <w:rsid w:val="001A7C30"/>
  </w:style>
  <w:style w:type="character" w:customStyle="1" w:styleId="eop">
    <w:name w:val="eop"/>
    <w:basedOn w:val="DefaultParagraphFont"/>
    <w:rsid w:val="001A7C30"/>
  </w:style>
  <w:style w:type="character" w:styleId="UnresolvedMention">
    <w:name w:val="Unresolved Mention"/>
    <w:basedOn w:val="DefaultParagraphFont"/>
    <w:uiPriority w:val="99"/>
    <w:unhideWhenUsed/>
    <w:rsid w:val="001A5B25"/>
    <w:rPr>
      <w:color w:val="605E5C"/>
      <w:shd w:val="clear" w:color="auto" w:fill="E1DFDD"/>
    </w:rPr>
  </w:style>
  <w:style w:type="table" w:customStyle="1" w:styleId="PlainTable21">
    <w:name w:val="Plain Table 21"/>
    <w:basedOn w:val="TableNormal"/>
    <w:next w:val="PlainTable2"/>
    <w:uiPriority w:val="42"/>
    <w:rsid w:val="00C34927"/>
    <w:rPr>
      <w:rFonts w:eastAsia="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C3492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1">
    <w:name w:val="List Table 3 Accent 1"/>
    <w:basedOn w:val="TableNormal"/>
    <w:uiPriority w:val="48"/>
    <w:rsid w:val="00BB771A"/>
    <w:rPr>
      <w:rFonts w:asciiTheme="minorHAnsi" w:eastAsiaTheme="minorHAnsi" w:hAnsiTheme="minorHAnsi" w:cstheme="minorBidi"/>
      <w:sz w:val="22"/>
      <w:szCs w:val="22"/>
    </w:rPr>
    <w:tblPr>
      <w:tblStyleRowBandSize w:val="1"/>
      <w:tblStyleColBandSize w:val="1"/>
      <w:tblBorders>
        <w:top w:val="single" w:sz="4" w:space="0" w:color="002776" w:themeColor="accent1"/>
        <w:left w:val="single" w:sz="4" w:space="0" w:color="002776" w:themeColor="accent1"/>
        <w:bottom w:val="single" w:sz="4" w:space="0" w:color="002776" w:themeColor="accent1"/>
        <w:right w:val="single" w:sz="4" w:space="0" w:color="002776" w:themeColor="accent1"/>
      </w:tblBorders>
    </w:tblPr>
    <w:tblStylePr w:type="firstRow">
      <w:rPr>
        <w:b/>
        <w:bCs/>
        <w:color w:val="FFFFFF" w:themeColor="background1"/>
      </w:rPr>
      <w:tblPr/>
      <w:tcPr>
        <w:shd w:val="clear" w:color="auto" w:fill="002776" w:themeFill="accent1"/>
      </w:tcPr>
    </w:tblStylePr>
    <w:tblStylePr w:type="lastRow">
      <w:rPr>
        <w:b/>
        <w:bCs/>
      </w:rPr>
      <w:tblPr/>
      <w:tcPr>
        <w:tcBorders>
          <w:top w:val="double" w:sz="4" w:space="0" w:color="00277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776" w:themeColor="accent1"/>
          <w:right w:val="single" w:sz="4" w:space="0" w:color="002776" w:themeColor="accent1"/>
        </w:tcBorders>
      </w:tcPr>
    </w:tblStylePr>
    <w:tblStylePr w:type="band1Horz">
      <w:tblPr/>
      <w:tcPr>
        <w:tcBorders>
          <w:top w:val="single" w:sz="4" w:space="0" w:color="002776" w:themeColor="accent1"/>
          <w:bottom w:val="single" w:sz="4" w:space="0" w:color="00277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76" w:themeColor="accent1"/>
          <w:left w:val="nil"/>
        </w:tcBorders>
      </w:tcPr>
    </w:tblStylePr>
    <w:tblStylePr w:type="swCell">
      <w:tblPr/>
      <w:tcPr>
        <w:tcBorders>
          <w:top w:val="double" w:sz="4" w:space="0" w:color="002776" w:themeColor="accent1"/>
          <w:right w:val="nil"/>
        </w:tcBorders>
      </w:tcPr>
    </w:tblStylePr>
  </w:style>
  <w:style w:type="numbering" w:customStyle="1" w:styleId="CurrentList1">
    <w:name w:val="Current List1"/>
    <w:uiPriority w:val="99"/>
    <w:rsid w:val="008B3FD1"/>
    <w:pPr>
      <w:numPr>
        <w:numId w:val="10"/>
      </w:numPr>
    </w:pPr>
  </w:style>
  <w:style w:type="paragraph" w:customStyle="1" w:styleId="Blueheading">
    <w:name w:val="Blue heading"/>
    <w:basedOn w:val="Heading4"/>
    <w:link w:val="BlueheadingChar"/>
    <w:qFormat/>
    <w:rsid w:val="00B01EE7"/>
    <w:pPr>
      <w:keepNext/>
      <w:spacing w:before="240" w:after="240"/>
      <w:ind w:left="620" w:hanging="620"/>
    </w:pPr>
    <w:rPr>
      <w:iCs w:val="0"/>
    </w:rPr>
  </w:style>
  <w:style w:type="character" w:customStyle="1" w:styleId="BlueheadingChar">
    <w:name w:val="Blue heading Char"/>
    <w:basedOn w:val="Heading4Char"/>
    <w:link w:val="Blueheading"/>
    <w:rsid w:val="00B01EE7"/>
    <w:rPr>
      <w:rFonts w:ascii="Arial" w:eastAsia="Arial" w:hAnsi="Arial" w:cs="Arial"/>
      <w:b/>
      <w:iCs w:val="0"/>
      <w:color w:val="28A9DA" w:themeColor="background2" w:themeShade="BF"/>
      <w:sz w:val="22"/>
      <w:szCs w:val="24"/>
    </w:rPr>
  </w:style>
  <w:style w:type="character" w:customStyle="1" w:styleId="DocumentMapChar1">
    <w:name w:val="Document Map Char1"/>
    <w:basedOn w:val="DefaultParagraphFont"/>
    <w:uiPriority w:val="99"/>
    <w:semiHidden/>
    <w:rsid w:val="00B01EE7"/>
    <w:rPr>
      <w:rFonts w:ascii="Segoe UI" w:hAnsi="Segoe UI" w:cs="Segoe UI"/>
      <w:sz w:val="16"/>
      <w:szCs w:val="16"/>
      <w:lang w:eastAsia="hr-HR"/>
    </w:rPr>
  </w:style>
  <w:style w:type="paragraph" w:customStyle="1" w:styleId="Bulletlevel1">
    <w:name w:val="Bullet level 1"/>
    <w:basedOn w:val="Normal"/>
    <w:qFormat/>
    <w:rsid w:val="00B01EE7"/>
    <w:pPr>
      <w:numPr>
        <w:numId w:val="11"/>
      </w:numPr>
      <w:tabs>
        <w:tab w:val="clear" w:pos="360"/>
      </w:tabs>
      <w:suppressAutoHyphens/>
      <w:spacing w:before="120" w:line="260" w:lineRule="atLeast"/>
      <w:ind w:left="720" w:hanging="360"/>
    </w:pPr>
    <w:rPr>
      <w:rFonts w:eastAsia="Times"/>
      <w:color w:val="000000"/>
      <w:sz w:val="19"/>
      <w:szCs w:val="20"/>
    </w:rPr>
  </w:style>
  <w:style w:type="paragraph" w:customStyle="1" w:styleId="Bullets">
    <w:name w:val="Bullets"/>
    <w:basedOn w:val="Normal"/>
    <w:rsid w:val="00B01EE7"/>
    <w:pPr>
      <w:numPr>
        <w:numId w:val="12"/>
      </w:numPr>
      <w:spacing w:before="20" w:after="20"/>
    </w:pPr>
    <w:rPr>
      <w:szCs w:val="20"/>
    </w:rPr>
  </w:style>
  <w:style w:type="paragraph" w:customStyle="1" w:styleId="00BSubheading-Blue2013">
    <w:name w:val="00B Subheading - Blue (2013)"/>
    <w:basedOn w:val="Heading2"/>
    <w:link w:val="00BSubheading-Blue2013Char"/>
    <w:rsid w:val="00B01EE7"/>
    <w:pPr>
      <w:keepNext w:val="0"/>
      <w:keepLines w:val="0"/>
      <w:numPr>
        <w:numId w:val="0"/>
      </w:numPr>
      <w:spacing w:before="160"/>
      <w:ind w:left="720" w:hanging="576"/>
      <w:jc w:val="right"/>
    </w:pPr>
    <w:rPr>
      <w:rFonts w:asciiTheme="minorBidi" w:eastAsia="Times" w:hAnsiTheme="minorBidi" w:cstheme="minorBidi"/>
      <w:b/>
      <w:bCs w:val="0"/>
      <w:iCs w:val="0"/>
      <w:color w:val="00A1DE" w:themeColor="accent3"/>
      <w:spacing w:val="-1"/>
      <w:sz w:val="28"/>
    </w:rPr>
  </w:style>
  <w:style w:type="character" w:customStyle="1" w:styleId="00BSubheading-Blue2013Char">
    <w:name w:val="00B Subheading - Blue (2013) Char"/>
    <w:basedOn w:val="Heading2Char"/>
    <w:link w:val="00BSubheading-Blue2013"/>
    <w:rsid w:val="00B01EE7"/>
    <w:rPr>
      <w:rFonts w:asciiTheme="minorBidi" w:eastAsia="Times" w:hAnsiTheme="minorBidi" w:cstheme="minorBidi"/>
      <w:b/>
      <w:bCs w:val="0"/>
      <w:iCs w:val="0"/>
      <w:color w:val="00A1DE" w:themeColor="accent3"/>
      <w:spacing w:val="-1"/>
      <w:sz w:val="28"/>
      <w:szCs w:val="24"/>
    </w:rPr>
  </w:style>
  <w:style w:type="paragraph" w:customStyle="1" w:styleId="Bulletlevel12013">
    <w:name w:val="Bullet level 1 (2013)"/>
    <w:basedOn w:val="ListBullet"/>
    <w:link w:val="Bulletlevel12013Char"/>
    <w:rsid w:val="00B01EE7"/>
    <w:pPr>
      <w:numPr>
        <w:numId w:val="0"/>
      </w:numPr>
      <w:tabs>
        <w:tab w:val="left" w:pos="270"/>
      </w:tabs>
      <w:autoSpaceDE/>
      <w:autoSpaceDN/>
      <w:adjustRightInd/>
      <w:spacing w:before="120" w:after="80" w:line="220" w:lineRule="exact"/>
      <w:ind w:left="719" w:hanging="360"/>
      <w:contextualSpacing w:val="0"/>
      <w:jc w:val="left"/>
    </w:pPr>
    <w:rPr>
      <w:rFonts w:ascii="Arial" w:eastAsia="Times" w:hAnsi="Arial"/>
      <w:noProof/>
      <w:color w:val="000000"/>
      <w:sz w:val="20"/>
      <w:szCs w:val="20"/>
      <w:lang w:eastAsia="en-US" w:bidi="ar-DZ"/>
    </w:rPr>
  </w:style>
  <w:style w:type="character" w:customStyle="1" w:styleId="Bulletlevel12013Char">
    <w:name w:val="Bullet level 1 (2013) Char"/>
    <w:basedOn w:val="DefaultParagraphFont"/>
    <w:link w:val="Bulletlevel12013"/>
    <w:rsid w:val="00B01EE7"/>
    <w:rPr>
      <w:rFonts w:ascii="Arial" w:eastAsia="Times" w:hAnsi="Arial"/>
      <w:noProof/>
      <w:color w:val="000000"/>
      <w:lang w:bidi="ar-DZ"/>
    </w:rPr>
  </w:style>
  <w:style w:type="paragraph" w:customStyle="1" w:styleId="00CSubheading2013">
    <w:name w:val="00C Subheading (2013)"/>
    <w:basedOn w:val="Heading3"/>
    <w:rsid w:val="00B01EE7"/>
    <w:pPr>
      <w:keepNext/>
      <w:tabs>
        <w:tab w:val="num" w:pos="1080"/>
      </w:tabs>
      <w:spacing w:before="320"/>
    </w:pPr>
    <w:rPr>
      <w:rFonts w:ascii="Calibri" w:eastAsia="Times" w:hAnsi="Calibri" w:cs="Times New Roman"/>
      <w:iCs w:val="0"/>
      <w:color w:val="000000" w:themeColor="text1"/>
      <w:lang w:val="en-GB"/>
    </w:rPr>
  </w:style>
  <w:style w:type="paragraph" w:customStyle="1" w:styleId="DeliverableTable">
    <w:name w:val="Deliverable Table"/>
    <w:basedOn w:val="ListParagraph"/>
    <w:link w:val="DeliverableTableChar"/>
    <w:qFormat/>
    <w:rsid w:val="00B01EE7"/>
    <w:pPr>
      <w:numPr>
        <w:numId w:val="13"/>
      </w:numPr>
      <w:spacing w:after="0"/>
    </w:pPr>
    <w:rPr>
      <w:b/>
      <w:bCs/>
    </w:rPr>
  </w:style>
  <w:style w:type="character" w:customStyle="1" w:styleId="DeliverableTableChar">
    <w:name w:val="Deliverable Table Char"/>
    <w:basedOn w:val="DefaultParagraphFont"/>
    <w:link w:val="DeliverableTable"/>
    <w:rsid w:val="00B01EE7"/>
    <w:rPr>
      <w:rFonts w:ascii="Arial" w:hAnsi="Arial"/>
      <w:b/>
      <w:bCs/>
      <w:sz w:val="22"/>
      <w:szCs w:val="22"/>
      <w:lang w:eastAsia="hr-HR"/>
    </w:rPr>
  </w:style>
  <w:style w:type="character" w:styleId="IntenseReference">
    <w:name w:val="Intense Reference"/>
    <w:basedOn w:val="DefaultParagraphFont"/>
    <w:uiPriority w:val="32"/>
    <w:rsid w:val="00B01EE7"/>
    <w:rPr>
      <w:b/>
      <w:bCs/>
      <w:smallCaps/>
      <w:color w:val="002776" w:themeColor="accent1"/>
      <w:spacing w:val="5"/>
    </w:rPr>
  </w:style>
  <w:style w:type="paragraph" w:customStyle="1" w:styleId="xxxmsonormal">
    <w:name w:val="x_xxmsonormal"/>
    <w:basedOn w:val="Normal"/>
    <w:rsid w:val="00B01EE7"/>
    <w:rPr>
      <w:rFonts w:eastAsiaTheme="minorHAnsi"/>
    </w:rPr>
  </w:style>
  <w:style w:type="character" w:customStyle="1" w:styleId="shorttext">
    <w:name w:val="short_text"/>
    <w:basedOn w:val="DefaultParagraphFont"/>
    <w:rsid w:val="00B01EE7"/>
  </w:style>
  <w:style w:type="table" w:customStyle="1" w:styleId="MainTable3">
    <w:name w:val="Main Table3"/>
    <w:basedOn w:val="TableNormal"/>
    <w:uiPriority w:val="99"/>
    <w:rsid w:val="00B01EE7"/>
    <w:pPr>
      <w:spacing w:after="120"/>
      <w:jc w:val="both"/>
    </w:pPr>
    <w:rPr>
      <w:rFonts w:ascii="Arial" w:hAnsi="Arial"/>
      <w:sz w:val="22"/>
    </w:rPr>
    <w:tblPr>
      <w:tblBorders>
        <w:top w:val="single" w:sz="4" w:space="0" w:color="1361FF" w:themeColor="accent1" w:themeTint="99"/>
        <w:left w:val="single" w:sz="4" w:space="0" w:color="1361FF" w:themeColor="accent1" w:themeTint="99"/>
        <w:bottom w:val="single" w:sz="4" w:space="0" w:color="1361FF" w:themeColor="accent1" w:themeTint="99"/>
        <w:right w:val="single" w:sz="4" w:space="0" w:color="1361FF" w:themeColor="accent1" w:themeTint="99"/>
        <w:insideH w:val="single" w:sz="4" w:space="0" w:color="1361FF" w:themeColor="accent1" w:themeTint="99"/>
        <w:insideV w:val="single" w:sz="4" w:space="0" w:color="1361FF" w:themeColor="accent1" w:themeTint="99"/>
      </w:tblBorders>
    </w:tblPr>
    <w:tblStylePr w:type="firstRow">
      <w:rPr>
        <w:b/>
      </w:rPr>
      <w:tblPr/>
      <w:tcPr>
        <w:shd w:val="clear" w:color="auto" w:fill="002776" w:themeFill="accent1"/>
      </w:tcPr>
    </w:tblStylePr>
  </w:style>
  <w:style w:type="character" w:customStyle="1" w:styleId="contentline-90">
    <w:name w:val="contentline-90"/>
    <w:basedOn w:val="DefaultParagraphFont"/>
    <w:rsid w:val="00B01EE7"/>
  </w:style>
  <w:style w:type="character" w:customStyle="1" w:styleId="contentline-54">
    <w:name w:val="contentline-54"/>
    <w:basedOn w:val="DefaultParagraphFont"/>
    <w:rsid w:val="00B01EE7"/>
  </w:style>
  <w:style w:type="table" w:customStyle="1" w:styleId="MainTable2">
    <w:name w:val="Main Table2"/>
    <w:basedOn w:val="TableNormal"/>
    <w:uiPriority w:val="99"/>
    <w:rsid w:val="00B01EE7"/>
    <w:pPr>
      <w:spacing w:after="120"/>
      <w:jc w:val="both"/>
    </w:pPr>
    <w:rPr>
      <w:rFonts w:ascii="Arial" w:hAnsi="Arial"/>
      <w:sz w:val="22"/>
    </w:rPr>
    <w:tblPr>
      <w:tblBorders>
        <w:top w:val="single" w:sz="4" w:space="0" w:color="1361FF" w:themeColor="accent1" w:themeTint="99"/>
        <w:left w:val="single" w:sz="4" w:space="0" w:color="1361FF" w:themeColor="accent1" w:themeTint="99"/>
        <w:bottom w:val="single" w:sz="4" w:space="0" w:color="1361FF" w:themeColor="accent1" w:themeTint="99"/>
        <w:right w:val="single" w:sz="4" w:space="0" w:color="1361FF" w:themeColor="accent1" w:themeTint="99"/>
        <w:insideH w:val="single" w:sz="4" w:space="0" w:color="1361FF" w:themeColor="accent1" w:themeTint="99"/>
        <w:insideV w:val="single" w:sz="4" w:space="0" w:color="1361FF" w:themeColor="accent1" w:themeTint="99"/>
      </w:tblBorders>
    </w:tblPr>
    <w:tblStylePr w:type="firstRow">
      <w:rPr>
        <w:b/>
      </w:rPr>
      <w:tblPr/>
      <w:tcPr>
        <w:shd w:val="clear" w:color="auto" w:fill="002776" w:themeFill="accent1"/>
      </w:tcPr>
    </w:tblStylePr>
  </w:style>
  <w:style w:type="character" w:styleId="Mention">
    <w:name w:val="Mention"/>
    <w:basedOn w:val="DefaultParagraphFont"/>
    <w:uiPriority w:val="99"/>
    <w:unhideWhenUsed/>
    <w:rsid w:val="00B01EE7"/>
    <w:rPr>
      <w:color w:val="2B579A"/>
      <w:shd w:val="clear" w:color="auto" w:fill="E1DFDD"/>
    </w:rPr>
  </w:style>
  <w:style w:type="table" w:styleId="GridTable1Light-Accent2">
    <w:name w:val="Grid Table 1 Light Accent 2"/>
    <w:basedOn w:val="TableNormal"/>
    <w:uiPriority w:val="46"/>
    <w:rsid w:val="00A44F5B"/>
    <w:tblPr>
      <w:tblStyleRowBandSize w:val="1"/>
      <w:tblStyleColBandSize w:val="1"/>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styleId="ListTable3">
    <w:name w:val="List Table 3"/>
    <w:basedOn w:val="TableNormal"/>
    <w:uiPriority w:val="48"/>
    <w:rsid w:val="00DA7269"/>
    <w:rPr>
      <w:rFonts w:asciiTheme="minorHAnsi" w:eastAsia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Accent2">
    <w:name w:val="Grid Table 4 Accent 2"/>
    <w:basedOn w:val="TableNormal"/>
    <w:uiPriority w:val="49"/>
    <w:rsid w:val="00AB5408"/>
    <w:rPr>
      <w:rFonts w:asciiTheme="minorHAnsi" w:eastAsiaTheme="minorEastAsia" w:hAnsiTheme="minorHAnsi" w:cstheme="minorBidi"/>
      <w:sz w:val="24"/>
      <w:szCs w:val="24"/>
      <w:lang w:eastAsia="zh-CN"/>
    </w:rPr>
    <w:tblPr>
      <w:tblStyleRowBandSize w:val="1"/>
      <w:tblStyleColBandSize w:val="1"/>
      <w:tblBorders>
        <w:top w:val="single" w:sz="4" w:space="0" w:color="C6FF4C" w:themeColor="accent2" w:themeTint="99"/>
        <w:left w:val="single" w:sz="4" w:space="0" w:color="C6FF4C" w:themeColor="accent2" w:themeTint="99"/>
        <w:bottom w:val="single" w:sz="4" w:space="0" w:color="C6FF4C" w:themeColor="accent2" w:themeTint="99"/>
        <w:right w:val="single" w:sz="4" w:space="0" w:color="C6FF4C" w:themeColor="accent2" w:themeTint="99"/>
        <w:insideH w:val="single" w:sz="4" w:space="0" w:color="C6FF4C" w:themeColor="accent2" w:themeTint="99"/>
        <w:insideV w:val="single" w:sz="4" w:space="0" w:color="C6FF4C" w:themeColor="accent2" w:themeTint="99"/>
      </w:tblBorders>
    </w:tblPr>
    <w:tblStylePr w:type="firstRow">
      <w:rPr>
        <w:b/>
        <w:bCs/>
        <w:color w:val="FFFFFF" w:themeColor="background1"/>
      </w:rPr>
      <w:tblPr/>
      <w:tcPr>
        <w:tcBorders>
          <w:top w:val="single" w:sz="4" w:space="0" w:color="92D400" w:themeColor="accent2"/>
          <w:left w:val="single" w:sz="4" w:space="0" w:color="92D400" w:themeColor="accent2"/>
          <w:bottom w:val="single" w:sz="4" w:space="0" w:color="92D400" w:themeColor="accent2"/>
          <w:right w:val="single" w:sz="4" w:space="0" w:color="92D400" w:themeColor="accent2"/>
          <w:insideH w:val="nil"/>
          <w:insideV w:val="nil"/>
        </w:tcBorders>
        <w:shd w:val="clear" w:color="auto" w:fill="92D400" w:themeFill="accent2"/>
      </w:tcPr>
    </w:tblStylePr>
    <w:tblStylePr w:type="lastRow">
      <w:rPr>
        <w:b/>
        <w:bCs/>
      </w:rPr>
      <w:tblPr/>
      <w:tcPr>
        <w:tcBorders>
          <w:top w:val="double" w:sz="4" w:space="0" w:color="92D400" w:themeColor="accent2"/>
        </w:tcBorders>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table" w:styleId="GridTable5Dark-Accent2">
    <w:name w:val="Grid Table 5 Dark Accent 2"/>
    <w:basedOn w:val="TableNormal"/>
    <w:uiPriority w:val="50"/>
    <w:rsid w:val="00775159"/>
    <w:rPr>
      <w:rFonts w:asciiTheme="minorHAnsi" w:eastAsiaTheme="minorEastAsia" w:hAnsiTheme="minorHAnsi" w:cstheme="minorBidi"/>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FFC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2D4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2D4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2D4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2D400" w:themeFill="accent2"/>
      </w:tcPr>
    </w:tblStylePr>
    <w:tblStylePr w:type="band1Vert">
      <w:tblPr/>
      <w:tcPr>
        <w:shd w:val="clear" w:color="auto" w:fill="D9FF87" w:themeFill="accent2" w:themeFillTint="66"/>
      </w:tcPr>
    </w:tblStylePr>
    <w:tblStylePr w:type="band1Horz">
      <w:tblPr/>
      <w:tcPr>
        <w:shd w:val="clear" w:color="auto" w:fill="D9FF87" w:themeFill="accent2" w:themeFillTint="66"/>
      </w:tcPr>
    </w:tblStylePr>
  </w:style>
  <w:style w:type="table" w:styleId="GridTable5Dark-Accent5">
    <w:name w:val="Grid Table 5 Dark Accent 5"/>
    <w:basedOn w:val="TableNormal"/>
    <w:uiPriority w:val="50"/>
    <w:rsid w:val="0045371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styleId="GridTable5Dark-Accent3">
    <w:name w:val="Grid Table 5 Dark Accent 3"/>
    <w:basedOn w:val="TableNormal"/>
    <w:uiPriority w:val="50"/>
    <w:rsid w:val="0075200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EE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1D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1D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1D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1DE" w:themeFill="accent3"/>
      </w:tcPr>
    </w:tblStylePr>
    <w:tblStylePr w:type="band1Vert">
      <w:tblPr/>
      <w:tcPr>
        <w:shd w:val="clear" w:color="auto" w:fill="8BDEFF" w:themeFill="accent3" w:themeFillTint="66"/>
      </w:tcPr>
    </w:tblStylePr>
    <w:tblStylePr w:type="band1Horz">
      <w:tblPr/>
      <w:tcPr>
        <w:shd w:val="clear" w:color="auto" w:fill="8BDEFF" w:themeFill="accent3" w:themeFillTint="66"/>
      </w:tcPr>
    </w:tblStylePr>
  </w:style>
  <w:style w:type="table" w:styleId="GridTable5Dark-Accent1">
    <w:name w:val="Grid Table 5 Dark Accent 1"/>
    <w:basedOn w:val="TableNormal"/>
    <w:uiPriority w:val="50"/>
    <w:rsid w:val="0075200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CA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277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277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277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2776" w:themeFill="accent1"/>
      </w:tcPr>
    </w:tblStylePr>
    <w:tblStylePr w:type="band1Vert">
      <w:tblPr/>
      <w:tcPr>
        <w:shd w:val="clear" w:color="auto" w:fill="6295FF" w:themeFill="accent1" w:themeFillTint="66"/>
      </w:tcPr>
    </w:tblStylePr>
    <w:tblStylePr w:type="band1Horz">
      <w:tblPr/>
      <w:tcPr>
        <w:shd w:val="clear" w:color="auto" w:fill="6295FF" w:themeFill="accent1" w:themeFillTint="66"/>
      </w:tcPr>
    </w:tblStylePr>
  </w:style>
  <w:style w:type="table" w:styleId="GridTable2-Accent1">
    <w:name w:val="Grid Table 2 Accent 1"/>
    <w:basedOn w:val="TableNormal"/>
    <w:uiPriority w:val="47"/>
    <w:rsid w:val="006F6CEE"/>
    <w:rPr>
      <w:rFonts w:asciiTheme="minorHAnsi" w:eastAsiaTheme="minorHAnsi" w:hAnsiTheme="minorHAnsi" w:cstheme="minorBidi"/>
      <w:kern w:val="2"/>
      <w:sz w:val="22"/>
      <w:szCs w:val="22"/>
      <w14:ligatures w14:val="standardContextual"/>
    </w:rPr>
    <w:tblPr>
      <w:tblStyleRowBandSize w:val="1"/>
      <w:tblStyleColBandSize w:val="1"/>
      <w:tblBorders>
        <w:top w:val="single" w:sz="2" w:space="0" w:color="1361FF" w:themeColor="accent1" w:themeTint="99"/>
        <w:bottom w:val="single" w:sz="2" w:space="0" w:color="1361FF" w:themeColor="accent1" w:themeTint="99"/>
        <w:insideH w:val="single" w:sz="2" w:space="0" w:color="1361FF" w:themeColor="accent1" w:themeTint="99"/>
        <w:insideV w:val="single" w:sz="2" w:space="0" w:color="1361FF" w:themeColor="accent1" w:themeTint="99"/>
      </w:tblBorders>
    </w:tblPr>
    <w:tblStylePr w:type="firstRow">
      <w:rPr>
        <w:b/>
        <w:bCs/>
      </w:rPr>
      <w:tblPr/>
      <w:tcPr>
        <w:tcBorders>
          <w:top w:val="nil"/>
          <w:bottom w:val="single" w:sz="12" w:space="0" w:color="1361FF" w:themeColor="accent1" w:themeTint="99"/>
          <w:insideH w:val="nil"/>
          <w:insideV w:val="nil"/>
        </w:tcBorders>
        <w:shd w:val="clear" w:color="auto" w:fill="FFFFFF" w:themeFill="background1"/>
      </w:tcPr>
    </w:tblStylePr>
    <w:tblStylePr w:type="lastRow">
      <w:rPr>
        <w:b/>
        <w:bCs/>
      </w:rPr>
      <w:tblPr/>
      <w:tcPr>
        <w:tcBorders>
          <w:top w:val="double" w:sz="2" w:space="0" w:color="1361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AFF" w:themeFill="accent1" w:themeFillTint="33"/>
      </w:tcPr>
    </w:tblStylePr>
    <w:tblStylePr w:type="band1Horz">
      <w:tblPr/>
      <w:tcPr>
        <w:shd w:val="clear" w:color="auto" w:fill="B0CAFF" w:themeFill="accent1" w:themeFillTint="33"/>
      </w:tcPr>
    </w:tblStylePr>
  </w:style>
  <w:style w:type="table" w:styleId="GridTable4-Accent3">
    <w:name w:val="Grid Table 4 Accent 3"/>
    <w:basedOn w:val="TableNormal"/>
    <w:uiPriority w:val="49"/>
    <w:rsid w:val="004009F6"/>
    <w:tblPr>
      <w:tblStyleRowBandSize w:val="1"/>
      <w:tblStyleColBandSize w:val="1"/>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styleId="GridTable4-Accent5">
    <w:name w:val="Grid Table 4 Accent 5"/>
    <w:basedOn w:val="TableNormal"/>
    <w:uiPriority w:val="49"/>
    <w:rsid w:val="004009F6"/>
    <w:tblPr>
      <w:tblStyleRowBandSize w:val="1"/>
      <w:tblStyleColBandSize w:val="1"/>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paragraph" w:customStyle="1" w:styleId="Char2">
    <w:name w:val="Char2"/>
    <w:basedOn w:val="Normal"/>
    <w:link w:val="FootnoteReference"/>
    <w:uiPriority w:val="99"/>
    <w:rsid w:val="00CD6485"/>
    <w:pPr>
      <w:spacing w:after="160" w:line="240" w:lineRule="exact"/>
    </w:pPr>
    <w:rPr>
      <w:rFonts w:ascii="Calibri" w:hAnsi="Calibri"/>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59149">
      <w:bodyDiv w:val="1"/>
      <w:marLeft w:val="0"/>
      <w:marRight w:val="0"/>
      <w:marTop w:val="0"/>
      <w:marBottom w:val="0"/>
      <w:divBdr>
        <w:top w:val="none" w:sz="0" w:space="0" w:color="auto"/>
        <w:left w:val="none" w:sz="0" w:space="0" w:color="auto"/>
        <w:bottom w:val="none" w:sz="0" w:space="0" w:color="auto"/>
        <w:right w:val="none" w:sz="0" w:space="0" w:color="auto"/>
      </w:divBdr>
    </w:div>
    <w:div w:id="17897637">
      <w:bodyDiv w:val="1"/>
      <w:marLeft w:val="0"/>
      <w:marRight w:val="0"/>
      <w:marTop w:val="0"/>
      <w:marBottom w:val="0"/>
      <w:divBdr>
        <w:top w:val="none" w:sz="0" w:space="0" w:color="auto"/>
        <w:left w:val="none" w:sz="0" w:space="0" w:color="auto"/>
        <w:bottom w:val="none" w:sz="0" w:space="0" w:color="auto"/>
        <w:right w:val="none" w:sz="0" w:space="0" w:color="auto"/>
      </w:divBdr>
    </w:div>
    <w:div w:id="19819399">
      <w:bodyDiv w:val="1"/>
      <w:marLeft w:val="0"/>
      <w:marRight w:val="0"/>
      <w:marTop w:val="0"/>
      <w:marBottom w:val="0"/>
      <w:divBdr>
        <w:top w:val="none" w:sz="0" w:space="0" w:color="auto"/>
        <w:left w:val="none" w:sz="0" w:space="0" w:color="auto"/>
        <w:bottom w:val="none" w:sz="0" w:space="0" w:color="auto"/>
        <w:right w:val="none" w:sz="0" w:space="0" w:color="auto"/>
      </w:divBdr>
    </w:div>
    <w:div w:id="29037713">
      <w:bodyDiv w:val="1"/>
      <w:marLeft w:val="0"/>
      <w:marRight w:val="0"/>
      <w:marTop w:val="0"/>
      <w:marBottom w:val="0"/>
      <w:divBdr>
        <w:top w:val="none" w:sz="0" w:space="0" w:color="auto"/>
        <w:left w:val="none" w:sz="0" w:space="0" w:color="auto"/>
        <w:bottom w:val="none" w:sz="0" w:space="0" w:color="auto"/>
        <w:right w:val="none" w:sz="0" w:space="0" w:color="auto"/>
      </w:divBdr>
    </w:div>
    <w:div w:id="36857992">
      <w:bodyDiv w:val="1"/>
      <w:marLeft w:val="0"/>
      <w:marRight w:val="0"/>
      <w:marTop w:val="0"/>
      <w:marBottom w:val="0"/>
      <w:divBdr>
        <w:top w:val="none" w:sz="0" w:space="0" w:color="auto"/>
        <w:left w:val="none" w:sz="0" w:space="0" w:color="auto"/>
        <w:bottom w:val="none" w:sz="0" w:space="0" w:color="auto"/>
        <w:right w:val="none" w:sz="0" w:space="0" w:color="auto"/>
      </w:divBdr>
    </w:div>
    <w:div w:id="37710861">
      <w:bodyDiv w:val="1"/>
      <w:marLeft w:val="0"/>
      <w:marRight w:val="0"/>
      <w:marTop w:val="0"/>
      <w:marBottom w:val="0"/>
      <w:divBdr>
        <w:top w:val="none" w:sz="0" w:space="0" w:color="auto"/>
        <w:left w:val="none" w:sz="0" w:space="0" w:color="auto"/>
        <w:bottom w:val="none" w:sz="0" w:space="0" w:color="auto"/>
        <w:right w:val="none" w:sz="0" w:space="0" w:color="auto"/>
      </w:divBdr>
    </w:div>
    <w:div w:id="44725024">
      <w:bodyDiv w:val="1"/>
      <w:marLeft w:val="0"/>
      <w:marRight w:val="0"/>
      <w:marTop w:val="0"/>
      <w:marBottom w:val="0"/>
      <w:divBdr>
        <w:top w:val="none" w:sz="0" w:space="0" w:color="auto"/>
        <w:left w:val="none" w:sz="0" w:space="0" w:color="auto"/>
        <w:bottom w:val="none" w:sz="0" w:space="0" w:color="auto"/>
        <w:right w:val="none" w:sz="0" w:space="0" w:color="auto"/>
      </w:divBdr>
    </w:div>
    <w:div w:id="48965568">
      <w:bodyDiv w:val="1"/>
      <w:marLeft w:val="0"/>
      <w:marRight w:val="0"/>
      <w:marTop w:val="0"/>
      <w:marBottom w:val="0"/>
      <w:divBdr>
        <w:top w:val="none" w:sz="0" w:space="0" w:color="auto"/>
        <w:left w:val="none" w:sz="0" w:space="0" w:color="auto"/>
        <w:bottom w:val="none" w:sz="0" w:space="0" w:color="auto"/>
        <w:right w:val="none" w:sz="0" w:space="0" w:color="auto"/>
      </w:divBdr>
    </w:div>
    <w:div w:id="51780638">
      <w:bodyDiv w:val="1"/>
      <w:marLeft w:val="0"/>
      <w:marRight w:val="0"/>
      <w:marTop w:val="0"/>
      <w:marBottom w:val="0"/>
      <w:divBdr>
        <w:top w:val="none" w:sz="0" w:space="0" w:color="auto"/>
        <w:left w:val="none" w:sz="0" w:space="0" w:color="auto"/>
        <w:bottom w:val="none" w:sz="0" w:space="0" w:color="auto"/>
        <w:right w:val="none" w:sz="0" w:space="0" w:color="auto"/>
      </w:divBdr>
    </w:div>
    <w:div w:id="66075458">
      <w:bodyDiv w:val="1"/>
      <w:marLeft w:val="0"/>
      <w:marRight w:val="0"/>
      <w:marTop w:val="0"/>
      <w:marBottom w:val="0"/>
      <w:divBdr>
        <w:top w:val="none" w:sz="0" w:space="0" w:color="auto"/>
        <w:left w:val="none" w:sz="0" w:space="0" w:color="auto"/>
        <w:bottom w:val="none" w:sz="0" w:space="0" w:color="auto"/>
        <w:right w:val="none" w:sz="0" w:space="0" w:color="auto"/>
      </w:divBdr>
    </w:div>
    <w:div w:id="105466361">
      <w:bodyDiv w:val="1"/>
      <w:marLeft w:val="0"/>
      <w:marRight w:val="0"/>
      <w:marTop w:val="0"/>
      <w:marBottom w:val="0"/>
      <w:divBdr>
        <w:top w:val="none" w:sz="0" w:space="0" w:color="auto"/>
        <w:left w:val="none" w:sz="0" w:space="0" w:color="auto"/>
        <w:bottom w:val="none" w:sz="0" w:space="0" w:color="auto"/>
        <w:right w:val="none" w:sz="0" w:space="0" w:color="auto"/>
      </w:divBdr>
    </w:div>
    <w:div w:id="119302478">
      <w:bodyDiv w:val="1"/>
      <w:marLeft w:val="0"/>
      <w:marRight w:val="0"/>
      <w:marTop w:val="0"/>
      <w:marBottom w:val="0"/>
      <w:divBdr>
        <w:top w:val="none" w:sz="0" w:space="0" w:color="auto"/>
        <w:left w:val="none" w:sz="0" w:space="0" w:color="auto"/>
        <w:bottom w:val="none" w:sz="0" w:space="0" w:color="auto"/>
        <w:right w:val="none" w:sz="0" w:space="0" w:color="auto"/>
      </w:divBdr>
    </w:div>
    <w:div w:id="122970498">
      <w:bodyDiv w:val="1"/>
      <w:marLeft w:val="0"/>
      <w:marRight w:val="0"/>
      <w:marTop w:val="0"/>
      <w:marBottom w:val="0"/>
      <w:divBdr>
        <w:top w:val="none" w:sz="0" w:space="0" w:color="auto"/>
        <w:left w:val="none" w:sz="0" w:space="0" w:color="auto"/>
        <w:bottom w:val="none" w:sz="0" w:space="0" w:color="auto"/>
        <w:right w:val="none" w:sz="0" w:space="0" w:color="auto"/>
      </w:divBdr>
      <w:divsChild>
        <w:div w:id="1562404918">
          <w:marLeft w:val="0"/>
          <w:marRight w:val="0"/>
          <w:marTop w:val="0"/>
          <w:marBottom w:val="0"/>
          <w:divBdr>
            <w:top w:val="none" w:sz="0" w:space="0" w:color="auto"/>
            <w:left w:val="none" w:sz="0" w:space="0" w:color="auto"/>
            <w:bottom w:val="none" w:sz="0" w:space="0" w:color="auto"/>
            <w:right w:val="none" w:sz="0" w:space="0" w:color="auto"/>
          </w:divBdr>
          <w:divsChild>
            <w:div w:id="1756511696">
              <w:marLeft w:val="0"/>
              <w:marRight w:val="0"/>
              <w:marTop w:val="0"/>
              <w:marBottom w:val="0"/>
              <w:divBdr>
                <w:top w:val="none" w:sz="0" w:space="0" w:color="auto"/>
                <w:left w:val="none" w:sz="0" w:space="0" w:color="auto"/>
                <w:bottom w:val="none" w:sz="0" w:space="0" w:color="auto"/>
                <w:right w:val="none" w:sz="0" w:space="0" w:color="auto"/>
              </w:divBdr>
              <w:divsChild>
                <w:div w:id="1828552065">
                  <w:marLeft w:val="0"/>
                  <w:marRight w:val="0"/>
                  <w:marTop w:val="0"/>
                  <w:marBottom w:val="0"/>
                  <w:divBdr>
                    <w:top w:val="none" w:sz="0" w:space="0" w:color="auto"/>
                    <w:left w:val="none" w:sz="0" w:space="0" w:color="auto"/>
                    <w:bottom w:val="none" w:sz="0" w:space="0" w:color="auto"/>
                    <w:right w:val="none" w:sz="0" w:space="0" w:color="auto"/>
                  </w:divBdr>
                  <w:divsChild>
                    <w:div w:id="1327828202">
                      <w:marLeft w:val="0"/>
                      <w:marRight w:val="0"/>
                      <w:marTop w:val="0"/>
                      <w:marBottom w:val="0"/>
                      <w:divBdr>
                        <w:top w:val="none" w:sz="0" w:space="0" w:color="auto"/>
                        <w:left w:val="none" w:sz="0" w:space="0" w:color="auto"/>
                        <w:bottom w:val="none" w:sz="0" w:space="0" w:color="auto"/>
                        <w:right w:val="none" w:sz="0" w:space="0" w:color="auto"/>
                      </w:divBdr>
                      <w:divsChild>
                        <w:div w:id="900213885">
                          <w:marLeft w:val="0"/>
                          <w:marRight w:val="0"/>
                          <w:marTop w:val="0"/>
                          <w:marBottom w:val="0"/>
                          <w:divBdr>
                            <w:top w:val="none" w:sz="0" w:space="0" w:color="auto"/>
                            <w:left w:val="none" w:sz="0" w:space="0" w:color="auto"/>
                            <w:bottom w:val="none" w:sz="0" w:space="0" w:color="auto"/>
                            <w:right w:val="none" w:sz="0" w:space="0" w:color="auto"/>
                          </w:divBdr>
                          <w:divsChild>
                            <w:div w:id="994839107">
                              <w:marLeft w:val="0"/>
                              <w:marRight w:val="0"/>
                              <w:marTop w:val="0"/>
                              <w:marBottom w:val="0"/>
                              <w:divBdr>
                                <w:top w:val="none" w:sz="0" w:space="0" w:color="auto"/>
                                <w:left w:val="none" w:sz="0" w:space="0" w:color="auto"/>
                                <w:bottom w:val="none" w:sz="0" w:space="0" w:color="auto"/>
                                <w:right w:val="none" w:sz="0" w:space="0" w:color="auto"/>
                              </w:divBdr>
                              <w:divsChild>
                                <w:div w:id="982271589">
                                  <w:marLeft w:val="0"/>
                                  <w:marRight w:val="0"/>
                                  <w:marTop w:val="0"/>
                                  <w:marBottom w:val="0"/>
                                  <w:divBdr>
                                    <w:top w:val="none" w:sz="0" w:space="0" w:color="auto"/>
                                    <w:left w:val="none" w:sz="0" w:space="0" w:color="auto"/>
                                    <w:bottom w:val="none" w:sz="0" w:space="0" w:color="auto"/>
                                    <w:right w:val="none" w:sz="0" w:space="0" w:color="auto"/>
                                  </w:divBdr>
                                  <w:divsChild>
                                    <w:div w:id="72551963">
                                      <w:marLeft w:val="0"/>
                                      <w:marRight w:val="0"/>
                                      <w:marTop w:val="0"/>
                                      <w:marBottom w:val="0"/>
                                      <w:divBdr>
                                        <w:top w:val="none" w:sz="0" w:space="0" w:color="auto"/>
                                        <w:left w:val="none" w:sz="0" w:space="0" w:color="auto"/>
                                        <w:bottom w:val="none" w:sz="0" w:space="0" w:color="auto"/>
                                        <w:right w:val="none" w:sz="0" w:space="0" w:color="auto"/>
                                      </w:divBdr>
                                      <w:divsChild>
                                        <w:div w:id="445007103">
                                          <w:marLeft w:val="0"/>
                                          <w:marRight w:val="0"/>
                                          <w:marTop w:val="0"/>
                                          <w:marBottom w:val="0"/>
                                          <w:divBdr>
                                            <w:top w:val="none" w:sz="0" w:space="0" w:color="auto"/>
                                            <w:left w:val="none" w:sz="0" w:space="0" w:color="auto"/>
                                            <w:bottom w:val="none" w:sz="0" w:space="0" w:color="auto"/>
                                            <w:right w:val="none" w:sz="0" w:space="0" w:color="auto"/>
                                          </w:divBdr>
                                          <w:divsChild>
                                            <w:div w:id="1019430437">
                                              <w:marLeft w:val="0"/>
                                              <w:marRight w:val="0"/>
                                              <w:marTop w:val="0"/>
                                              <w:marBottom w:val="0"/>
                                              <w:divBdr>
                                                <w:top w:val="none" w:sz="0" w:space="0" w:color="auto"/>
                                                <w:left w:val="none" w:sz="0" w:space="0" w:color="auto"/>
                                                <w:bottom w:val="none" w:sz="0" w:space="0" w:color="auto"/>
                                                <w:right w:val="none" w:sz="0" w:space="0" w:color="auto"/>
                                              </w:divBdr>
                                              <w:divsChild>
                                                <w:div w:id="269095578">
                                                  <w:marLeft w:val="0"/>
                                                  <w:marRight w:val="0"/>
                                                  <w:marTop w:val="0"/>
                                                  <w:marBottom w:val="0"/>
                                                  <w:divBdr>
                                                    <w:top w:val="none" w:sz="0" w:space="0" w:color="auto"/>
                                                    <w:left w:val="none" w:sz="0" w:space="0" w:color="auto"/>
                                                    <w:bottom w:val="none" w:sz="0" w:space="0" w:color="auto"/>
                                                    <w:right w:val="none" w:sz="0" w:space="0" w:color="auto"/>
                                                  </w:divBdr>
                                                  <w:divsChild>
                                                    <w:div w:id="302782266">
                                                      <w:marLeft w:val="0"/>
                                                      <w:marRight w:val="0"/>
                                                      <w:marTop w:val="0"/>
                                                      <w:marBottom w:val="0"/>
                                                      <w:divBdr>
                                                        <w:top w:val="none" w:sz="0" w:space="0" w:color="auto"/>
                                                        <w:left w:val="none" w:sz="0" w:space="0" w:color="auto"/>
                                                        <w:bottom w:val="none" w:sz="0" w:space="0" w:color="auto"/>
                                                        <w:right w:val="none" w:sz="0" w:space="0" w:color="auto"/>
                                                      </w:divBdr>
                                                      <w:divsChild>
                                                        <w:div w:id="332103072">
                                                          <w:marLeft w:val="0"/>
                                                          <w:marRight w:val="0"/>
                                                          <w:marTop w:val="0"/>
                                                          <w:marBottom w:val="0"/>
                                                          <w:divBdr>
                                                            <w:top w:val="none" w:sz="0" w:space="0" w:color="auto"/>
                                                            <w:left w:val="none" w:sz="0" w:space="0" w:color="auto"/>
                                                            <w:bottom w:val="none" w:sz="0" w:space="0" w:color="auto"/>
                                                            <w:right w:val="none" w:sz="0" w:space="0" w:color="auto"/>
                                                          </w:divBdr>
                                                          <w:divsChild>
                                                            <w:div w:id="1232042557">
                                                              <w:marLeft w:val="0"/>
                                                              <w:marRight w:val="150"/>
                                                              <w:marTop w:val="0"/>
                                                              <w:marBottom w:val="150"/>
                                                              <w:divBdr>
                                                                <w:top w:val="none" w:sz="0" w:space="0" w:color="auto"/>
                                                                <w:left w:val="none" w:sz="0" w:space="0" w:color="auto"/>
                                                                <w:bottom w:val="none" w:sz="0" w:space="0" w:color="auto"/>
                                                                <w:right w:val="none" w:sz="0" w:space="0" w:color="auto"/>
                                                              </w:divBdr>
                                                              <w:divsChild>
                                                                <w:div w:id="186987839">
                                                                  <w:marLeft w:val="0"/>
                                                                  <w:marRight w:val="0"/>
                                                                  <w:marTop w:val="0"/>
                                                                  <w:marBottom w:val="0"/>
                                                                  <w:divBdr>
                                                                    <w:top w:val="none" w:sz="0" w:space="0" w:color="auto"/>
                                                                    <w:left w:val="none" w:sz="0" w:space="0" w:color="auto"/>
                                                                    <w:bottom w:val="none" w:sz="0" w:space="0" w:color="auto"/>
                                                                    <w:right w:val="none" w:sz="0" w:space="0" w:color="auto"/>
                                                                  </w:divBdr>
                                                                  <w:divsChild>
                                                                    <w:div w:id="96561470">
                                                                      <w:marLeft w:val="0"/>
                                                                      <w:marRight w:val="0"/>
                                                                      <w:marTop w:val="0"/>
                                                                      <w:marBottom w:val="0"/>
                                                                      <w:divBdr>
                                                                        <w:top w:val="none" w:sz="0" w:space="0" w:color="auto"/>
                                                                        <w:left w:val="none" w:sz="0" w:space="0" w:color="auto"/>
                                                                        <w:bottom w:val="none" w:sz="0" w:space="0" w:color="auto"/>
                                                                        <w:right w:val="none" w:sz="0" w:space="0" w:color="auto"/>
                                                                      </w:divBdr>
                                                                      <w:divsChild>
                                                                        <w:div w:id="248733019">
                                                                          <w:marLeft w:val="0"/>
                                                                          <w:marRight w:val="0"/>
                                                                          <w:marTop w:val="0"/>
                                                                          <w:marBottom w:val="0"/>
                                                                          <w:divBdr>
                                                                            <w:top w:val="none" w:sz="0" w:space="0" w:color="auto"/>
                                                                            <w:left w:val="none" w:sz="0" w:space="0" w:color="auto"/>
                                                                            <w:bottom w:val="none" w:sz="0" w:space="0" w:color="auto"/>
                                                                            <w:right w:val="none" w:sz="0" w:space="0" w:color="auto"/>
                                                                          </w:divBdr>
                                                                          <w:divsChild>
                                                                            <w:div w:id="1574899270">
                                                                              <w:marLeft w:val="0"/>
                                                                              <w:marRight w:val="0"/>
                                                                              <w:marTop w:val="0"/>
                                                                              <w:marBottom w:val="0"/>
                                                                              <w:divBdr>
                                                                                <w:top w:val="none" w:sz="0" w:space="0" w:color="auto"/>
                                                                                <w:left w:val="none" w:sz="0" w:space="0" w:color="auto"/>
                                                                                <w:bottom w:val="none" w:sz="0" w:space="0" w:color="auto"/>
                                                                                <w:right w:val="none" w:sz="0" w:space="0" w:color="auto"/>
                                                                              </w:divBdr>
                                                                              <w:divsChild>
                                                                                <w:div w:id="1927422877">
                                                                                  <w:marLeft w:val="0"/>
                                                                                  <w:marRight w:val="0"/>
                                                                                  <w:marTop w:val="0"/>
                                                                                  <w:marBottom w:val="0"/>
                                                                                  <w:divBdr>
                                                                                    <w:top w:val="none" w:sz="0" w:space="0" w:color="auto"/>
                                                                                    <w:left w:val="none" w:sz="0" w:space="0" w:color="auto"/>
                                                                                    <w:bottom w:val="none" w:sz="0" w:space="0" w:color="auto"/>
                                                                                    <w:right w:val="none" w:sz="0" w:space="0" w:color="auto"/>
                                                                                  </w:divBdr>
                                                                                  <w:divsChild>
                                                                                    <w:div w:id="189496104">
                                                                                      <w:marLeft w:val="0"/>
                                                                                      <w:marRight w:val="0"/>
                                                                                      <w:marTop w:val="0"/>
                                                                                      <w:marBottom w:val="0"/>
                                                                                      <w:divBdr>
                                                                                        <w:top w:val="none" w:sz="0" w:space="0" w:color="auto"/>
                                                                                        <w:left w:val="none" w:sz="0" w:space="0" w:color="auto"/>
                                                                                        <w:bottom w:val="none" w:sz="0" w:space="0" w:color="auto"/>
                                                                                        <w:right w:val="none" w:sz="0" w:space="0" w:color="auto"/>
                                                                                      </w:divBdr>
                                                                                    </w:div>
                                                                                    <w:div w:id="479999920">
                                                                                      <w:marLeft w:val="0"/>
                                                                                      <w:marRight w:val="0"/>
                                                                                      <w:marTop w:val="0"/>
                                                                                      <w:marBottom w:val="0"/>
                                                                                      <w:divBdr>
                                                                                        <w:top w:val="none" w:sz="0" w:space="0" w:color="auto"/>
                                                                                        <w:left w:val="none" w:sz="0" w:space="0" w:color="auto"/>
                                                                                        <w:bottom w:val="none" w:sz="0" w:space="0" w:color="auto"/>
                                                                                        <w:right w:val="none" w:sz="0" w:space="0" w:color="auto"/>
                                                                                      </w:divBdr>
                                                                                    </w:div>
                                                                                    <w:div w:id="598366234">
                                                                                      <w:marLeft w:val="0"/>
                                                                                      <w:marRight w:val="0"/>
                                                                                      <w:marTop w:val="0"/>
                                                                                      <w:marBottom w:val="0"/>
                                                                                      <w:divBdr>
                                                                                        <w:top w:val="none" w:sz="0" w:space="0" w:color="auto"/>
                                                                                        <w:left w:val="none" w:sz="0" w:space="0" w:color="auto"/>
                                                                                        <w:bottom w:val="none" w:sz="0" w:space="0" w:color="auto"/>
                                                                                        <w:right w:val="none" w:sz="0" w:space="0" w:color="auto"/>
                                                                                      </w:divBdr>
                                                                                    </w:div>
                                                                                    <w:div w:id="726075858">
                                                                                      <w:marLeft w:val="0"/>
                                                                                      <w:marRight w:val="0"/>
                                                                                      <w:marTop w:val="0"/>
                                                                                      <w:marBottom w:val="0"/>
                                                                                      <w:divBdr>
                                                                                        <w:top w:val="none" w:sz="0" w:space="0" w:color="auto"/>
                                                                                        <w:left w:val="none" w:sz="0" w:space="0" w:color="auto"/>
                                                                                        <w:bottom w:val="none" w:sz="0" w:space="0" w:color="auto"/>
                                                                                        <w:right w:val="none" w:sz="0" w:space="0" w:color="auto"/>
                                                                                      </w:divBdr>
                                                                                    </w:div>
                                                                                    <w:div w:id="891230604">
                                                                                      <w:marLeft w:val="0"/>
                                                                                      <w:marRight w:val="0"/>
                                                                                      <w:marTop w:val="0"/>
                                                                                      <w:marBottom w:val="0"/>
                                                                                      <w:divBdr>
                                                                                        <w:top w:val="none" w:sz="0" w:space="0" w:color="auto"/>
                                                                                        <w:left w:val="none" w:sz="0" w:space="0" w:color="auto"/>
                                                                                        <w:bottom w:val="none" w:sz="0" w:space="0" w:color="auto"/>
                                                                                        <w:right w:val="none" w:sz="0" w:space="0" w:color="auto"/>
                                                                                      </w:divBdr>
                                                                                    </w:div>
                                                                                    <w:div w:id="929123818">
                                                                                      <w:marLeft w:val="0"/>
                                                                                      <w:marRight w:val="0"/>
                                                                                      <w:marTop w:val="0"/>
                                                                                      <w:marBottom w:val="0"/>
                                                                                      <w:divBdr>
                                                                                        <w:top w:val="none" w:sz="0" w:space="0" w:color="auto"/>
                                                                                        <w:left w:val="none" w:sz="0" w:space="0" w:color="auto"/>
                                                                                        <w:bottom w:val="none" w:sz="0" w:space="0" w:color="auto"/>
                                                                                        <w:right w:val="none" w:sz="0" w:space="0" w:color="auto"/>
                                                                                      </w:divBdr>
                                                                                    </w:div>
                                                                                    <w:div w:id="15459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547769">
      <w:bodyDiv w:val="1"/>
      <w:marLeft w:val="0"/>
      <w:marRight w:val="0"/>
      <w:marTop w:val="0"/>
      <w:marBottom w:val="0"/>
      <w:divBdr>
        <w:top w:val="none" w:sz="0" w:space="0" w:color="auto"/>
        <w:left w:val="none" w:sz="0" w:space="0" w:color="auto"/>
        <w:bottom w:val="none" w:sz="0" w:space="0" w:color="auto"/>
        <w:right w:val="none" w:sz="0" w:space="0" w:color="auto"/>
      </w:divBdr>
    </w:div>
    <w:div w:id="131414103">
      <w:bodyDiv w:val="1"/>
      <w:marLeft w:val="0"/>
      <w:marRight w:val="0"/>
      <w:marTop w:val="0"/>
      <w:marBottom w:val="0"/>
      <w:divBdr>
        <w:top w:val="none" w:sz="0" w:space="0" w:color="auto"/>
        <w:left w:val="none" w:sz="0" w:space="0" w:color="auto"/>
        <w:bottom w:val="none" w:sz="0" w:space="0" w:color="auto"/>
        <w:right w:val="none" w:sz="0" w:space="0" w:color="auto"/>
      </w:divBdr>
    </w:div>
    <w:div w:id="148518934">
      <w:bodyDiv w:val="1"/>
      <w:marLeft w:val="0"/>
      <w:marRight w:val="0"/>
      <w:marTop w:val="0"/>
      <w:marBottom w:val="0"/>
      <w:divBdr>
        <w:top w:val="none" w:sz="0" w:space="0" w:color="auto"/>
        <w:left w:val="none" w:sz="0" w:space="0" w:color="auto"/>
        <w:bottom w:val="none" w:sz="0" w:space="0" w:color="auto"/>
        <w:right w:val="none" w:sz="0" w:space="0" w:color="auto"/>
      </w:divBdr>
    </w:div>
    <w:div w:id="152188012">
      <w:bodyDiv w:val="1"/>
      <w:marLeft w:val="0"/>
      <w:marRight w:val="0"/>
      <w:marTop w:val="0"/>
      <w:marBottom w:val="0"/>
      <w:divBdr>
        <w:top w:val="none" w:sz="0" w:space="0" w:color="auto"/>
        <w:left w:val="none" w:sz="0" w:space="0" w:color="auto"/>
        <w:bottom w:val="none" w:sz="0" w:space="0" w:color="auto"/>
        <w:right w:val="none" w:sz="0" w:space="0" w:color="auto"/>
      </w:divBdr>
      <w:divsChild>
        <w:div w:id="22903997">
          <w:marLeft w:val="288"/>
          <w:marRight w:val="0"/>
          <w:marTop w:val="120"/>
          <w:marBottom w:val="0"/>
          <w:divBdr>
            <w:top w:val="none" w:sz="0" w:space="0" w:color="auto"/>
            <w:left w:val="none" w:sz="0" w:space="0" w:color="auto"/>
            <w:bottom w:val="none" w:sz="0" w:space="0" w:color="auto"/>
            <w:right w:val="none" w:sz="0" w:space="0" w:color="auto"/>
          </w:divBdr>
        </w:div>
        <w:div w:id="336270379">
          <w:marLeft w:val="288"/>
          <w:marRight w:val="0"/>
          <w:marTop w:val="120"/>
          <w:marBottom w:val="0"/>
          <w:divBdr>
            <w:top w:val="none" w:sz="0" w:space="0" w:color="auto"/>
            <w:left w:val="none" w:sz="0" w:space="0" w:color="auto"/>
            <w:bottom w:val="none" w:sz="0" w:space="0" w:color="auto"/>
            <w:right w:val="none" w:sz="0" w:space="0" w:color="auto"/>
          </w:divBdr>
        </w:div>
        <w:div w:id="529926237">
          <w:marLeft w:val="619"/>
          <w:marRight w:val="0"/>
          <w:marTop w:val="120"/>
          <w:marBottom w:val="0"/>
          <w:divBdr>
            <w:top w:val="none" w:sz="0" w:space="0" w:color="auto"/>
            <w:left w:val="none" w:sz="0" w:space="0" w:color="auto"/>
            <w:bottom w:val="none" w:sz="0" w:space="0" w:color="auto"/>
            <w:right w:val="none" w:sz="0" w:space="0" w:color="auto"/>
          </w:divBdr>
        </w:div>
        <w:div w:id="1541475428">
          <w:marLeft w:val="619"/>
          <w:marRight w:val="0"/>
          <w:marTop w:val="120"/>
          <w:marBottom w:val="0"/>
          <w:divBdr>
            <w:top w:val="none" w:sz="0" w:space="0" w:color="auto"/>
            <w:left w:val="none" w:sz="0" w:space="0" w:color="auto"/>
            <w:bottom w:val="none" w:sz="0" w:space="0" w:color="auto"/>
            <w:right w:val="none" w:sz="0" w:space="0" w:color="auto"/>
          </w:divBdr>
        </w:div>
        <w:div w:id="1793599201">
          <w:marLeft w:val="619"/>
          <w:marRight w:val="0"/>
          <w:marTop w:val="120"/>
          <w:marBottom w:val="0"/>
          <w:divBdr>
            <w:top w:val="none" w:sz="0" w:space="0" w:color="auto"/>
            <w:left w:val="none" w:sz="0" w:space="0" w:color="auto"/>
            <w:bottom w:val="none" w:sz="0" w:space="0" w:color="auto"/>
            <w:right w:val="none" w:sz="0" w:space="0" w:color="auto"/>
          </w:divBdr>
        </w:div>
        <w:div w:id="1941373509">
          <w:marLeft w:val="619"/>
          <w:marRight w:val="0"/>
          <w:marTop w:val="120"/>
          <w:marBottom w:val="0"/>
          <w:divBdr>
            <w:top w:val="none" w:sz="0" w:space="0" w:color="auto"/>
            <w:left w:val="none" w:sz="0" w:space="0" w:color="auto"/>
            <w:bottom w:val="none" w:sz="0" w:space="0" w:color="auto"/>
            <w:right w:val="none" w:sz="0" w:space="0" w:color="auto"/>
          </w:divBdr>
        </w:div>
      </w:divsChild>
    </w:div>
    <w:div w:id="164826024">
      <w:bodyDiv w:val="1"/>
      <w:marLeft w:val="0"/>
      <w:marRight w:val="0"/>
      <w:marTop w:val="0"/>
      <w:marBottom w:val="0"/>
      <w:divBdr>
        <w:top w:val="none" w:sz="0" w:space="0" w:color="auto"/>
        <w:left w:val="none" w:sz="0" w:space="0" w:color="auto"/>
        <w:bottom w:val="none" w:sz="0" w:space="0" w:color="auto"/>
        <w:right w:val="none" w:sz="0" w:space="0" w:color="auto"/>
      </w:divBdr>
      <w:divsChild>
        <w:div w:id="949050809">
          <w:marLeft w:val="475"/>
          <w:marRight w:val="0"/>
          <w:marTop w:val="20"/>
          <w:marBottom w:val="0"/>
          <w:divBdr>
            <w:top w:val="none" w:sz="0" w:space="0" w:color="auto"/>
            <w:left w:val="none" w:sz="0" w:space="0" w:color="auto"/>
            <w:bottom w:val="none" w:sz="0" w:space="0" w:color="auto"/>
            <w:right w:val="none" w:sz="0" w:space="0" w:color="auto"/>
          </w:divBdr>
        </w:div>
        <w:div w:id="605501809">
          <w:marLeft w:val="475"/>
          <w:marRight w:val="0"/>
          <w:marTop w:val="10"/>
          <w:marBottom w:val="0"/>
          <w:divBdr>
            <w:top w:val="none" w:sz="0" w:space="0" w:color="auto"/>
            <w:left w:val="none" w:sz="0" w:space="0" w:color="auto"/>
            <w:bottom w:val="none" w:sz="0" w:space="0" w:color="auto"/>
            <w:right w:val="none" w:sz="0" w:space="0" w:color="auto"/>
          </w:divBdr>
        </w:div>
        <w:div w:id="951278635">
          <w:marLeft w:val="475"/>
          <w:marRight w:val="0"/>
          <w:marTop w:val="2"/>
          <w:marBottom w:val="0"/>
          <w:divBdr>
            <w:top w:val="none" w:sz="0" w:space="0" w:color="auto"/>
            <w:left w:val="none" w:sz="0" w:space="0" w:color="auto"/>
            <w:bottom w:val="none" w:sz="0" w:space="0" w:color="auto"/>
            <w:right w:val="none" w:sz="0" w:space="0" w:color="auto"/>
          </w:divBdr>
        </w:div>
      </w:divsChild>
    </w:div>
    <w:div w:id="190146989">
      <w:bodyDiv w:val="1"/>
      <w:marLeft w:val="0"/>
      <w:marRight w:val="0"/>
      <w:marTop w:val="0"/>
      <w:marBottom w:val="0"/>
      <w:divBdr>
        <w:top w:val="none" w:sz="0" w:space="0" w:color="auto"/>
        <w:left w:val="none" w:sz="0" w:space="0" w:color="auto"/>
        <w:bottom w:val="none" w:sz="0" w:space="0" w:color="auto"/>
        <w:right w:val="none" w:sz="0" w:space="0" w:color="auto"/>
      </w:divBdr>
    </w:div>
    <w:div w:id="192038895">
      <w:bodyDiv w:val="1"/>
      <w:marLeft w:val="0"/>
      <w:marRight w:val="0"/>
      <w:marTop w:val="0"/>
      <w:marBottom w:val="0"/>
      <w:divBdr>
        <w:top w:val="none" w:sz="0" w:space="0" w:color="auto"/>
        <w:left w:val="none" w:sz="0" w:space="0" w:color="auto"/>
        <w:bottom w:val="none" w:sz="0" w:space="0" w:color="auto"/>
        <w:right w:val="none" w:sz="0" w:space="0" w:color="auto"/>
      </w:divBdr>
    </w:div>
    <w:div w:id="199241728">
      <w:bodyDiv w:val="1"/>
      <w:marLeft w:val="0"/>
      <w:marRight w:val="0"/>
      <w:marTop w:val="0"/>
      <w:marBottom w:val="0"/>
      <w:divBdr>
        <w:top w:val="none" w:sz="0" w:space="0" w:color="auto"/>
        <w:left w:val="none" w:sz="0" w:space="0" w:color="auto"/>
        <w:bottom w:val="none" w:sz="0" w:space="0" w:color="auto"/>
        <w:right w:val="none" w:sz="0" w:space="0" w:color="auto"/>
      </w:divBdr>
      <w:divsChild>
        <w:div w:id="719206700">
          <w:marLeft w:val="547"/>
          <w:marRight w:val="0"/>
          <w:marTop w:val="0"/>
          <w:marBottom w:val="0"/>
          <w:divBdr>
            <w:top w:val="none" w:sz="0" w:space="0" w:color="auto"/>
            <w:left w:val="none" w:sz="0" w:space="0" w:color="auto"/>
            <w:bottom w:val="none" w:sz="0" w:space="0" w:color="auto"/>
            <w:right w:val="none" w:sz="0" w:space="0" w:color="auto"/>
          </w:divBdr>
        </w:div>
        <w:div w:id="2091416204">
          <w:marLeft w:val="547"/>
          <w:marRight w:val="0"/>
          <w:marTop w:val="0"/>
          <w:marBottom w:val="0"/>
          <w:divBdr>
            <w:top w:val="none" w:sz="0" w:space="0" w:color="auto"/>
            <w:left w:val="none" w:sz="0" w:space="0" w:color="auto"/>
            <w:bottom w:val="none" w:sz="0" w:space="0" w:color="auto"/>
            <w:right w:val="none" w:sz="0" w:space="0" w:color="auto"/>
          </w:divBdr>
        </w:div>
      </w:divsChild>
    </w:div>
    <w:div w:id="201137966">
      <w:bodyDiv w:val="1"/>
      <w:marLeft w:val="0"/>
      <w:marRight w:val="0"/>
      <w:marTop w:val="0"/>
      <w:marBottom w:val="0"/>
      <w:divBdr>
        <w:top w:val="none" w:sz="0" w:space="0" w:color="auto"/>
        <w:left w:val="none" w:sz="0" w:space="0" w:color="auto"/>
        <w:bottom w:val="none" w:sz="0" w:space="0" w:color="auto"/>
        <w:right w:val="none" w:sz="0" w:space="0" w:color="auto"/>
      </w:divBdr>
    </w:div>
    <w:div w:id="201751177">
      <w:bodyDiv w:val="1"/>
      <w:marLeft w:val="0"/>
      <w:marRight w:val="0"/>
      <w:marTop w:val="0"/>
      <w:marBottom w:val="0"/>
      <w:divBdr>
        <w:top w:val="none" w:sz="0" w:space="0" w:color="auto"/>
        <w:left w:val="none" w:sz="0" w:space="0" w:color="auto"/>
        <w:bottom w:val="none" w:sz="0" w:space="0" w:color="auto"/>
        <w:right w:val="none" w:sz="0" w:space="0" w:color="auto"/>
      </w:divBdr>
    </w:div>
    <w:div w:id="213321329">
      <w:bodyDiv w:val="1"/>
      <w:marLeft w:val="0"/>
      <w:marRight w:val="0"/>
      <w:marTop w:val="0"/>
      <w:marBottom w:val="0"/>
      <w:divBdr>
        <w:top w:val="none" w:sz="0" w:space="0" w:color="auto"/>
        <w:left w:val="none" w:sz="0" w:space="0" w:color="auto"/>
        <w:bottom w:val="none" w:sz="0" w:space="0" w:color="auto"/>
        <w:right w:val="none" w:sz="0" w:space="0" w:color="auto"/>
      </w:divBdr>
    </w:div>
    <w:div w:id="231238242">
      <w:bodyDiv w:val="1"/>
      <w:marLeft w:val="0"/>
      <w:marRight w:val="0"/>
      <w:marTop w:val="0"/>
      <w:marBottom w:val="0"/>
      <w:divBdr>
        <w:top w:val="none" w:sz="0" w:space="0" w:color="auto"/>
        <w:left w:val="none" w:sz="0" w:space="0" w:color="auto"/>
        <w:bottom w:val="none" w:sz="0" w:space="0" w:color="auto"/>
        <w:right w:val="none" w:sz="0" w:space="0" w:color="auto"/>
      </w:divBdr>
    </w:div>
    <w:div w:id="232157451">
      <w:bodyDiv w:val="1"/>
      <w:marLeft w:val="0"/>
      <w:marRight w:val="0"/>
      <w:marTop w:val="0"/>
      <w:marBottom w:val="0"/>
      <w:divBdr>
        <w:top w:val="none" w:sz="0" w:space="0" w:color="auto"/>
        <w:left w:val="none" w:sz="0" w:space="0" w:color="auto"/>
        <w:bottom w:val="none" w:sz="0" w:space="0" w:color="auto"/>
        <w:right w:val="none" w:sz="0" w:space="0" w:color="auto"/>
      </w:divBdr>
    </w:div>
    <w:div w:id="249656793">
      <w:bodyDiv w:val="1"/>
      <w:marLeft w:val="0"/>
      <w:marRight w:val="0"/>
      <w:marTop w:val="0"/>
      <w:marBottom w:val="0"/>
      <w:divBdr>
        <w:top w:val="none" w:sz="0" w:space="0" w:color="auto"/>
        <w:left w:val="none" w:sz="0" w:space="0" w:color="auto"/>
        <w:bottom w:val="none" w:sz="0" w:space="0" w:color="auto"/>
        <w:right w:val="none" w:sz="0" w:space="0" w:color="auto"/>
      </w:divBdr>
    </w:div>
    <w:div w:id="263614903">
      <w:bodyDiv w:val="1"/>
      <w:marLeft w:val="0"/>
      <w:marRight w:val="0"/>
      <w:marTop w:val="0"/>
      <w:marBottom w:val="0"/>
      <w:divBdr>
        <w:top w:val="none" w:sz="0" w:space="0" w:color="auto"/>
        <w:left w:val="none" w:sz="0" w:space="0" w:color="auto"/>
        <w:bottom w:val="none" w:sz="0" w:space="0" w:color="auto"/>
        <w:right w:val="none" w:sz="0" w:space="0" w:color="auto"/>
      </w:divBdr>
    </w:div>
    <w:div w:id="271013352">
      <w:bodyDiv w:val="1"/>
      <w:marLeft w:val="0"/>
      <w:marRight w:val="0"/>
      <w:marTop w:val="0"/>
      <w:marBottom w:val="0"/>
      <w:divBdr>
        <w:top w:val="none" w:sz="0" w:space="0" w:color="auto"/>
        <w:left w:val="none" w:sz="0" w:space="0" w:color="auto"/>
        <w:bottom w:val="none" w:sz="0" w:space="0" w:color="auto"/>
        <w:right w:val="none" w:sz="0" w:space="0" w:color="auto"/>
      </w:divBdr>
    </w:div>
    <w:div w:id="276186333">
      <w:bodyDiv w:val="1"/>
      <w:marLeft w:val="0"/>
      <w:marRight w:val="0"/>
      <w:marTop w:val="0"/>
      <w:marBottom w:val="0"/>
      <w:divBdr>
        <w:top w:val="none" w:sz="0" w:space="0" w:color="auto"/>
        <w:left w:val="none" w:sz="0" w:space="0" w:color="auto"/>
        <w:bottom w:val="none" w:sz="0" w:space="0" w:color="auto"/>
        <w:right w:val="none" w:sz="0" w:space="0" w:color="auto"/>
      </w:divBdr>
    </w:div>
    <w:div w:id="283777021">
      <w:bodyDiv w:val="1"/>
      <w:marLeft w:val="0"/>
      <w:marRight w:val="0"/>
      <w:marTop w:val="0"/>
      <w:marBottom w:val="0"/>
      <w:divBdr>
        <w:top w:val="none" w:sz="0" w:space="0" w:color="auto"/>
        <w:left w:val="none" w:sz="0" w:space="0" w:color="auto"/>
        <w:bottom w:val="none" w:sz="0" w:space="0" w:color="auto"/>
        <w:right w:val="none" w:sz="0" w:space="0" w:color="auto"/>
      </w:divBdr>
    </w:div>
    <w:div w:id="324406779">
      <w:bodyDiv w:val="1"/>
      <w:marLeft w:val="0"/>
      <w:marRight w:val="0"/>
      <w:marTop w:val="0"/>
      <w:marBottom w:val="0"/>
      <w:divBdr>
        <w:top w:val="none" w:sz="0" w:space="0" w:color="auto"/>
        <w:left w:val="none" w:sz="0" w:space="0" w:color="auto"/>
        <w:bottom w:val="none" w:sz="0" w:space="0" w:color="auto"/>
        <w:right w:val="none" w:sz="0" w:space="0" w:color="auto"/>
      </w:divBdr>
      <w:divsChild>
        <w:div w:id="1674406625">
          <w:marLeft w:val="0"/>
          <w:marRight w:val="0"/>
          <w:marTop w:val="0"/>
          <w:marBottom w:val="0"/>
          <w:divBdr>
            <w:top w:val="none" w:sz="0" w:space="0" w:color="auto"/>
            <w:left w:val="none" w:sz="0" w:space="0" w:color="auto"/>
            <w:bottom w:val="none" w:sz="0" w:space="0" w:color="auto"/>
            <w:right w:val="none" w:sz="0" w:space="0" w:color="auto"/>
          </w:divBdr>
          <w:divsChild>
            <w:div w:id="841822631">
              <w:marLeft w:val="0"/>
              <w:marRight w:val="0"/>
              <w:marTop w:val="0"/>
              <w:marBottom w:val="0"/>
              <w:divBdr>
                <w:top w:val="none" w:sz="0" w:space="0" w:color="auto"/>
                <w:left w:val="none" w:sz="0" w:space="0" w:color="auto"/>
                <w:bottom w:val="none" w:sz="0" w:space="0" w:color="auto"/>
                <w:right w:val="none" w:sz="0" w:space="0" w:color="auto"/>
              </w:divBdr>
              <w:divsChild>
                <w:div w:id="1464808660">
                  <w:marLeft w:val="0"/>
                  <w:marRight w:val="0"/>
                  <w:marTop w:val="0"/>
                  <w:marBottom w:val="0"/>
                  <w:divBdr>
                    <w:top w:val="none" w:sz="0" w:space="0" w:color="auto"/>
                    <w:left w:val="none" w:sz="0" w:space="0" w:color="auto"/>
                    <w:bottom w:val="none" w:sz="0" w:space="0" w:color="auto"/>
                    <w:right w:val="none" w:sz="0" w:space="0" w:color="auto"/>
                  </w:divBdr>
                  <w:divsChild>
                    <w:div w:id="12257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070135">
          <w:marLeft w:val="0"/>
          <w:marRight w:val="0"/>
          <w:marTop w:val="0"/>
          <w:marBottom w:val="0"/>
          <w:divBdr>
            <w:top w:val="none" w:sz="0" w:space="0" w:color="auto"/>
            <w:left w:val="none" w:sz="0" w:space="0" w:color="auto"/>
            <w:bottom w:val="none" w:sz="0" w:space="0" w:color="auto"/>
            <w:right w:val="none" w:sz="0" w:space="0" w:color="auto"/>
          </w:divBdr>
          <w:divsChild>
            <w:div w:id="1274284438">
              <w:marLeft w:val="0"/>
              <w:marRight w:val="0"/>
              <w:marTop w:val="0"/>
              <w:marBottom w:val="0"/>
              <w:divBdr>
                <w:top w:val="none" w:sz="0" w:space="0" w:color="auto"/>
                <w:left w:val="none" w:sz="0" w:space="0" w:color="auto"/>
                <w:bottom w:val="none" w:sz="0" w:space="0" w:color="auto"/>
                <w:right w:val="none" w:sz="0" w:space="0" w:color="auto"/>
              </w:divBdr>
              <w:divsChild>
                <w:div w:id="139885679">
                  <w:marLeft w:val="0"/>
                  <w:marRight w:val="0"/>
                  <w:marTop w:val="0"/>
                  <w:marBottom w:val="0"/>
                  <w:divBdr>
                    <w:top w:val="none" w:sz="0" w:space="0" w:color="auto"/>
                    <w:left w:val="none" w:sz="0" w:space="0" w:color="auto"/>
                    <w:bottom w:val="none" w:sz="0" w:space="0" w:color="auto"/>
                    <w:right w:val="none" w:sz="0" w:space="0" w:color="auto"/>
                  </w:divBdr>
                  <w:divsChild>
                    <w:div w:id="154416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569469">
      <w:bodyDiv w:val="1"/>
      <w:marLeft w:val="0"/>
      <w:marRight w:val="0"/>
      <w:marTop w:val="0"/>
      <w:marBottom w:val="0"/>
      <w:divBdr>
        <w:top w:val="none" w:sz="0" w:space="0" w:color="auto"/>
        <w:left w:val="none" w:sz="0" w:space="0" w:color="auto"/>
        <w:bottom w:val="none" w:sz="0" w:space="0" w:color="auto"/>
        <w:right w:val="none" w:sz="0" w:space="0" w:color="auto"/>
      </w:divBdr>
    </w:div>
    <w:div w:id="332225714">
      <w:bodyDiv w:val="1"/>
      <w:marLeft w:val="0"/>
      <w:marRight w:val="0"/>
      <w:marTop w:val="0"/>
      <w:marBottom w:val="0"/>
      <w:divBdr>
        <w:top w:val="none" w:sz="0" w:space="0" w:color="auto"/>
        <w:left w:val="none" w:sz="0" w:space="0" w:color="auto"/>
        <w:bottom w:val="none" w:sz="0" w:space="0" w:color="auto"/>
        <w:right w:val="none" w:sz="0" w:space="0" w:color="auto"/>
      </w:divBdr>
      <w:divsChild>
        <w:div w:id="466821143">
          <w:marLeft w:val="475"/>
          <w:marRight w:val="0"/>
          <w:marTop w:val="0"/>
          <w:marBottom w:val="0"/>
          <w:divBdr>
            <w:top w:val="none" w:sz="0" w:space="0" w:color="auto"/>
            <w:left w:val="none" w:sz="0" w:space="0" w:color="auto"/>
            <w:bottom w:val="none" w:sz="0" w:space="0" w:color="auto"/>
            <w:right w:val="none" w:sz="0" w:space="0" w:color="auto"/>
          </w:divBdr>
        </w:div>
        <w:div w:id="578443532">
          <w:marLeft w:val="662"/>
          <w:marRight w:val="0"/>
          <w:marTop w:val="0"/>
          <w:marBottom w:val="0"/>
          <w:divBdr>
            <w:top w:val="none" w:sz="0" w:space="0" w:color="auto"/>
            <w:left w:val="none" w:sz="0" w:space="0" w:color="auto"/>
            <w:bottom w:val="none" w:sz="0" w:space="0" w:color="auto"/>
            <w:right w:val="none" w:sz="0" w:space="0" w:color="auto"/>
          </w:divBdr>
        </w:div>
        <w:div w:id="680664473">
          <w:marLeft w:val="734"/>
          <w:marRight w:val="0"/>
          <w:marTop w:val="0"/>
          <w:marBottom w:val="0"/>
          <w:divBdr>
            <w:top w:val="none" w:sz="0" w:space="0" w:color="auto"/>
            <w:left w:val="none" w:sz="0" w:space="0" w:color="auto"/>
            <w:bottom w:val="none" w:sz="0" w:space="0" w:color="auto"/>
            <w:right w:val="none" w:sz="0" w:space="0" w:color="auto"/>
          </w:divBdr>
        </w:div>
      </w:divsChild>
    </w:div>
    <w:div w:id="344746187">
      <w:bodyDiv w:val="1"/>
      <w:marLeft w:val="0"/>
      <w:marRight w:val="0"/>
      <w:marTop w:val="0"/>
      <w:marBottom w:val="0"/>
      <w:divBdr>
        <w:top w:val="none" w:sz="0" w:space="0" w:color="auto"/>
        <w:left w:val="none" w:sz="0" w:space="0" w:color="auto"/>
        <w:bottom w:val="none" w:sz="0" w:space="0" w:color="auto"/>
        <w:right w:val="none" w:sz="0" w:space="0" w:color="auto"/>
      </w:divBdr>
    </w:div>
    <w:div w:id="349919628">
      <w:bodyDiv w:val="1"/>
      <w:marLeft w:val="0"/>
      <w:marRight w:val="0"/>
      <w:marTop w:val="0"/>
      <w:marBottom w:val="0"/>
      <w:divBdr>
        <w:top w:val="none" w:sz="0" w:space="0" w:color="auto"/>
        <w:left w:val="none" w:sz="0" w:space="0" w:color="auto"/>
        <w:bottom w:val="none" w:sz="0" w:space="0" w:color="auto"/>
        <w:right w:val="none" w:sz="0" w:space="0" w:color="auto"/>
      </w:divBdr>
    </w:div>
    <w:div w:id="351876881">
      <w:bodyDiv w:val="1"/>
      <w:marLeft w:val="0"/>
      <w:marRight w:val="0"/>
      <w:marTop w:val="0"/>
      <w:marBottom w:val="0"/>
      <w:divBdr>
        <w:top w:val="none" w:sz="0" w:space="0" w:color="auto"/>
        <w:left w:val="none" w:sz="0" w:space="0" w:color="auto"/>
        <w:bottom w:val="none" w:sz="0" w:space="0" w:color="auto"/>
        <w:right w:val="none" w:sz="0" w:space="0" w:color="auto"/>
      </w:divBdr>
    </w:div>
    <w:div w:id="366759358">
      <w:marLeft w:val="0"/>
      <w:marRight w:val="0"/>
      <w:marTop w:val="0"/>
      <w:marBottom w:val="0"/>
      <w:divBdr>
        <w:top w:val="none" w:sz="0" w:space="0" w:color="auto"/>
        <w:left w:val="none" w:sz="0" w:space="0" w:color="auto"/>
        <w:bottom w:val="none" w:sz="0" w:space="0" w:color="auto"/>
        <w:right w:val="none" w:sz="0" w:space="0" w:color="auto"/>
      </w:divBdr>
      <w:divsChild>
        <w:div w:id="366759347">
          <w:marLeft w:val="274"/>
          <w:marRight w:val="0"/>
          <w:marTop w:val="0"/>
          <w:marBottom w:val="0"/>
          <w:divBdr>
            <w:top w:val="none" w:sz="0" w:space="0" w:color="auto"/>
            <w:left w:val="none" w:sz="0" w:space="0" w:color="auto"/>
            <w:bottom w:val="none" w:sz="0" w:space="0" w:color="auto"/>
            <w:right w:val="none" w:sz="0" w:space="0" w:color="auto"/>
          </w:divBdr>
        </w:div>
        <w:div w:id="366759348">
          <w:marLeft w:val="86"/>
          <w:marRight w:val="0"/>
          <w:marTop w:val="0"/>
          <w:marBottom w:val="0"/>
          <w:divBdr>
            <w:top w:val="none" w:sz="0" w:space="0" w:color="auto"/>
            <w:left w:val="none" w:sz="0" w:space="0" w:color="auto"/>
            <w:bottom w:val="none" w:sz="0" w:space="0" w:color="auto"/>
            <w:right w:val="none" w:sz="0" w:space="0" w:color="auto"/>
          </w:divBdr>
        </w:div>
        <w:div w:id="366759349">
          <w:marLeft w:val="86"/>
          <w:marRight w:val="0"/>
          <w:marTop w:val="0"/>
          <w:marBottom w:val="0"/>
          <w:divBdr>
            <w:top w:val="none" w:sz="0" w:space="0" w:color="auto"/>
            <w:left w:val="none" w:sz="0" w:space="0" w:color="auto"/>
            <w:bottom w:val="none" w:sz="0" w:space="0" w:color="auto"/>
            <w:right w:val="none" w:sz="0" w:space="0" w:color="auto"/>
          </w:divBdr>
        </w:div>
        <w:div w:id="366759350">
          <w:marLeft w:val="274"/>
          <w:marRight w:val="0"/>
          <w:marTop w:val="0"/>
          <w:marBottom w:val="0"/>
          <w:divBdr>
            <w:top w:val="none" w:sz="0" w:space="0" w:color="auto"/>
            <w:left w:val="none" w:sz="0" w:space="0" w:color="auto"/>
            <w:bottom w:val="none" w:sz="0" w:space="0" w:color="auto"/>
            <w:right w:val="none" w:sz="0" w:space="0" w:color="auto"/>
          </w:divBdr>
        </w:div>
        <w:div w:id="366759351">
          <w:marLeft w:val="86"/>
          <w:marRight w:val="0"/>
          <w:marTop w:val="0"/>
          <w:marBottom w:val="0"/>
          <w:divBdr>
            <w:top w:val="none" w:sz="0" w:space="0" w:color="auto"/>
            <w:left w:val="none" w:sz="0" w:space="0" w:color="auto"/>
            <w:bottom w:val="none" w:sz="0" w:space="0" w:color="auto"/>
            <w:right w:val="none" w:sz="0" w:space="0" w:color="auto"/>
          </w:divBdr>
        </w:div>
        <w:div w:id="366759352">
          <w:marLeft w:val="274"/>
          <w:marRight w:val="0"/>
          <w:marTop w:val="0"/>
          <w:marBottom w:val="0"/>
          <w:divBdr>
            <w:top w:val="none" w:sz="0" w:space="0" w:color="auto"/>
            <w:left w:val="none" w:sz="0" w:space="0" w:color="auto"/>
            <w:bottom w:val="none" w:sz="0" w:space="0" w:color="auto"/>
            <w:right w:val="none" w:sz="0" w:space="0" w:color="auto"/>
          </w:divBdr>
        </w:div>
        <w:div w:id="366759353">
          <w:marLeft w:val="86"/>
          <w:marRight w:val="0"/>
          <w:marTop w:val="0"/>
          <w:marBottom w:val="0"/>
          <w:divBdr>
            <w:top w:val="none" w:sz="0" w:space="0" w:color="auto"/>
            <w:left w:val="none" w:sz="0" w:space="0" w:color="auto"/>
            <w:bottom w:val="none" w:sz="0" w:space="0" w:color="auto"/>
            <w:right w:val="none" w:sz="0" w:space="0" w:color="auto"/>
          </w:divBdr>
        </w:div>
        <w:div w:id="366759354">
          <w:marLeft w:val="86"/>
          <w:marRight w:val="0"/>
          <w:marTop w:val="0"/>
          <w:marBottom w:val="0"/>
          <w:divBdr>
            <w:top w:val="none" w:sz="0" w:space="0" w:color="auto"/>
            <w:left w:val="none" w:sz="0" w:space="0" w:color="auto"/>
            <w:bottom w:val="none" w:sz="0" w:space="0" w:color="auto"/>
            <w:right w:val="none" w:sz="0" w:space="0" w:color="auto"/>
          </w:divBdr>
        </w:div>
        <w:div w:id="366759355">
          <w:marLeft w:val="274"/>
          <w:marRight w:val="0"/>
          <w:marTop w:val="0"/>
          <w:marBottom w:val="0"/>
          <w:divBdr>
            <w:top w:val="none" w:sz="0" w:space="0" w:color="auto"/>
            <w:left w:val="none" w:sz="0" w:space="0" w:color="auto"/>
            <w:bottom w:val="none" w:sz="0" w:space="0" w:color="auto"/>
            <w:right w:val="none" w:sz="0" w:space="0" w:color="auto"/>
          </w:divBdr>
        </w:div>
        <w:div w:id="366759356">
          <w:marLeft w:val="86"/>
          <w:marRight w:val="0"/>
          <w:marTop w:val="0"/>
          <w:marBottom w:val="0"/>
          <w:divBdr>
            <w:top w:val="none" w:sz="0" w:space="0" w:color="auto"/>
            <w:left w:val="none" w:sz="0" w:space="0" w:color="auto"/>
            <w:bottom w:val="none" w:sz="0" w:space="0" w:color="auto"/>
            <w:right w:val="none" w:sz="0" w:space="0" w:color="auto"/>
          </w:divBdr>
        </w:div>
        <w:div w:id="366759357">
          <w:marLeft w:val="274"/>
          <w:marRight w:val="0"/>
          <w:marTop w:val="0"/>
          <w:marBottom w:val="0"/>
          <w:divBdr>
            <w:top w:val="none" w:sz="0" w:space="0" w:color="auto"/>
            <w:left w:val="none" w:sz="0" w:space="0" w:color="auto"/>
            <w:bottom w:val="none" w:sz="0" w:space="0" w:color="auto"/>
            <w:right w:val="none" w:sz="0" w:space="0" w:color="auto"/>
          </w:divBdr>
        </w:div>
        <w:div w:id="366759359">
          <w:marLeft w:val="274"/>
          <w:marRight w:val="0"/>
          <w:marTop w:val="0"/>
          <w:marBottom w:val="0"/>
          <w:divBdr>
            <w:top w:val="none" w:sz="0" w:space="0" w:color="auto"/>
            <w:left w:val="none" w:sz="0" w:space="0" w:color="auto"/>
            <w:bottom w:val="none" w:sz="0" w:space="0" w:color="auto"/>
            <w:right w:val="none" w:sz="0" w:space="0" w:color="auto"/>
          </w:divBdr>
        </w:div>
      </w:divsChild>
    </w:div>
    <w:div w:id="382951554">
      <w:bodyDiv w:val="1"/>
      <w:marLeft w:val="0"/>
      <w:marRight w:val="0"/>
      <w:marTop w:val="0"/>
      <w:marBottom w:val="0"/>
      <w:divBdr>
        <w:top w:val="none" w:sz="0" w:space="0" w:color="auto"/>
        <w:left w:val="none" w:sz="0" w:space="0" w:color="auto"/>
        <w:bottom w:val="none" w:sz="0" w:space="0" w:color="auto"/>
        <w:right w:val="none" w:sz="0" w:space="0" w:color="auto"/>
      </w:divBdr>
    </w:div>
    <w:div w:id="384304876">
      <w:bodyDiv w:val="1"/>
      <w:marLeft w:val="0"/>
      <w:marRight w:val="0"/>
      <w:marTop w:val="0"/>
      <w:marBottom w:val="0"/>
      <w:divBdr>
        <w:top w:val="none" w:sz="0" w:space="0" w:color="auto"/>
        <w:left w:val="none" w:sz="0" w:space="0" w:color="auto"/>
        <w:bottom w:val="none" w:sz="0" w:space="0" w:color="auto"/>
        <w:right w:val="none" w:sz="0" w:space="0" w:color="auto"/>
      </w:divBdr>
    </w:div>
    <w:div w:id="398212258">
      <w:bodyDiv w:val="1"/>
      <w:marLeft w:val="0"/>
      <w:marRight w:val="0"/>
      <w:marTop w:val="0"/>
      <w:marBottom w:val="0"/>
      <w:divBdr>
        <w:top w:val="none" w:sz="0" w:space="0" w:color="auto"/>
        <w:left w:val="none" w:sz="0" w:space="0" w:color="auto"/>
        <w:bottom w:val="none" w:sz="0" w:space="0" w:color="auto"/>
        <w:right w:val="none" w:sz="0" w:space="0" w:color="auto"/>
      </w:divBdr>
      <w:divsChild>
        <w:div w:id="1331178312">
          <w:marLeft w:val="475"/>
          <w:marRight w:val="0"/>
          <w:marTop w:val="20"/>
          <w:marBottom w:val="0"/>
          <w:divBdr>
            <w:top w:val="none" w:sz="0" w:space="0" w:color="auto"/>
            <w:left w:val="none" w:sz="0" w:space="0" w:color="auto"/>
            <w:bottom w:val="none" w:sz="0" w:space="0" w:color="auto"/>
            <w:right w:val="none" w:sz="0" w:space="0" w:color="auto"/>
          </w:divBdr>
        </w:div>
        <w:div w:id="922883257">
          <w:marLeft w:val="475"/>
          <w:marRight w:val="0"/>
          <w:marTop w:val="0"/>
          <w:marBottom w:val="0"/>
          <w:divBdr>
            <w:top w:val="none" w:sz="0" w:space="0" w:color="auto"/>
            <w:left w:val="none" w:sz="0" w:space="0" w:color="auto"/>
            <w:bottom w:val="none" w:sz="0" w:space="0" w:color="auto"/>
            <w:right w:val="none" w:sz="0" w:space="0" w:color="auto"/>
          </w:divBdr>
        </w:div>
      </w:divsChild>
    </w:div>
    <w:div w:id="404761717">
      <w:bodyDiv w:val="1"/>
      <w:marLeft w:val="0"/>
      <w:marRight w:val="0"/>
      <w:marTop w:val="0"/>
      <w:marBottom w:val="0"/>
      <w:divBdr>
        <w:top w:val="none" w:sz="0" w:space="0" w:color="auto"/>
        <w:left w:val="none" w:sz="0" w:space="0" w:color="auto"/>
        <w:bottom w:val="none" w:sz="0" w:space="0" w:color="auto"/>
        <w:right w:val="none" w:sz="0" w:space="0" w:color="auto"/>
      </w:divBdr>
    </w:div>
    <w:div w:id="415909262">
      <w:bodyDiv w:val="1"/>
      <w:marLeft w:val="0"/>
      <w:marRight w:val="0"/>
      <w:marTop w:val="0"/>
      <w:marBottom w:val="0"/>
      <w:divBdr>
        <w:top w:val="none" w:sz="0" w:space="0" w:color="auto"/>
        <w:left w:val="none" w:sz="0" w:space="0" w:color="auto"/>
        <w:bottom w:val="none" w:sz="0" w:space="0" w:color="auto"/>
        <w:right w:val="none" w:sz="0" w:space="0" w:color="auto"/>
      </w:divBdr>
    </w:div>
    <w:div w:id="430466921">
      <w:bodyDiv w:val="1"/>
      <w:marLeft w:val="0"/>
      <w:marRight w:val="0"/>
      <w:marTop w:val="0"/>
      <w:marBottom w:val="0"/>
      <w:divBdr>
        <w:top w:val="none" w:sz="0" w:space="0" w:color="auto"/>
        <w:left w:val="none" w:sz="0" w:space="0" w:color="auto"/>
        <w:bottom w:val="none" w:sz="0" w:space="0" w:color="auto"/>
        <w:right w:val="none" w:sz="0" w:space="0" w:color="auto"/>
      </w:divBdr>
    </w:div>
    <w:div w:id="435755157">
      <w:bodyDiv w:val="1"/>
      <w:marLeft w:val="0"/>
      <w:marRight w:val="0"/>
      <w:marTop w:val="0"/>
      <w:marBottom w:val="0"/>
      <w:divBdr>
        <w:top w:val="none" w:sz="0" w:space="0" w:color="auto"/>
        <w:left w:val="none" w:sz="0" w:space="0" w:color="auto"/>
        <w:bottom w:val="none" w:sz="0" w:space="0" w:color="auto"/>
        <w:right w:val="none" w:sz="0" w:space="0" w:color="auto"/>
      </w:divBdr>
    </w:div>
    <w:div w:id="445974723">
      <w:bodyDiv w:val="1"/>
      <w:marLeft w:val="0"/>
      <w:marRight w:val="0"/>
      <w:marTop w:val="0"/>
      <w:marBottom w:val="0"/>
      <w:divBdr>
        <w:top w:val="none" w:sz="0" w:space="0" w:color="auto"/>
        <w:left w:val="none" w:sz="0" w:space="0" w:color="auto"/>
        <w:bottom w:val="none" w:sz="0" w:space="0" w:color="auto"/>
        <w:right w:val="none" w:sz="0" w:space="0" w:color="auto"/>
      </w:divBdr>
    </w:div>
    <w:div w:id="470826370">
      <w:bodyDiv w:val="1"/>
      <w:marLeft w:val="0"/>
      <w:marRight w:val="0"/>
      <w:marTop w:val="0"/>
      <w:marBottom w:val="0"/>
      <w:divBdr>
        <w:top w:val="none" w:sz="0" w:space="0" w:color="auto"/>
        <w:left w:val="none" w:sz="0" w:space="0" w:color="auto"/>
        <w:bottom w:val="none" w:sz="0" w:space="0" w:color="auto"/>
        <w:right w:val="none" w:sz="0" w:space="0" w:color="auto"/>
      </w:divBdr>
    </w:div>
    <w:div w:id="474416807">
      <w:bodyDiv w:val="1"/>
      <w:marLeft w:val="0"/>
      <w:marRight w:val="0"/>
      <w:marTop w:val="0"/>
      <w:marBottom w:val="0"/>
      <w:divBdr>
        <w:top w:val="none" w:sz="0" w:space="0" w:color="auto"/>
        <w:left w:val="none" w:sz="0" w:space="0" w:color="auto"/>
        <w:bottom w:val="none" w:sz="0" w:space="0" w:color="auto"/>
        <w:right w:val="none" w:sz="0" w:space="0" w:color="auto"/>
      </w:divBdr>
    </w:div>
    <w:div w:id="476999637">
      <w:bodyDiv w:val="1"/>
      <w:marLeft w:val="0"/>
      <w:marRight w:val="0"/>
      <w:marTop w:val="0"/>
      <w:marBottom w:val="0"/>
      <w:divBdr>
        <w:top w:val="none" w:sz="0" w:space="0" w:color="auto"/>
        <w:left w:val="none" w:sz="0" w:space="0" w:color="auto"/>
        <w:bottom w:val="none" w:sz="0" w:space="0" w:color="auto"/>
        <w:right w:val="none" w:sz="0" w:space="0" w:color="auto"/>
      </w:divBdr>
    </w:div>
    <w:div w:id="482427340">
      <w:bodyDiv w:val="1"/>
      <w:marLeft w:val="0"/>
      <w:marRight w:val="0"/>
      <w:marTop w:val="0"/>
      <w:marBottom w:val="0"/>
      <w:divBdr>
        <w:top w:val="none" w:sz="0" w:space="0" w:color="auto"/>
        <w:left w:val="none" w:sz="0" w:space="0" w:color="auto"/>
        <w:bottom w:val="none" w:sz="0" w:space="0" w:color="auto"/>
        <w:right w:val="none" w:sz="0" w:space="0" w:color="auto"/>
      </w:divBdr>
    </w:div>
    <w:div w:id="488131219">
      <w:bodyDiv w:val="1"/>
      <w:marLeft w:val="0"/>
      <w:marRight w:val="0"/>
      <w:marTop w:val="0"/>
      <w:marBottom w:val="0"/>
      <w:divBdr>
        <w:top w:val="none" w:sz="0" w:space="0" w:color="auto"/>
        <w:left w:val="none" w:sz="0" w:space="0" w:color="auto"/>
        <w:bottom w:val="none" w:sz="0" w:space="0" w:color="auto"/>
        <w:right w:val="none" w:sz="0" w:space="0" w:color="auto"/>
      </w:divBdr>
    </w:div>
    <w:div w:id="492183803">
      <w:bodyDiv w:val="1"/>
      <w:marLeft w:val="0"/>
      <w:marRight w:val="0"/>
      <w:marTop w:val="0"/>
      <w:marBottom w:val="0"/>
      <w:divBdr>
        <w:top w:val="none" w:sz="0" w:space="0" w:color="auto"/>
        <w:left w:val="none" w:sz="0" w:space="0" w:color="auto"/>
        <w:bottom w:val="none" w:sz="0" w:space="0" w:color="auto"/>
        <w:right w:val="none" w:sz="0" w:space="0" w:color="auto"/>
      </w:divBdr>
    </w:div>
    <w:div w:id="509609798">
      <w:bodyDiv w:val="1"/>
      <w:marLeft w:val="0"/>
      <w:marRight w:val="0"/>
      <w:marTop w:val="0"/>
      <w:marBottom w:val="0"/>
      <w:divBdr>
        <w:top w:val="none" w:sz="0" w:space="0" w:color="auto"/>
        <w:left w:val="none" w:sz="0" w:space="0" w:color="auto"/>
        <w:bottom w:val="none" w:sz="0" w:space="0" w:color="auto"/>
        <w:right w:val="none" w:sz="0" w:space="0" w:color="auto"/>
      </w:divBdr>
    </w:div>
    <w:div w:id="510680693">
      <w:bodyDiv w:val="1"/>
      <w:marLeft w:val="0"/>
      <w:marRight w:val="0"/>
      <w:marTop w:val="0"/>
      <w:marBottom w:val="0"/>
      <w:divBdr>
        <w:top w:val="none" w:sz="0" w:space="0" w:color="auto"/>
        <w:left w:val="none" w:sz="0" w:space="0" w:color="auto"/>
        <w:bottom w:val="none" w:sz="0" w:space="0" w:color="auto"/>
        <w:right w:val="none" w:sz="0" w:space="0" w:color="auto"/>
      </w:divBdr>
    </w:div>
    <w:div w:id="525562750">
      <w:bodyDiv w:val="1"/>
      <w:marLeft w:val="0"/>
      <w:marRight w:val="0"/>
      <w:marTop w:val="0"/>
      <w:marBottom w:val="0"/>
      <w:divBdr>
        <w:top w:val="none" w:sz="0" w:space="0" w:color="auto"/>
        <w:left w:val="none" w:sz="0" w:space="0" w:color="auto"/>
        <w:bottom w:val="none" w:sz="0" w:space="0" w:color="auto"/>
        <w:right w:val="none" w:sz="0" w:space="0" w:color="auto"/>
      </w:divBdr>
    </w:div>
    <w:div w:id="528833346">
      <w:bodyDiv w:val="1"/>
      <w:marLeft w:val="0"/>
      <w:marRight w:val="0"/>
      <w:marTop w:val="0"/>
      <w:marBottom w:val="0"/>
      <w:divBdr>
        <w:top w:val="none" w:sz="0" w:space="0" w:color="auto"/>
        <w:left w:val="none" w:sz="0" w:space="0" w:color="auto"/>
        <w:bottom w:val="none" w:sz="0" w:space="0" w:color="auto"/>
        <w:right w:val="none" w:sz="0" w:space="0" w:color="auto"/>
      </w:divBdr>
    </w:div>
    <w:div w:id="534346856">
      <w:bodyDiv w:val="1"/>
      <w:marLeft w:val="0"/>
      <w:marRight w:val="0"/>
      <w:marTop w:val="0"/>
      <w:marBottom w:val="0"/>
      <w:divBdr>
        <w:top w:val="none" w:sz="0" w:space="0" w:color="auto"/>
        <w:left w:val="none" w:sz="0" w:space="0" w:color="auto"/>
        <w:bottom w:val="none" w:sz="0" w:space="0" w:color="auto"/>
        <w:right w:val="none" w:sz="0" w:space="0" w:color="auto"/>
      </w:divBdr>
    </w:div>
    <w:div w:id="542183009">
      <w:bodyDiv w:val="1"/>
      <w:marLeft w:val="0"/>
      <w:marRight w:val="0"/>
      <w:marTop w:val="0"/>
      <w:marBottom w:val="0"/>
      <w:divBdr>
        <w:top w:val="none" w:sz="0" w:space="0" w:color="auto"/>
        <w:left w:val="none" w:sz="0" w:space="0" w:color="auto"/>
        <w:bottom w:val="none" w:sz="0" w:space="0" w:color="auto"/>
        <w:right w:val="none" w:sz="0" w:space="0" w:color="auto"/>
      </w:divBdr>
    </w:div>
    <w:div w:id="546452399">
      <w:bodyDiv w:val="1"/>
      <w:marLeft w:val="0"/>
      <w:marRight w:val="0"/>
      <w:marTop w:val="0"/>
      <w:marBottom w:val="0"/>
      <w:divBdr>
        <w:top w:val="none" w:sz="0" w:space="0" w:color="auto"/>
        <w:left w:val="none" w:sz="0" w:space="0" w:color="auto"/>
        <w:bottom w:val="none" w:sz="0" w:space="0" w:color="auto"/>
        <w:right w:val="none" w:sz="0" w:space="0" w:color="auto"/>
      </w:divBdr>
    </w:div>
    <w:div w:id="559244972">
      <w:bodyDiv w:val="1"/>
      <w:marLeft w:val="0"/>
      <w:marRight w:val="0"/>
      <w:marTop w:val="0"/>
      <w:marBottom w:val="0"/>
      <w:divBdr>
        <w:top w:val="none" w:sz="0" w:space="0" w:color="auto"/>
        <w:left w:val="none" w:sz="0" w:space="0" w:color="auto"/>
        <w:bottom w:val="none" w:sz="0" w:space="0" w:color="auto"/>
        <w:right w:val="none" w:sz="0" w:space="0" w:color="auto"/>
      </w:divBdr>
    </w:div>
    <w:div w:id="559631881">
      <w:bodyDiv w:val="1"/>
      <w:marLeft w:val="0"/>
      <w:marRight w:val="0"/>
      <w:marTop w:val="0"/>
      <w:marBottom w:val="0"/>
      <w:divBdr>
        <w:top w:val="none" w:sz="0" w:space="0" w:color="auto"/>
        <w:left w:val="none" w:sz="0" w:space="0" w:color="auto"/>
        <w:bottom w:val="none" w:sz="0" w:space="0" w:color="auto"/>
        <w:right w:val="none" w:sz="0" w:space="0" w:color="auto"/>
      </w:divBdr>
    </w:div>
    <w:div w:id="590741933">
      <w:bodyDiv w:val="1"/>
      <w:marLeft w:val="0"/>
      <w:marRight w:val="0"/>
      <w:marTop w:val="0"/>
      <w:marBottom w:val="0"/>
      <w:divBdr>
        <w:top w:val="none" w:sz="0" w:space="0" w:color="auto"/>
        <w:left w:val="none" w:sz="0" w:space="0" w:color="auto"/>
        <w:bottom w:val="none" w:sz="0" w:space="0" w:color="auto"/>
        <w:right w:val="none" w:sz="0" w:space="0" w:color="auto"/>
      </w:divBdr>
    </w:div>
    <w:div w:id="594751998">
      <w:bodyDiv w:val="1"/>
      <w:marLeft w:val="0"/>
      <w:marRight w:val="0"/>
      <w:marTop w:val="0"/>
      <w:marBottom w:val="0"/>
      <w:divBdr>
        <w:top w:val="none" w:sz="0" w:space="0" w:color="auto"/>
        <w:left w:val="none" w:sz="0" w:space="0" w:color="auto"/>
        <w:bottom w:val="none" w:sz="0" w:space="0" w:color="auto"/>
        <w:right w:val="none" w:sz="0" w:space="0" w:color="auto"/>
      </w:divBdr>
    </w:div>
    <w:div w:id="598178732">
      <w:bodyDiv w:val="1"/>
      <w:marLeft w:val="0"/>
      <w:marRight w:val="0"/>
      <w:marTop w:val="0"/>
      <w:marBottom w:val="0"/>
      <w:divBdr>
        <w:top w:val="none" w:sz="0" w:space="0" w:color="auto"/>
        <w:left w:val="none" w:sz="0" w:space="0" w:color="auto"/>
        <w:bottom w:val="none" w:sz="0" w:space="0" w:color="auto"/>
        <w:right w:val="none" w:sz="0" w:space="0" w:color="auto"/>
      </w:divBdr>
    </w:div>
    <w:div w:id="606082037">
      <w:bodyDiv w:val="1"/>
      <w:marLeft w:val="0"/>
      <w:marRight w:val="0"/>
      <w:marTop w:val="0"/>
      <w:marBottom w:val="0"/>
      <w:divBdr>
        <w:top w:val="none" w:sz="0" w:space="0" w:color="auto"/>
        <w:left w:val="none" w:sz="0" w:space="0" w:color="auto"/>
        <w:bottom w:val="none" w:sz="0" w:space="0" w:color="auto"/>
        <w:right w:val="none" w:sz="0" w:space="0" w:color="auto"/>
      </w:divBdr>
    </w:div>
    <w:div w:id="612831131">
      <w:bodyDiv w:val="1"/>
      <w:marLeft w:val="0"/>
      <w:marRight w:val="0"/>
      <w:marTop w:val="0"/>
      <w:marBottom w:val="0"/>
      <w:divBdr>
        <w:top w:val="none" w:sz="0" w:space="0" w:color="auto"/>
        <w:left w:val="none" w:sz="0" w:space="0" w:color="auto"/>
        <w:bottom w:val="none" w:sz="0" w:space="0" w:color="auto"/>
        <w:right w:val="none" w:sz="0" w:space="0" w:color="auto"/>
      </w:divBdr>
    </w:div>
    <w:div w:id="613824243">
      <w:bodyDiv w:val="1"/>
      <w:marLeft w:val="0"/>
      <w:marRight w:val="0"/>
      <w:marTop w:val="0"/>
      <w:marBottom w:val="0"/>
      <w:divBdr>
        <w:top w:val="none" w:sz="0" w:space="0" w:color="auto"/>
        <w:left w:val="none" w:sz="0" w:space="0" w:color="auto"/>
        <w:bottom w:val="none" w:sz="0" w:space="0" w:color="auto"/>
        <w:right w:val="none" w:sz="0" w:space="0" w:color="auto"/>
      </w:divBdr>
    </w:div>
    <w:div w:id="620186317">
      <w:bodyDiv w:val="1"/>
      <w:marLeft w:val="0"/>
      <w:marRight w:val="0"/>
      <w:marTop w:val="0"/>
      <w:marBottom w:val="0"/>
      <w:divBdr>
        <w:top w:val="none" w:sz="0" w:space="0" w:color="auto"/>
        <w:left w:val="none" w:sz="0" w:space="0" w:color="auto"/>
        <w:bottom w:val="none" w:sz="0" w:space="0" w:color="auto"/>
        <w:right w:val="none" w:sz="0" w:space="0" w:color="auto"/>
      </w:divBdr>
    </w:div>
    <w:div w:id="627856826">
      <w:bodyDiv w:val="1"/>
      <w:marLeft w:val="0"/>
      <w:marRight w:val="0"/>
      <w:marTop w:val="0"/>
      <w:marBottom w:val="0"/>
      <w:divBdr>
        <w:top w:val="none" w:sz="0" w:space="0" w:color="auto"/>
        <w:left w:val="none" w:sz="0" w:space="0" w:color="auto"/>
        <w:bottom w:val="none" w:sz="0" w:space="0" w:color="auto"/>
        <w:right w:val="none" w:sz="0" w:space="0" w:color="auto"/>
      </w:divBdr>
    </w:div>
    <w:div w:id="648830112">
      <w:bodyDiv w:val="1"/>
      <w:marLeft w:val="0"/>
      <w:marRight w:val="0"/>
      <w:marTop w:val="0"/>
      <w:marBottom w:val="0"/>
      <w:divBdr>
        <w:top w:val="none" w:sz="0" w:space="0" w:color="auto"/>
        <w:left w:val="none" w:sz="0" w:space="0" w:color="auto"/>
        <w:bottom w:val="none" w:sz="0" w:space="0" w:color="auto"/>
        <w:right w:val="none" w:sz="0" w:space="0" w:color="auto"/>
      </w:divBdr>
    </w:div>
    <w:div w:id="650328464">
      <w:bodyDiv w:val="1"/>
      <w:marLeft w:val="0"/>
      <w:marRight w:val="0"/>
      <w:marTop w:val="0"/>
      <w:marBottom w:val="0"/>
      <w:divBdr>
        <w:top w:val="none" w:sz="0" w:space="0" w:color="auto"/>
        <w:left w:val="none" w:sz="0" w:space="0" w:color="auto"/>
        <w:bottom w:val="none" w:sz="0" w:space="0" w:color="auto"/>
        <w:right w:val="none" w:sz="0" w:space="0" w:color="auto"/>
      </w:divBdr>
    </w:div>
    <w:div w:id="655258600">
      <w:bodyDiv w:val="1"/>
      <w:marLeft w:val="0"/>
      <w:marRight w:val="0"/>
      <w:marTop w:val="0"/>
      <w:marBottom w:val="0"/>
      <w:divBdr>
        <w:top w:val="none" w:sz="0" w:space="0" w:color="auto"/>
        <w:left w:val="none" w:sz="0" w:space="0" w:color="auto"/>
        <w:bottom w:val="none" w:sz="0" w:space="0" w:color="auto"/>
        <w:right w:val="none" w:sz="0" w:space="0" w:color="auto"/>
      </w:divBdr>
    </w:div>
    <w:div w:id="659308961">
      <w:bodyDiv w:val="1"/>
      <w:marLeft w:val="0"/>
      <w:marRight w:val="0"/>
      <w:marTop w:val="0"/>
      <w:marBottom w:val="0"/>
      <w:divBdr>
        <w:top w:val="none" w:sz="0" w:space="0" w:color="auto"/>
        <w:left w:val="none" w:sz="0" w:space="0" w:color="auto"/>
        <w:bottom w:val="none" w:sz="0" w:space="0" w:color="auto"/>
        <w:right w:val="none" w:sz="0" w:space="0" w:color="auto"/>
      </w:divBdr>
    </w:div>
    <w:div w:id="668220216">
      <w:bodyDiv w:val="1"/>
      <w:marLeft w:val="0"/>
      <w:marRight w:val="0"/>
      <w:marTop w:val="0"/>
      <w:marBottom w:val="0"/>
      <w:divBdr>
        <w:top w:val="none" w:sz="0" w:space="0" w:color="auto"/>
        <w:left w:val="none" w:sz="0" w:space="0" w:color="auto"/>
        <w:bottom w:val="none" w:sz="0" w:space="0" w:color="auto"/>
        <w:right w:val="none" w:sz="0" w:space="0" w:color="auto"/>
      </w:divBdr>
      <w:divsChild>
        <w:div w:id="209191850">
          <w:marLeft w:val="0"/>
          <w:marRight w:val="0"/>
          <w:marTop w:val="0"/>
          <w:marBottom w:val="0"/>
          <w:divBdr>
            <w:top w:val="none" w:sz="0" w:space="0" w:color="auto"/>
            <w:left w:val="none" w:sz="0" w:space="0" w:color="auto"/>
            <w:bottom w:val="none" w:sz="0" w:space="0" w:color="auto"/>
            <w:right w:val="none" w:sz="0" w:space="0" w:color="auto"/>
          </w:divBdr>
        </w:div>
      </w:divsChild>
    </w:div>
    <w:div w:id="676808916">
      <w:bodyDiv w:val="1"/>
      <w:marLeft w:val="0"/>
      <w:marRight w:val="0"/>
      <w:marTop w:val="0"/>
      <w:marBottom w:val="0"/>
      <w:divBdr>
        <w:top w:val="none" w:sz="0" w:space="0" w:color="auto"/>
        <w:left w:val="none" w:sz="0" w:space="0" w:color="auto"/>
        <w:bottom w:val="none" w:sz="0" w:space="0" w:color="auto"/>
        <w:right w:val="none" w:sz="0" w:space="0" w:color="auto"/>
      </w:divBdr>
    </w:div>
    <w:div w:id="679740570">
      <w:bodyDiv w:val="1"/>
      <w:marLeft w:val="0"/>
      <w:marRight w:val="0"/>
      <w:marTop w:val="0"/>
      <w:marBottom w:val="0"/>
      <w:divBdr>
        <w:top w:val="none" w:sz="0" w:space="0" w:color="auto"/>
        <w:left w:val="none" w:sz="0" w:space="0" w:color="auto"/>
        <w:bottom w:val="none" w:sz="0" w:space="0" w:color="auto"/>
        <w:right w:val="none" w:sz="0" w:space="0" w:color="auto"/>
      </w:divBdr>
    </w:div>
    <w:div w:id="699016090">
      <w:bodyDiv w:val="1"/>
      <w:marLeft w:val="0"/>
      <w:marRight w:val="0"/>
      <w:marTop w:val="0"/>
      <w:marBottom w:val="0"/>
      <w:divBdr>
        <w:top w:val="none" w:sz="0" w:space="0" w:color="auto"/>
        <w:left w:val="none" w:sz="0" w:space="0" w:color="auto"/>
        <w:bottom w:val="none" w:sz="0" w:space="0" w:color="auto"/>
        <w:right w:val="none" w:sz="0" w:space="0" w:color="auto"/>
      </w:divBdr>
    </w:div>
    <w:div w:id="707800087">
      <w:bodyDiv w:val="1"/>
      <w:marLeft w:val="0"/>
      <w:marRight w:val="0"/>
      <w:marTop w:val="0"/>
      <w:marBottom w:val="0"/>
      <w:divBdr>
        <w:top w:val="none" w:sz="0" w:space="0" w:color="auto"/>
        <w:left w:val="none" w:sz="0" w:space="0" w:color="auto"/>
        <w:bottom w:val="none" w:sz="0" w:space="0" w:color="auto"/>
        <w:right w:val="none" w:sz="0" w:space="0" w:color="auto"/>
      </w:divBdr>
    </w:div>
    <w:div w:id="716709924">
      <w:bodyDiv w:val="1"/>
      <w:marLeft w:val="0"/>
      <w:marRight w:val="0"/>
      <w:marTop w:val="0"/>
      <w:marBottom w:val="0"/>
      <w:divBdr>
        <w:top w:val="none" w:sz="0" w:space="0" w:color="auto"/>
        <w:left w:val="none" w:sz="0" w:space="0" w:color="auto"/>
        <w:bottom w:val="none" w:sz="0" w:space="0" w:color="auto"/>
        <w:right w:val="none" w:sz="0" w:space="0" w:color="auto"/>
      </w:divBdr>
    </w:div>
    <w:div w:id="720255255">
      <w:bodyDiv w:val="1"/>
      <w:marLeft w:val="0"/>
      <w:marRight w:val="0"/>
      <w:marTop w:val="0"/>
      <w:marBottom w:val="0"/>
      <w:divBdr>
        <w:top w:val="none" w:sz="0" w:space="0" w:color="auto"/>
        <w:left w:val="none" w:sz="0" w:space="0" w:color="auto"/>
        <w:bottom w:val="none" w:sz="0" w:space="0" w:color="auto"/>
        <w:right w:val="none" w:sz="0" w:space="0" w:color="auto"/>
      </w:divBdr>
    </w:div>
    <w:div w:id="724334759">
      <w:bodyDiv w:val="1"/>
      <w:marLeft w:val="0"/>
      <w:marRight w:val="0"/>
      <w:marTop w:val="0"/>
      <w:marBottom w:val="0"/>
      <w:divBdr>
        <w:top w:val="none" w:sz="0" w:space="0" w:color="auto"/>
        <w:left w:val="none" w:sz="0" w:space="0" w:color="auto"/>
        <w:bottom w:val="none" w:sz="0" w:space="0" w:color="auto"/>
        <w:right w:val="none" w:sz="0" w:space="0" w:color="auto"/>
      </w:divBdr>
    </w:div>
    <w:div w:id="737094702">
      <w:bodyDiv w:val="1"/>
      <w:marLeft w:val="0"/>
      <w:marRight w:val="0"/>
      <w:marTop w:val="0"/>
      <w:marBottom w:val="0"/>
      <w:divBdr>
        <w:top w:val="none" w:sz="0" w:space="0" w:color="auto"/>
        <w:left w:val="none" w:sz="0" w:space="0" w:color="auto"/>
        <w:bottom w:val="none" w:sz="0" w:space="0" w:color="auto"/>
        <w:right w:val="none" w:sz="0" w:space="0" w:color="auto"/>
      </w:divBdr>
    </w:div>
    <w:div w:id="758521197">
      <w:bodyDiv w:val="1"/>
      <w:marLeft w:val="0"/>
      <w:marRight w:val="0"/>
      <w:marTop w:val="0"/>
      <w:marBottom w:val="0"/>
      <w:divBdr>
        <w:top w:val="none" w:sz="0" w:space="0" w:color="auto"/>
        <w:left w:val="none" w:sz="0" w:space="0" w:color="auto"/>
        <w:bottom w:val="none" w:sz="0" w:space="0" w:color="auto"/>
        <w:right w:val="none" w:sz="0" w:space="0" w:color="auto"/>
      </w:divBdr>
    </w:div>
    <w:div w:id="764573124">
      <w:bodyDiv w:val="1"/>
      <w:marLeft w:val="0"/>
      <w:marRight w:val="0"/>
      <w:marTop w:val="0"/>
      <w:marBottom w:val="0"/>
      <w:divBdr>
        <w:top w:val="none" w:sz="0" w:space="0" w:color="auto"/>
        <w:left w:val="none" w:sz="0" w:space="0" w:color="auto"/>
        <w:bottom w:val="none" w:sz="0" w:space="0" w:color="auto"/>
        <w:right w:val="none" w:sz="0" w:space="0" w:color="auto"/>
      </w:divBdr>
    </w:div>
    <w:div w:id="773553546">
      <w:bodyDiv w:val="1"/>
      <w:marLeft w:val="0"/>
      <w:marRight w:val="0"/>
      <w:marTop w:val="0"/>
      <w:marBottom w:val="0"/>
      <w:divBdr>
        <w:top w:val="none" w:sz="0" w:space="0" w:color="auto"/>
        <w:left w:val="none" w:sz="0" w:space="0" w:color="auto"/>
        <w:bottom w:val="none" w:sz="0" w:space="0" w:color="auto"/>
        <w:right w:val="none" w:sz="0" w:space="0" w:color="auto"/>
      </w:divBdr>
      <w:divsChild>
        <w:div w:id="7103072">
          <w:marLeft w:val="619"/>
          <w:marRight w:val="0"/>
          <w:marTop w:val="120"/>
          <w:marBottom w:val="0"/>
          <w:divBdr>
            <w:top w:val="none" w:sz="0" w:space="0" w:color="auto"/>
            <w:left w:val="none" w:sz="0" w:space="0" w:color="auto"/>
            <w:bottom w:val="none" w:sz="0" w:space="0" w:color="auto"/>
            <w:right w:val="none" w:sz="0" w:space="0" w:color="auto"/>
          </w:divBdr>
        </w:div>
        <w:div w:id="12729765">
          <w:marLeft w:val="288"/>
          <w:marRight w:val="0"/>
          <w:marTop w:val="120"/>
          <w:marBottom w:val="0"/>
          <w:divBdr>
            <w:top w:val="none" w:sz="0" w:space="0" w:color="auto"/>
            <w:left w:val="none" w:sz="0" w:space="0" w:color="auto"/>
            <w:bottom w:val="none" w:sz="0" w:space="0" w:color="auto"/>
            <w:right w:val="none" w:sz="0" w:space="0" w:color="auto"/>
          </w:divBdr>
        </w:div>
        <w:div w:id="68230517">
          <w:marLeft w:val="288"/>
          <w:marRight w:val="0"/>
          <w:marTop w:val="120"/>
          <w:marBottom w:val="0"/>
          <w:divBdr>
            <w:top w:val="none" w:sz="0" w:space="0" w:color="auto"/>
            <w:left w:val="none" w:sz="0" w:space="0" w:color="auto"/>
            <w:bottom w:val="none" w:sz="0" w:space="0" w:color="auto"/>
            <w:right w:val="none" w:sz="0" w:space="0" w:color="auto"/>
          </w:divBdr>
        </w:div>
        <w:div w:id="305286328">
          <w:marLeft w:val="619"/>
          <w:marRight w:val="0"/>
          <w:marTop w:val="120"/>
          <w:marBottom w:val="0"/>
          <w:divBdr>
            <w:top w:val="none" w:sz="0" w:space="0" w:color="auto"/>
            <w:left w:val="none" w:sz="0" w:space="0" w:color="auto"/>
            <w:bottom w:val="none" w:sz="0" w:space="0" w:color="auto"/>
            <w:right w:val="none" w:sz="0" w:space="0" w:color="auto"/>
          </w:divBdr>
        </w:div>
        <w:div w:id="583882857">
          <w:marLeft w:val="619"/>
          <w:marRight w:val="0"/>
          <w:marTop w:val="120"/>
          <w:marBottom w:val="0"/>
          <w:divBdr>
            <w:top w:val="none" w:sz="0" w:space="0" w:color="auto"/>
            <w:left w:val="none" w:sz="0" w:space="0" w:color="auto"/>
            <w:bottom w:val="none" w:sz="0" w:space="0" w:color="auto"/>
            <w:right w:val="none" w:sz="0" w:space="0" w:color="auto"/>
          </w:divBdr>
        </w:div>
        <w:div w:id="838277840">
          <w:marLeft w:val="288"/>
          <w:marRight w:val="0"/>
          <w:marTop w:val="120"/>
          <w:marBottom w:val="0"/>
          <w:divBdr>
            <w:top w:val="none" w:sz="0" w:space="0" w:color="auto"/>
            <w:left w:val="none" w:sz="0" w:space="0" w:color="auto"/>
            <w:bottom w:val="none" w:sz="0" w:space="0" w:color="auto"/>
            <w:right w:val="none" w:sz="0" w:space="0" w:color="auto"/>
          </w:divBdr>
        </w:div>
        <w:div w:id="1514683420">
          <w:marLeft w:val="288"/>
          <w:marRight w:val="0"/>
          <w:marTop w:val="120"/>
          <w:marBottom w:val="0"/>
          <w:divBdr>
            <w:top w:val="none" w:sz="0" w:space="0" w:color="auto"/>
            <w:left w:val="none" w:sz="0" w:space="0" w:color="auto"/>
            <w:bottom w:val="none" w:sz="0" w:space="0" w:color="auto"/>
            <w:right w:val="none" w:sz="0" w:space="0" w:color="auto"/>
          </w:divBdr>
        </w:div>
        <w:div w:id="2128311380">
          <w:marLeft w:val="288"/>
          <w:marRight w:val="0"/>
          <w:marTop w:val="120"/>
          <w:marBottom w:val="0"/>
          <w:divBdr>
            <w:top w:val="none" w:sz="0" w:space="0" w:color="auto"/>
            <w:left w:val="none" w:sz="0" w:space="0" w:color="auto"/>
            <w:bottom w:val="none" w:sz="0" w:space="0" w:color="auto"/>
            <w:right w:val="none" w:sz="0" w:space="0" w:color="auto"/>
          </w:divBdr>
        </w:div>
      </w:divsChild>
    </w:div>
    <w:div w:id="787432050">
      <w:bodyDiv w:val="1"/>
      <w:marLeft w:val="0"/>
      <w:marRight w:val="0"/>
      <w:marTop w:val="0"/>
      <w:marBottom w:val="0"/>
      <w:divBdr>
        <w:top w:val="none" w:sz="0" w:space="0" w:color="auto"/>
        <w:left w:val="none" w:sz="0" w:space="0" w:color="auto"/>
        <w:bottom w:val="none" w:sz="0" w:space="0" w:color="auto"/>
        <w:right w:val="none" w:sz="0" w:space="0" w:color="auto"/>
      </w:divBdr>
    </w:div>
    <w:div w:id="796290659">
      <w:bodyDiv w:val="1"/>
      <w:marLeft w:val="0"/>
      <w:marRight w:val="0"/>
      <w:marTop w:val="0"/>
      <w:marBottom w:val="0"/>
      <w:divBdr>
        <w:top w:val="none" w:sz="0" w:space="0" w:color="auto"/>
        <w:left w:val="none" w:sz="0" w:space="0" w:color="auto"/>
        <w:bottom w:val="none" w:sz="0" w:space="0" w:color="auto"/>
        <w:right w:val="none" w:sz="0" w:space="0" w:color="auto"/>
      </w:divBdr>
    </w:div>
    <w:div w:id="796411743">
      <w:bodyDiv w:val="1"/>
      <w:marLeft w:val="0"/>
      <w:marRight w:val="0"/>
      <w:marTop w:val="0"/>
      <w:marBottom w:val="0"/>
      <w:divBdr>
        <w:top w:val="none" w:sz="0" w:space="0" w:color="auto"/>
        <w:left w:val="none" w:sz="0" w:space="0" w:color="auto"/>
        <w:bottom w:val="none" w:sz="0" w:space="0" w:color="auto"/>
        <w:right w:val="none" w:sz="0" w:space="0" w:color="auto"/>
      </w:divBdr>
    </w:div>
    <w:div w:id="807868231">
      <w:bodyDiv w:val="1"/>
      <w:marLeft w:val="0"/>
      <w:marRight w:val="0"/>
      <w:marTop w:val="0"/>
      <w:marBottom w:val="0"/>
      <w:divBdr>
        <w:top w:val="none" w:sz="0" w:space="0" w:color="auto"/>
        <w:left w:val="none" w:sz="0" w:space="0" w:color="auto"/>
        <w:bottom w:val="none" w:sz="0" w:space="0" w:color="auto"/>
        <w:right w:val="none" w:sz="0" w:space="0" w:color="auto"/>
      </w:divBdr>
    </w:div>
    <w:div w:id="809789262">
      <w:bodyDiv w:val="1"/>
      <w:marLeft w:val="0"/>
      <w:marRight w:val="0"/>
      <w:marTop w:val="0"/>
      <w:marBottom w:val="0"/>
      <w:divBdr>
        <w:top w:val="none" w:sz="0" w:space="0" w:color="auto"/>
        <w:left w:val="none" w:sz="0" w:space="0" w:color="auto"/>
        <w:bottom w:val="none" w:sz="0" w:space="0" w:color="auto"/>
        <w:right w:val="none" w:sz="0" w:space="0" w:color="auto"/>
      </w:divBdr>
    </w:div>
    <w:div w:id="827940845">
      <w:bodyDiv w:val="1"/>
      <w:marLeft w:val="0"/>
      <w:marRight w:val="0"/>
      <w:marTop w:val="0"/>
      <w:marBottom w:val="0"/>
      <w:divBdr>
        <w:top w:val="none" w:sz="0" w:space="0" w:color="auto"/>
        <w:left w:val="none" w:sz="0" w:space="0" w:color="auto"/>
        <w:bottom w:val="none" w:sz="0" w:space="0" w:color="auto"/>
        <w:right w:val="none" w:sz="0" w:space="0" w:color="auto"/>
      </w:divBdr>
      <w:divsChild>
        <w:div w:id="1333023401">
          <w:marLeft w:val="0"/>
          <w:marRight w:val="0"/>
          <w:marTop w:val="100"/>
          <w:marBottom w:val="100"/>
          <w:divBdr>
            <w:top w:val="none" w:sz="0" w:space="0" w:color="auto"/>
            <w:left w:val="none" w:sz="0" w:space="0" w:color="auto"/>
            <w:bottom w:val="none" w:sz="0" w:space="0" w:color="auto"/>
            <w:right w:val="none" w:sz="0" w:space="0" w:color="auto"/>
          </w:divBdr>
          <w:divsChild>
            <w:div w:id="1216550956">
              <w:marLeft w:val="0"/>
              <w:marRight w:val="0"/>
              <w:marTop w:val="0"/>
              <w:marBottom w:val="0"/>
              <w:divBdr>
                <w:top w:val="none" w:sz="0" w:space="0" w:color="auto"/>
                <w:left w:val="none" w:sz="0" w:space="0" w:color="auto"/>
                <w:bottom w:val="none" w:sz="0" w:space="0" w:color="auto"/>
                <w:right w:val="none" w:sz="0" w:space="0" w:color="auto"/>
              </w:divBdr>
              <w:divsChild>
                <w:div w:id="1126503414">
                  <w:marLeft w:val="0"/>
                  <w:marRight w:val="0"/>
                  <w:marTop w:val="0"/>
                  <w:marBottom w:val="0"/>
                  <w:divBdr>
                    <w:top w:val="none" w:sz="0" w:space="0" w:color="auto"/>
                    <w:left w:val="none" w:sz="0" w:space="0" w:color="auto"/>
                    <w:bottom w:val="none" w:sz="0" w:space="0" w:color="auto"/>
                    <w:right w:val="none" w:sz="0" w:space="0" w:color="auto"/>
                  </w:divBdr>
                  <w:divsChild>
                    <w:div w:id="1995839822">
                      <w:marLeft w:val="0"/>
                      <w:marRight w:val="0"/>
                      <w:marTop w:val="100"/>
                      <w:marBottom w:val="100"/>
                      <w:divBdr>
                        <w:top w:val="none" w:sz="0" w:space="0" w:color="auto"/>
                        <w:left w:val="none" w:sz="0" w:space="0" w:color="auto"/>
                        <w:bottom w:val="none" w:sz="0" w:space="0" w:color="auto"/>
                        <w:right w:val="none" w:sz="0" w:space="0" w:color="auto"/>
                      </w:divBdr>
                      <w:divsChild>
                        <w:div w:id="2130851356">
                          <w:marLeft w:val="0"/>
                          <w:marRight w:val="-14400"/>
                          <w:marTop w:val="0"/>
                          <w:marBottom w:val="0"/>
                          <w:divBdr>
                            <w:top w:val="none" w:sz="0" w:space="0" w:color="auto"/>
                            <w:left w:val="none" w:sz="0" w:space="0" w:color="auto"/>
                            <w:bottom w:val="none" w:sz="0" w:space="0" w:color="auto"/>
                            <w:right w:val="none" w:sz="0" w:space="0" w:color="auto"/>
                          </w:divBdr>
                          <w:divsChild>
                            <w:div w:id="1814758887">
                              <w:marLeft w:val="0"/>
                              <w:marRight w:val="0"/>
                              <w:marTop w:val="0"/>
                              <w:marBottom w:val="0"/>
                              <w:divBdr>
                                <w:top w:val="none" w:sz="0" w:space="0" w:color="auto"/>
                                <w:left w:val="none" w:sz="0" w:space="0" w:color="auto"/>
                                <w:bottom w:val="none" w:sz="0" w:space="0" w:color="auto"/>
                                <w:right w:val="none" w:sz="0" w:space="0" w:color="auto"/>
                              </w:divBdr>
                              <w:divsChild>
                                <w:div w:id="766081195">
                                  <w:marLeft w:val="0"/>
                                  <w:marRight w:val="0"/>
                                  <w:marTop w:val="0"/>
                                  <w:marBottom w:val="0"/>
                                  <w:divBdr>
                                    <w:top w:val="none" w:sz="0" w:space="0" w:color="auto"/>
                                    <w:left w:val="none" w:sz="0" w:space="0" w:color="auto"/>
                                    <w:bottom w:val="none" w:sz="0" w:space="0" w:color="auto"/>
                                    <w:right w:val="none" w:sz="0" w:space="0" w:color="auto"/>
                                  </w:divBdr>
                                  <w:divsChild>
                                    <w:div w:id="1844130293">
                                      <w:marLeft w:val="150"/>
                                      <w:marRight w:val="150"/>
                                      <w:marTop w:val="0"/>
                                      <w:marBottom w:val="0"/>
                                      <w:divBdr>
                                        <w:top w:val="none" w:sz="0" w:space="0" w:color="auto"/>
                                        <w:left w:val="none" w:sz="0" w:space="0" w:color="auto"/>
                                        <w:bottom w:val="none" w:sz="0" w:space="0" w:color="auto"/>
                                        <w:right w:val="none" w:sz="0" w:space="0" w:color="auto"/>
                                      </w:divBdr>
                                      <w:divsChild>
                                        <w:div w:id="664865892">
                                          <w:marLeft w:val="0"/>
                                          <w:marRight w:val="0"/>
                                          <w:marTop w:val="0"/>
                                          <w:marBottom w:val="0"/>
                                          <w:divBdr>
                                            <w:top w:val="none" w:sz="0" w:space="0" w:color="auto"/>
                                            <w:left w:val="none" w:sz="0" w:space="0" w:color="auto"/>
                                            <w:bottom w:val="none" w:sz="0" w:space="0" w:color="auto"/>
                                            <w:right w:val="none" w:sz="0" w:space="0" w:color="auto"/>
                                          </w:divBdr>
                                          <w:divsChild>
                                            <w:div w:id="5929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0704196">
      <w:bodyDiv w:val="1"/>
      <w:marLeft w:val="0"/>
      <w:marRight w:val="0"/>
      <w:marTop w:val="0"/>
      <w:marBottom w:val="0"/>
      <w:divBdr>
        <w:top w:val="none" w:sz="0" w:space="0" w:color="auto"/>
        <w:left w:val="none" w:sz="0" w:space="0" w:color="auto"/>
        <w:bottom w:val="none" w:sz="0" w:space="0" w:color="auto"/>
        <w:right w:val="none" w:sz="0" w:space="0" w:color="auto"/>
      </w:divBdr>
    </w:div>
    <w:div w:id="842672654">
      <w:bodyDiv w:val="1"/>
      <w:marLeft w:val="0"/>
      <w:marRight w:val="0"/>
      <w:marTop w:val="0"/>
      <w:marBottom w:val="0"/>
      <w:divBdr>
        <w:top w:val="none" w:sz="0" w:space="0" w:color="auto"/>
        <w:left w:val="none" w:sz="0" w:space="0" w:color="auto"/>
        <w:bottom w:val="none" w:sz="0" w:space="0" w:color="auto"/>
        <w:right w:val="none" w:sz="0" w:space="0" w:color="auto"/>
      </w:divBdr>
    </w:div>
    <w:div w:id="874587051">
      <w:bodyDiv w:val="1"/>
      <w:marLeft w:val="0"/>
      <w:marRight w:val="0"/>
      <w:marTop w:val="0"/>
      <w:marBottom w:val="0"/>
      <w:divBdr>
        <w:top w:val="none" w:sz="0" w:space="0" w:color="auto"/>
        <w:left w:val="none" w:sz="0" w:space="0" w:color="auto"/>
        <w:bottom w:val="none" w:sz="0" w:space="0" w:color="auto"/>
        <w:right w:val="none" w:sz="0" w:space="0" w:color="auto"/>
      </w:divBdr>
    </w:div>
    <w:div w:id="888497877">
      <w:bodyDiv w:val="1"/>
      <w:marLeft w:val="0"/>
      <w:marRight w:val="0"/>
      <w:marTop w:val="0"/>
      <w:marBottom w:val="0"/>
      <w:divBdr>
        <w:top w:val="none" w:sz="0" w:space="0" w:color="auto"/>
        <w:left w:val="none" w:sz="0" w:space="0" w:color="auto"/>
        <w:bottom w:val="none" w:sz="0" w:space="0" w:color="auto"/>
        <w:right w:val="none" w:sz="0" w:space="0" w:color="auto"/>
      </w:divBdr>
    </w:div>
    <w:div w:id="909271938">
      <w:bodyDiv w:val="1"/>
      <w:marLeft w:val="0"/>
      <w:marRight w:val="0"/>
      <w:marTop w:val="0"/>
      <w:marBottom w:val="0"/>
      <w:divBdr>
        <w:top w:val="none" w:sz="0" w:space="0" w:color="auto"/>
        <w:left w:val="none" w:sz="0" w:space="0" w:color="auto"/>
        <w:bottom w:val="none" w:sz="0" w:space="0" w:color="auto"/>
        <w:right w:val="none" w:sz="0" w:space="0" w:color="auto"/>
      </w:divBdr>
    </w:div>
    <w:div w:id="912424444">
      <w:bodyDiv w:val="1"/>
      <w:marLeft w:val="0"/>
      <w:marRight w:val="0"/>
      <w:marTop w:val="0"/>
      <w:marBottom w:val="0"/>
      <w:divBdr>
        <w:top w:val="none" w:sz="0" w:space="0" w:color="auto"/>
        <w:left w:val="none" w:sz="0" w:space="0" w:color="auto"/>
        <w:bottom w:val="none" w:sz="0" w:space="0" w:color="auto"/>
        <w:right w:val="none" w:sz="0" w:space="0" w:color="auto"/>
      </w:divBdr>
    </w:div>
    <w:div w:id="926688848">
      <w:bodyDiv w:val="1"/>
      <w:marLeft w:val="0"/>
      <w:marRight w:val="0"/>
      <w:marTop w:val="0"/>
      <w:marBottom w:val="0"/>
      <w:divBdr>
        <w:top w:val="none" w:sz="0" w:space="0" w:color="auto"/>
        <w:left w:val="none" w:sz="0" w:space="0" w:color="auto"/>
        <w:bottom w:val="none" w:sz="0" w:space="0" w:color="auto"/>
        <w:right w:val="none" w:sz="0" w:space="0" w:color="auto"/>
      </w:divBdr>
    </w:div>
    <w:div w:id="928536402">
      <w:bodyDiv w:val="1"/>
      <w:marLeft w:val="0"/>
      <w:marRight w:val="0"/>
      <w:marTop w:val="0"/>
      <w:marBottom w:val="0"/>
      <w:divBdr>
        <w:top w:val="none" w:sz="0" w:space="0" w:color="auto"/>
        <w:left w:val="none" w:sz="0" w:space="0" w:color="auto"/>
        <w:bottom w:val="none" w:sz="0" w:space="0" w:color="auto"/>
        <w:right w:val="none" w:sz="0" w:space="0" w:color="auto"/>
      </w:divBdr>
    </w:div>
    <w:div w:id="929461112">
      <w:bodyDiv w:val="1"/>
      <w:marLeft w:val="0"/>
      <w:marRight w:val="0"/>
      <w:marTop w:val="0"/>
      <w:marBottom w:val="0"/>
      <w:divBdr>
        <w:top w:val="none" w:sz="0" w:space="0" w:color="auto"/>
        <w:left w:val="none" w:sz="0" w:space="0" w:color="auto"/>
        <w:bottom w:val="none" w:sz="0" w:space="0" w:color="auto"/>
        <w:right w:val="none" w:sz="0" w:space="0" w:color="auto"/>
      </w:divBdr>
    </w:div>
    <w:div w:id="936984622">
      <w:bodyDiv w:val="1"/>
      <w:marLeft w:val="0"/>
      <w:marRight w:val="0"/>
      <w:marTop w:val="0"/>
      <w:marBottom w:val="0"/>
      <w:divBdr>
        <w:top w:val="none" w:sz="0" w:space="0" w:color="auto"/>
        <w:left w:val="none" w:sz="0" w:space="0" w:color="auto"/>
        <w:bottom w:val="none" w:sz="0" w:space="0" w:color="auto"/>
        <w:right w:val="none" w:sz="0" w:space="0" w:color="auto"/>
      </w:divBdr>
    </w:div>
    <w:div w:id="960064884">
      <w:bodyDiv w:val="1"/>
      <w:marLeft w:val="0"/>
      <w:marRight w:val="0"/>
      <w:marTop w:val="0"/>
      <w:marBottom w:val="0"/>
      <w:divBdr>
        <w:top w:val="none" w:sz="0" w:space="0" w:color="auto"/>
        <w:left w:val="none" w:sz="0" w:space="0" w:color="auto"/>
        <w:bottom w:val="none" w:sz="0" w:space="0" w:color="auto"/>
        <w:right w:val="none" w:sz="0" w:space="0" w:color="auto"/>
      </w:divBdr>
    </w:div>
    <w:div w:id="981274175">
      <w:bodyDiv w:val="1"/>
      <w:marLeft w:val="0"/>
      <w:marRight w:val="0"/>
      <w:marTop w:val="0"/>
      <w:marBottom w:val="0"/>
      <w:divBdr>
        <w:top w:val="none" w:sz="0" w:space="0" w:color="auto"/>
        <w:left w:val="none" w:sz="0" w:space="0" w:color="auto"/>
        <w:bottom w:val="none" w:sz="0" w:space="0" w:color="auto"/>
        <w:right w:val="none" w:sz="0" w:space="0" w:color="auto"/>
      </w:divBdr>
    </w:div>
    <w:div w:id="986713127">
      <w:bodyDiv w:val="1"/>
      <w:marLeft w:val="0"/>
      <w:marRight w:val="0"/>
      <w:marTop w:val="0"/>
      <w:marBottom w:val="0"/>
      <w:divBdr>
        <w:top w:val="none" w:sz="0" w:space="0" w:color="auto"/>
        <w:left w:val="none" w:sz="0" w:space="0" w:color="auto"/>
        <w:bottom w:val="none" w:sz="0" w:space="0" w:color="auto"/>
        <w:right w:val="none" w:sz="0" w:space="0" w:color="auto"/>
      </w:divBdr>
      <w:divsChild>
        <w:div w:id="941767549">
          <w:marLeft w:val="0"/>
          <w:marRight w:val="0"/>
          <w:marTop w:val="0"/>
          <w:marBottom w:val="0"/>
          <w:divBdr>
            <w:top w:val="none" w:sz="0" w:space="0" w:color="auto"/>
            <w:left w:val="none" w:sz="0" w:space="0" w:color="auto"/>
            <w:bottom w:val="none" w:sz="0" w:space="0" w:color="auto"/>
            <w:right w:val="none" w:sz="0" w:space="0" w:color="auto"/>
          </w:divBdr>
          <w:divsChild>
            <w:div w:id="215170921">
              <w:marLeft w:val="0"/>
              <w:marRight w:val="0"/>
              <w:marTop w:val="0"/>
              <w:marBottom w:val="0"/>
              <w:divBdr>
                <w:top w:val="none" w:sz="0" w:space="0" w:color="auto"/>
                <w:left w:val="none" w:sz="0" w:space="0" w:color="auto"/>
                <w:bottom w:val="none" w:sz="0" w:space="0" w:color="auto"/>
                <w:right w:val="none" w:sz="0" w:space="0" w:color="auto"/>
              </w:divBdr>
              <w:divsChild>
                <w:div w:id="865211727">
                  <w:marLeft w:val="0"/>
                  <w:marRight w:val="0"/>
                  <w:marTop w:val="0"/>
                  <w:marBottom w:val="0"/>
                  <w:divBdr>
                    <w:top w:val="none" w:sz="0" w:space="0" w:color="auto"/>
                    <w:left w:val="none" w:sz="0" w:space="0" w:color="auto"/>
                    <w:bottom w:val="none" w:sz="0" w:space="0" w:color="auto"/>
                    <w:right w:val="none" w:sz="0" w:space="0" w:color="auto"/>
                  </w:divBdr>
                  <w:divsChild>
                    <w:div w:id="87400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94275">
          <w:marLeft w:val="0"/>
          <w:marRight w:val="0"/>
          <w:marTop w:val="0"/>
          <w:marBottom w:val="0"/>
          <w:divBdr>
            <w:top w:val="none" w:sz="0" w:space="0" w:color="auto"/>
            <w:left w:val="none" w:sz="0" w:space="0" w:color="auto"/>
            <w:bottom w:val="none" w:sz="0" w:space="0" w:color="auto"/>
            <w:right w:val="none" w:sz="0" w:space="0" w:color="auto"/>
          </w:divBdr>
          <w:divsChild>
            <w:div w:id="1237478071">
              <w:marLeft w:val="0"/>
              <w:marRight w:val="0"/>
              <w:marTop w:val="0"/>
              <w:marBottom w:val="0"/>
              <w:divBdr>
                <w:top w:val="none" w:sz="0" w:space="0" w:color="auto"/>
                <w:left w:val="none" w:sz="0" w:space="0" w:color="auto"/>
                <w:bottom w:val="none" w:sz="0" w:space="0" w:color="auto"/>
                <w:right w:val="none" w:sz="0" w:space="0" w:color="auto"/>
              </w:divBdr>
              <w:divsChild>
                <w:div w:id="1180316117">
                  <w:marLeft w:val="0"/>
                  <w:marRight w:val="0"/>
                  <w:marTop w:val="0"/>
                  <w:marBottom w:val="0"/>
                  <w:divBdr>
                    <w:top w:val="none" w:sz="0" w:space="0" w:color="auto"/>
                    <w:left w:val="none" w:sz="0" w:space="0" w:color="auto"/>
                    <w:bottom w:val="none" w:sz="0" w:space="0" w:color="auto"/>
                    <w:right w:val="none" w:sz="0" w:space="0" w:color="auto"/>
                  </w:divBdr>
                  <w:divsChild>
                    <w:div w:id="14227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287007">
      <w:bodyDiv w:val="1"/>
      <w:marLeft w:val="0"/>
      <w:marRight w:val="0"/>
      <w:marTop w:val="0"/>
      <w:marBottom w:val="0"/>
      <w:divBdr>
        <w:top w:val="none" w:sz="0" w:space="0" w:color="auto"/>
        <w:left w:val="none" w:sz="0" w:space="0" w:color="auto"/>
        <w:bottom w:val="none" w:sz="0" w:space="0" w:color="auto"/>
        <w:right w:val="none" w:sz="0" w:space="0" w:color="auto"/>
      </w:divBdr>
    </w:div>
    <w:div w:id="1014455390">
      <w:bodyDiv w:val="1"/>
      <w:marLeft w:val="0"/>
      <w:marRight w:val="0"/>
      <w:marTop w:val="0"/>
      <w:marBottom w:val="0"/>
      <w:divBdr>
        <w:top w:val="none" w:sz="0" w:space="0" w:color="auto"/>
        <w:left w:val="none" w:sz="0" w:space="0" w:color="auto"/>
        <w:bottom w:val="none" w:sz="0" w:space="0" w:color="auto"/>
        <w:right w:val="none" w:sz="0" w:space="0" w:color="auto"/>
      </w:divBdr>
    </w:div>
    <w:div w:id="1018311877">
      <w:bodyDiv w:val="1"/>
      <w:marLeft w:val="0"/>
      <w:marRight w:val="0"/>
      <w:marTop w:val="0"/>
      <w:marBottom w:val="0"/>
      <w:divBdr>
        <w:top w:val="none" w:sz="0" w:space="0" w:color="auto"/>
        <w:left w:val="none" w:sz="0" w:space="0" w:color="auto"/>
        <w:bottom w:val="none" w:sz="0" w:space="0" w:color="auto"/>
        <w:right w:val="none" w:sz="0" w:space="0" w:color="auto"/>
      </w:divBdr>
    </w:div>
    <w:div w:id="1053193213">
      <w:bodyDiv w:val="1"/>
      <w:marLeft w:val="0"/>
      <w:marRight w:val="0"/>
      <w:marTop w:val="0"/>
      <w:marBottom w:val="0"/>
      <w:divBdr>
        <w:top w:val="none" w:sz="0" w:space="0" w:color="auto"/>
        <w:left w:val="none" w:sz="0" w:space="0" w:color="auto"/>
        <w:bottom w:val="none" w:sz="0" w:space="0" w:color="auto"/>
        <w:right w:val="none" w:sz="0" w:space="0" w:color="auto"/>
      </w:divBdr>
      <w:divsChild>
        <w:div w:id="134567840">
          <w:marLeft w:val="288"/>
          <w:marRight w:val="0"/>
          <w:marTop w:val="120"/>
          <w:marBottom w:val="0"/>
          <w:divBdr>
            <w:top w:val="none" w:sz="0" w:space="0" w:color="auto"/>
            <w:left w:val="none" w:sz="0" w:space="0" w:color="auto"/>
            <w:bottom w:val="none" w:sz="0" w:space="0" w:color="auto"/>
            <w:right w:val="none" w:sz="0" w:space="0" w:color="auto"/>
          </w:divBdr>
        </w:div>
        <w:div w:id="1513884410">
          <w:marLeft w:val="288"/>
          <w:marRight w:val="0"/>
          <w:marTop w:val="120"/>
          <w:marBottom w:val="0"/>
          <w:divBdr>
            <w:top w:val="none" w:sz="0" w:space="0" w:color="auto"/>
            <w:left w:val="none" w:sz="0" w:space="0" w:color="auto"/>
            <w:bottom w:val="none" w:sz="0" w:space="0" w:color="auto"/>
            <w:right w:val="none" w:sz="0" w:space="0" w:color="auto"/>
          </w:divBdr>
        </w:div>
        <w:div w:id="1890458196">
          <w:marLeft w:val="288"/>
          <w:marRight w:val="0"/>
          <w:marTop w:val="120"/>
          <w:marBottom w:val="0"/>
          <w:divBdr>
            <w:top w:val="none" w:sz="0" w:space="0" w:color="auto"/>
            <w:left w:val="none" w:sz="0" w:space="0" w:color="auto"/>
            <w:bottom w:val="none" w:sz="0" w:space="0" w:color="auto"/>
            <w:right w:val="none" w:sz="0" w:space="0" w:color="auto"/>
          </w:divBdr>
        </w:div>
        <w:div w:id="2037928565">
          <w:marLeft w:val="288"/>
          <w:marRight w:val="0"/>
          <w:marTop w:val="120"/>
          <w:marBottom w:val="0"/>
          <w:divBdr>
            <w:top w:val="none" w:sz="0" w:space="0" w:color="auto"/>
            <w:left w:val="none" w:sz="0" w:space="0" w:color="auto"/>
            <w:bottom w:val="none" w:sz="0" w:space="0" w:color="auto"/>
            <w:right w:val="none" w:sz="0" w:space="0" w:color="auto"/>
          </w:divBdr>
        </w:div>
      </w:divsChild>
    </w:div>
    <w:div w:id="1055006530">
      <w:bodyDiv w:val="1"/>
      <w:marLeft w:val="0"/>
      <w:marRight w:val="0"/>
      <w:marTop w:val="0"/>
      <w:marBottom w:val="0"/>
      <w:divBdr>
        <w:top w:val="none" w:sz="0" w:space="0" w:color="auto"/>
        <w:left w:val="none" w:sz="0" w:space="0" w:color="auto"/>
        <w:bottom w:val="none" w:sz="0" w:space="0" w:color="auto"/>
        <w:right w:val="none" w:sz="0" w:space="0" w:color="auto"/>
      </w:divBdr>
    </w:div>
    <w:div w:id="1061561573">
      <w:bodyDiv w:val="1"/>
      <w:marLeft w:val="0"/>
      <w:marRight w:val="0"/>
      <w:marTop w:val="0"/>
      <w:marBottom w:val="0"/>
      <w:divBdr>
        <w:top w:val="none" w:sz="0" w:space="0" w:color="auto"/>
        <w:left w:val="none" w:sz="0" w:space="0" w:color="auto"/>
        <w:bottom w:val="none" w:sz="0" w:space="0" w:color="auto"/>
        <w:right w:val="none" w:sz="0" w:space="0" w:color="auto"/>
      </w:divBdr>
    </w:div>
    <w:div w:id="1079333122">
      <w:bodyDiv w:val="1"/>
      <w:marLeft w:val="0"/>
      <w:marRight w:val="0"/>
      <w:marTop w:val="0"/>
      <w:marBottom w:val="0"/>
      <w:divBdr>
        <w:top w:val="none" w:sz="0" w:space="0" w:color="auto"/>
        <w:left w:val="none" w:sz="0" w:space="0" w:color="auto"/>
        <w:bottom w:val="none" w:sz="0" w:space="0" w:color="auto"/>
        <w:right w:val="none" w:sz="0" w:space="0" w:color="auto"/>
      </w:divBdr>
    </w:div>
    <w:div w:id="1080181115">
      <w:bodyDiv w:val="1"/>
      <w:marLeft w:val="0"/>
      <w:marRight w:val="0"/>
      <w:marTop w:val="0"/>
      <w:marBottom w:val="0"/>
      <w:divBdr>
        <w:top w:val="none" w:sz="0" w:space="0" w:color="auto"/>
        <w:left w:val="none" w:sz="0" w:space="0" w:color="auto"/>
        <w:bottom w:val="none" w:sz="0" w:space="0" w:color="auto"/>
        <w:right w:val="none" w:sz="0" w:space="0" w:color="auto"/>
      </w:divBdr>
    </w:div>
    <w:div w:id="1098405321">
      <w:bodyDiv w:val="1"/>
      <w:marLeft w:val="0"/>
      <w:marRight w:val="0"/>
      <w:marTop w:val="0"/>
      <w:marBottom w:val="0"/>
      <w:divBdr>
        <w:top w:val="none" w:sz="0" w:space="0" w:color="auto"/>
        <w:left w:val="none" w:sz="0" w:space="0" w:color="auto"/>
        <w:bottom w:val="none" w:sz="0" w:space="0" w:color="auto"/>
        <w:right w:val="none" w:sz="0" w:space="0" w:color="auto"/>
      </w:divBdr>
    </w:div>
    <w:div w:id="1099834928">
      <w:bodyDiv w:val="1"/>
      <w:marLeft w:val="0"/>
      <w:marRight w:val="0"/>
      <w:marTop w:val="0"/>
      <w:marBottom w:val="0"/>
      <w:divBdr>
        <w:top w:val="none" w:sz="0" w:space="0" w:color="auto"/>
        <w:left w:val="none" w:sz="0" w:space="0" w:color="auto"/>
        <w:bottom w:val="none" w:sz="0" w:space="0" w:color="auto"/>
        <w:right w:val="none" w:sz="0" w:space="0" w:color="auto"/>
      </w:divBdr>
    </w:div>
    <w:div w:id="1107190096">
      <w:bodyDiv w:val="1"/>
      <w:marLeft w:val="0"/>
      <w:marRight w:val="0"/>
      <w:marTop w:val="0"/>
      <w:marBottom w:val="0"/>
      <w:divBdr>
        <w:top w:val="none" w:sz="0" w:space="0" w:color="auto"/>
        <w:left w:val="none" w:sz="0" w:space="0" w:color="auto"/>
        <w:bottom w:val="none" w:sz="0" w:space="0" w:color="auto"/>
        <w:right w:val="none" w:sz="0" w:space="0" w:color="auto"/>
      </w:divBdr>
    </w:div>
    <w:div w:id="1110972336">
      <w:bodyDiv w:val="1"/>
      <w:marLeft w:val="0"/>
      <w:marRight w:val="0"/>
      <w:marTop w:val="0"/>
      <w:marBottom w:val="0"/>
      <w:divBdr>
        <w:top w:val="none" w:sz="0" w:space="0" w:color="auto"/>
        <w:left w:val="none" w:sz="0" w:space="0" w:color="auto"/>
        <w:bottom w:val="none" w:sz="0" w:space="0" w:color="auto"/>
        <w:right w:val="none" w:sz="0" w:space="0" w:color="auto"/>
      </w:divBdr>
    </w:div>
    <w:div w:id="1121461362">
      <w:bodyDiv w:val="1"/>
      <w:marLeft w:val="0"/>
      <w:marRight w:val="0"/>
      <w:marTop w:val="0"/>
      <w:marBottom w:val="0"/>
      <w:divBdr>
        <w:top w:val="none" w:sz="0" w:space="0" w:color="auto"/>
        <w:left w:val="none" w:sz="0" w:space="0" w:color="auto"/>
        <w:bottom w:val="none" w:sz="0" w:space="0" w:color="auto"/>
        <w:right w:val="none" w:sz="0" w:space="0" w:color="auto"/>
      </w:divBdr>
    </w:div>
    <w:div w:id="1131705001">
      <w:bodyDiv w:val="1"/>
      <w:marLeft w:val="0"/>
      <w:marRight w:val="0"/>
      <w:marTop w:val="0"/>
      <w:marBottom w:val="0"/>
      <w:divBdr>
        <w:top w:val="none" w:sz="0" w:space="0" w:color="auto"/>
        <w:left w:val="none" w:sz="0" w:space="0" w:color="auto"/>
        <w:bottom w:val="none" w:sz="0" w:space="0" w:color="auto"/>
        <w:right w:val="none" w:sz="0" w:space="0" w:color="auto"/>
      </w:divBdr>
    </w:div>
    <w:div w:id="1162428286">
      <w:bodyDiv w:val="1"/>
      <w:marLeft w:val="0"/>
      <w:marRight w:val="0"/>
      <w:marTop w:val="0"/>
      <w:marBottom w:val="0"/>
      <w:divBdr>
        <w:top w:val="none" w:sz="0" w:space="0" w:color="auto"/>
        <w:left w:val="none" w:sz="0" w:space="0" w:color="auto"/>
        <w:bottom w:val="none" w:sz="0" w:space="0" w:color="auto"/>
        <w:right w:val="none" w:sz="0" w:space="0" w:color="auto"/>
      </w:divBdr>
    </w:div>
    <w:div w:id="1167405249">
      <w:bodyDiv w:val="1"/>
      <w:marLeft w:val="0"/>
      <w:marRight w:val="0"/>
      <w:marTop w:val="0"/>
      <w:marBottom w:val="0"/>
      <w:divBdr>
        <w:top w:val="none" w:sz="0" w:space="0" w:color="auto"/>
        <w:left w:val="none" w:sz="0" w:space="0" w:color="auto"/>
        <w:bottom w:val="none" w:sz="0" w:space="0" w:color="auto"/>
        <w:right w:val="none" w:sz="0" w:space="0" w:color="auto"/>
      </w:divBdr>
    </w:div>
    <w:div w:id="1168210620">
      <w:bodyDiv w:val="1"/>
      <w:marLeft w:val="0"/>
      <w:marRight w:val="0"/>
      <w:marTop w:val="0"/>
      <w:marBottom w:val="0"/>
      <w:divBdr>
        <w:top w:val="none" w:sz="0" w:space="0" w:color="auto"/>
        <w:left w:val="none" w:sz="0" w:space="0" w:color="auto"/>
        <w:bottom w:val="none" w:sz="0" w:space="0" w:color="auto"/>
        <w:right w:val="none" w:sz="0" w:space="0" w:color="auto"/>
      </w:divBdr>
    </w:div>
    <w:div w:id="1174540184">
      <w:bodyDiv w:val="1"/>
      <w:marLeft w:val="0"/>
      <w:marRight w:val="0"/>
      <w:marTop w:val="0"/>
      <w:marBottom w:val="0"/>
      <w:divBdr>
        <w:top w:val="none" w:sz="0" w:space="0" w:color="auto"/>
        <w:left w:val="none" w:sz="0" w:space="0" w:color="auto"/>
        <w:bottom w:val="none" w:sz="0" w:space="0" w:color="auto"/>
        <w:right w:val="none" w:sz="0" w:space="0" w:color="auto"/>
      </w:divBdr>
    </w:div>
    <w:div w:id="1186291685">
      <w:bodyDiv w:val="1"/>
      <w:marLeft w:val="0"/>
      <w:marRight w:val="0"/>
      <w:marTop w:val="0"/>
      <w:marBottom w:val="0"/>
      <w:divBdr>
        <w:top w:val="none" w:sz="0" w:space="0" w:color="auto"/>
        <w:left w:val="none" w:sz="0" w:space="0" w:color="auto"/>
        <w:bottom w:val="none" w:sz="0" w:space="0" w:color="auto"/>
        <w:right w:val="none" w:sz="0" w:space="0" w:color="auto"/>
      </w:divBdr>
    </w:div>
    <w:div w:id="1205561997">
      <w:bodyDiv w:val="1"/>
      <w:marLeft w:val="0"/>
      <w:marRight w:val="0"/>
      <w:marTop w:val="0"/>
      <w:marBottom w:val="0"/>
      <w:divBdr>
        <w:top w:val="none" w:sz="0" w:space="0" w:color="auto"/>
        <w:left w:val="none" w:sz="0" w:space="0" w:color="auto"/>
        <w:bottom w:val="none" w:sz="0" w:space="0" w:color="auto"/>
        <w:right w:val="none" w:sz="0" w:space="0" w:color="auto"/>
      </w:divBdr>
    </w:div>
    <w:div w:id="1219825433">
      <w:bodyDiv w:val="1"/>
      <w:marLeft w:val="0"/>
      <w:marRight w:val="0"/>
      <w:marTop w:val="0"/>
      <w:marBottom w:val="0"/>
      <w:divBdr>
        <w:top w:val="none" w:sz="0" w:space="0" w:color="auto"/>
        <w:left w:val="none" w:sz="0" w:space="0" w:color="auto"/>
        <w:bottom w:val="none" w:sz="0" w:space="0" w:color="auto"/>
        <w:right w:val="none" w:sz="0" w:space="0" w:color="auto"/>
      </w:divBdr>
    </w:div>
    <w:div w:id="1232227932">
      <w:bodyDiv w:val="1"/>
      <w:marLeft w:val="0"/>
      <w:marRight w:val="0"/>
      <w:marTop w:val="0"/>
      <w:marBottom w:val="0"/>
      <w:divBdr>
        <w:top w:val="none" w:sz="0" w:space="0" w:color="auto"/>
        <w:left w:val="none" w:sz="0" w:space="0" w:color="auto"/>
        <w:bottom w:val="none" w:sz="0" w:space="0" w:color="auto"/>
        <w:right w:val="none" w:sz="0" w:space="0" w:color="auto"/>
      </w:divBdr>
    </w:div>
    <w:div w:id="1237281137">
      <w:bodyDiv w:val="1"/>
      <w:marLeft w:val="0"/>
      <w:marRight w:val="0"/>
      <w:marTop w:val="0"/>
      <w:marBottom w:val="0"/>
      <w:divBdr>
        <w:top w:val="none" w:sz="0" w:space="0" w:color="auto"/>
        <w:left w:val="none" w:sz="0" w:space="0" w:color="auto"/>
        <w:bottom w:val="none" w:sz="0" w:space="0" w:color="auto"/>
        <w:right w:val="none" w:sz="0" w:space="0" w:color="auto"/>
      </w:divBdr>
    </w:div>
    <w:div w:id="1237865304">
      <w:bodyDiv w:val="1"/>
      <w:marLeft w:val="0"/>
      <w:marRight w:val="0"/>
      <w:marTop w:val="0"/>
      <w:marBottom w:val="0"/>
      <w:divBdr>
        <w:top w:val="none" w:sz="0" w:space="0" w:color="auto"/>
        <w:left w:val="none" w:sz="0" w:space="0" w:color="auto"/>
        <w:bottom w:val="none" w:sz="0" w:space="0" w:color="auto"/>
        <w:right w:val="none" w:sz="0" w:space="0" w:color="auto"/>
      </w:divBdr>
    </w:div>
    <w:div w:id="1237975829">
      <w:bodyDiv w:val="1"/>
      <w:marLeft w:val="0"/>
      <w:marRight w:val="0"/>
      <w:marTop w:val="0"/>
      <w:marBottom w:val="0"/>
      <w:divBdr>
        <w:top w:val="none" w:sz="0" w:space="0" w:color="auto"/>
        <w:left w:val="none" w:sz="0" w:space="0" w:color="auto"/>
        <w:bottom w:val="none" w:sz="0" w:space="0" w:color="auto"/>
        <w:right w:val="none" w:sz="0" w:space="0" w:color="auto"/>
      </w:divBdr>
    </w:div>
    <w:div w:id="1245844516">
      <w:bodyDiv w:val="1"/>
      <w:marLeft w:val="0"/>
      <w:marRight w:val="0"/>
      <w:marTop w:val="0"/>
      <w:marBottom w:val="0"/>
      <w:divBdr>
        <w:top w:val="none" w:sz="0" w:space="0" w:color="auto"/>
        <w:left w:val="none" w:sz="0" w:space="0" w:color="auto"/>
        <w:bottom w:val="none" w:sz="0" w:space="0" w:color="auto"/>
        <w:right w:val="none" w:sz="0" w:space="0" w:color="auto"/>
      </w:divBdr>
    </w:div>
    <w:div w:id="1248072308">
      <w:bodyDiv w:val="1"/>
      <w:marLeft w:val="0"/>
      <w:marRight w:val="0"/>
      <w:marTop w:val="0"/>
      <w:marBottom w:val="0"/>
      <w:divBdr>
        <w:top w:val="none" w:sz="0" w:space="0" w:color="auto"/>
        <w:left w:val="none" w:sz="0" w:space="0" w:color="auto"/>
        <w:bottom w:val="none" w:sz="0" w:space="0" w:color="auto"/>
        <w:right w:val="none" w:sz="0" w:space="0" w:color="auto"/>
      </w:divBdr>
    </w:div>
    <w:div w:id="1251545516">
      <w:bodyDiv w:val="1"/>
      <w:marLeft w:val="0"/>
      <w:marRight w:val="0"/>
      <w:marTop w:val="0"/>
      <w:marBottom w:val="0"/>
      <w:divBdr>
        <w:top w:val="none" w:sz="0" w:space="0" w:color="auto"/>
        <w:left w:val="none" w:sz="0" w:space="0" w:color="auto"/>
        <w:bottom w:val="none" w:sz="0" w:space="0" w:color="auto"/>
        <w:right w:val="none" w:sz="0" w:space="0" w:color="auto"/>
      </w:divBdr>
    </w:div>
    <w:div w:id="1252205662">
      <w:bodyDiv w:val="1"/>
      <w:marLeft w:val="0"/>
      <w:marRight w:val="0"/>
      <w:marTop w:val="0"/>
      <w:marBottom w:val="0"/>
      <w:divBdr>
        <w:top w:val="none" w:sz="0" w:space="0" w:color="auto"/>
        <w:left w:val="none" w:sz="0" w:space="0" w:color="auto"/>
        <w:bottom w:val="none" w:sz="0" w:space="0" w:color="auto"/>
        <w:right w:val="none" w:sz="0" w:space="0" w:color="auto"/>
      </w:divBdr>
    </w:div>
    <w:div w:id="1252617174">
      <w:bodyDiv w:val="1"/>
      <w:marLeft w:val="0"/>
      <w:marRight w:val="0"/>
      <w:marTop w:val="0"/>
      <w:marBottom w:val="0"/>
      <w:divBdr>
        <w:top w:val="none" w:sz="0" w:space="0" w:color="auto"/>
        <w:left w:val="none" w:sz="0" w:space="0" w:color="auto"/>
        <w:bottom w:val="none" w:sz="0" w:space="0" w:color="auto"/>
        <w:right w:val="none" w:sz="0" w:space="0" w:color="auto"/>
      </w:divBdr>
    </w:div>
    <w:div w:id="1271936755">
      <w:bodyDiv w:val="1"/>
      <w:marLeft w:val="0"/>
      <w:marRight w:val="0"/>
      <w:marTop w:val="0"/>
      <w:marBottom w:val="0"/>
      <w:divBdr>
        <w:top w:val="none" w:sz="0" w:space="0" w:color="auto"/>
        <w:left w:val="none" w:sz="0" w:space="0" w:color="auto"/>
        <w:bottom w:val="none" w:sz="0" w:space="0" w:color="auto"/>
        <w:right w:val="none" w:sz="0" w:space="0" w:color="auto"/>
      </w:divBdr>
    </w:div>
    <w:div w:id="1277441927">
      <w:bodyDiv w:val="1"/>
      <w:marLeft w:val="0"/>
      <w:marRight w:val="0"/>
      <w:marTop w:val="0"/>
      <w:marBottom w:val="0"/>
      <w:divBdr>
        <w:top w:val="none" w:sz="0" w:space="0" w:color="auto"/>
        <w:left w:val="none" w:sz="0" w:space="0" w:color="auto"/>
        <w:bottom w:val="none" w:sz="0" w:space="0" w:color="auto"/>
        <w:right w:val="none" w:sz="0" w:space="0" w:color="auto"/>
      </w:divBdr>
    </w:div>
    <w:div w:id="1293095329">
      <w:bodyDiv w:val="1"/>
      <w:marLeft w:val="0"/>
      <w:marRight w:val="0"/>
      <w:marTop w:val="0"/>
      <w:marBottom w:val="0"/>
      <w:divBdr>
        <w:top w:val="none" w:sz="0" w:space="0" w:color="auto"/>
        <w:left w:val="none" w:sz="0" w:space="0" w:color="auto"/>
        <w:bottom w:val="none" w:sz="0" w:space="0" w:color="auto"/>
        <w:right w:val="none" w:sz="0" w:space="0" w:color="auto"/>
      </w:divBdr>
      <w:divsChild>
        <w:div w:id="337660531">
          <w:marLeft w:val="475"/>
          <w:marRight w:val="0"/>
          <w:marTop w:val="0"/>
          <w:marBottom w:val="0"/>
          <w:divBdr>
            <w:top w:val="none" w:sz="0" w:space="0" w:color="auto"/>
            <w:left w:val="none" w:sz="0" w:space="0" w:color="auto"/>
            <w:bottom w:val="none" w:sz="0" w:space="0" w:color="auto"/>
            <w:right w:val="none" w:sz="0" w:space="0" w:color="auto"/>
          </w:divBdr>
        </w:div>
      </w:divsChild>
    </w:div>
    <w:div w:id="1294561345">
      <w:bodyDiv w:val="1"/>
      <w:marLeft w:val="0"/>
      <w:marRight w:val="0"/>
      <w:marTop w:val="0"/>
      <w:marBottom w:val="0"/>
      <w:divBdr>
        <w:top w:val="none" w:sz="0" w:space="0" w:color="auto"/>
        <w:left w:val="none" w:sz="0" w:space="0" w:color="auto"/>
        <w:bottom w:val="none" w:sz="0" w:space="0" w:color="auto"/>
        <w:right w:val="none" w:sz="0" w:space="0" w:color="auto"/>
      </w:divBdr>
    </w:div>
    <w:div w:id="1298989286">
      <w:bodyDiv w:val="1"/>
      <w:marLeft w:val="0"/>
      <w:marRight w:val="0"/>
      <w:marTop w:val="0"/>
      <w:marBottom w:val="0"/>
      <w:divBdr>
        <w:top w:val="none" w:sz="0" w:space="0" w:color="auto"/>
        <w:left w:val="none" w:sz="0" w:space="0" w:color="auto"/>
        <w:bottom w:val="none" w:sz="0" w:space="0" w:color="auto"/>
        <w:right w:val="none" w:sz="0" w:space="0" w:color="auto"/>
      </w:divBdr>
    </w:div>
    <w:div w:id="1318848102">
      <w:bodyDiv w:val="1"/>
      <w:marLeft w:val="0"/>
      <w:marRight w:val="0"/>
      <w:marTop w:val="0"/>
      <w:marBottom w:val="0"/>
      <w:divBdr>
        <w:top w:val="none" w:sz="0" w:space="0" w:color="auto"/>
        <w:left w:val="none" w:sz="0" w:space="0" w:color="auto"/>
        <w:bottom w:val="none" w:sz="0" w:space="0" w:color="auto"/>
        <w:right w:val="none" w:sz="0" w:space="0" w:color="auto"/>
      </w:divBdr>
    </w:div>
    <w:div w:id="1328945474">
      <w:bodyDiv w:val="1"/>
      <w:marLeft w:val="0"/>
      <w:marRight w:val="0"/>
      <w:marTop w:val="0"/>
      <w:marBottom w:val="0"/>
      <w:divBdr>
        <w:top w:val="none" w:sz="0" w:space="0" w:color="auto"/>
        <w:left w:val="none" w:sz="0" w:space="0" w:color="auto"/>
        <w:bottom w:val="none" w:sz="0" w:space="0" w:color="auto"/>
        <w:right w:val="none" w:sz="0" w:space="0" w:color="auto"/>
      </w:divBdr>
    </w:div>
    <w:div w:id="1330326471">
      <w:bodyDiv w:val="1"/>
      <w:marLeft w:val="0"/>
      <w:marRight w:val="0"/>
      <w:marTop w:val="0"/>
      <w:marBottom w:val="0"/>
      <w:divBdr>
        <w:top w:val="none" w:sz="0" w:space="0" w:color="auto"/>
        <w:left w:val="none" w:sz="0" w:space="0" w:color="auto"/>
        <w:bottom w:val="none" w:sz="0" w:space="0" w:color="auto"/>
        <w:right w:val="none" w:sz="0" w:space="0" w:color="auto"/>
      </w:divBdr>
    </w:div>
    <w:div w:id="1333802133">
      <w:bodyDiv w:val="1"/>
      <w:marLeft w:val="0"/>
      <w:marRight w:val="0"/>
      <w:marTop w:val="0"/>
      <w:marBottom w:val="0"/>
      <w:divBdr>
        <w:top w:val="none" w:sz="0" w:space="0" w:color="auto"/>
        <w:left w:val="none" w:sz="0" w:space="0" w:color="auto"/>
        <w:bottom w:val="none" w:sz="0" w:space="0" w:color="auto"/>
        <w:right w:val="none" w:sz="0" w:space="0" w:color="auto"/>
      </w:divBdr>
    </w:div>
    <w:div w:id="1336419884">
      <w:bodyDiv w:val="1"/>
      <w:marLeft w:val="0"/>
      <w:marRight w:val="0"/>
      <w:marTop w:val="0"/>
      <w:marBottom w:val="0"/>
      <w:divBdr>
        <w:top w:val="none" w:sz="0" w:space="0" w:color="auto"/>
        <w:left w:val="none" w:sz="0" w:space="0" w:color="auto"/>
        <w:bottom w:val="none" w:sz="0" w:space="0" w:color="auto"/>
        <w:right w:val="none" w:sz="0" w:space="0" w:color="auto"/>
      </w:divBdr>
    </w:div>
    <w:div w:id="1347630024">
      <w:bodyDiv w:val="1"/>
      <w:marLeft w:val="0"/>
      <w:marRight w:val="0"/>
      <w:marTop w:val="0"/>
      <w:marBottom w:val="0"/>
      <w:divBdr>
        <w:top w:val="none" w:sz="0" w:space="0" w:color="auto"/>
        <w:left w:val="none" w:sz="0" w:space="0" w:color="auto"/>
        <w:bottom w:val="none" w:sz="0" w:space="0" w:color="auto"/>
        <w:right w:val="none" w:sz="0" w:space="0" w:color="auto"/>
      </w:divBdr>
    </w:div>
    <w:div w:id="1351182987">
      <w:bodyDiv w:val="1"/>
      <w:marLeft w:val="0"/>
      <w:marRight w:val="0"/>
      <w:marTop w:val="0"/>
      <w:marBottom w:val="0"/>
      <w:divBdr>
        <w:top w:val="none" w:sz="0" w:space="0" w:color="auto"/>
        <w:left w:val="none" w:sz="0" w:space="0" w:color="auto"/>
        <w:bottom w:val="none" w:sz="0" w:space="0" w:color="auto"/>
        <w:right w:val="none" w:sz="0" w:space="0" w:color="auto"/>
      </w:divBdr>
    </w:div>
    <w:div w:id="1372681486">
      <w:bodyDiv w:val="1"/>
      <w:marLeft w:val="0"/>
      <w:marRight w:val="0"/>
      <w:marTop w:val="0"/>
      <w:marBottom w:val="0"/>
      <w:divBdr>
        <w:top w:val="none" w:sz="0" w:space="0" w:color="auto"/>
        <w:left w:val="none" w:sz="0" w:space="0" w:color="auto"/>
        <w:bottom w:val="none" w:sz="0" w:space="0" w:color="auto"/>
        <w:right w:val="none" w:sz="0" w:space="0" w:color="auto"/>
      </w:divBdr>
    </w:div>
    <w:div w:id="1376344102">
      <w:bodyDiv w:val="1"/>
      <w:marLeft w:val="0"/>
      <w:marRight w:val="0"/>
      <w:marTop w:val="0"/>
      <w:marBottom w:val="0"/>
      <w:divBdr>
        <w:top w:val="none" w:sz="0" w:space="0" w:color="auto"/>
        <w:left w:val="none" w:sz="0" w:space="0" w:color="auto"/>
        <w:bottom w:val="none" w:sz="0" w:space="0" w:color="auto"/>
        <w:right w:val="none" w:sz="0" w:space="0" w:color="auto"/>
      </w:divBdr>
    </w:div>
    <w:div w:id="1384526186">
      <w:bodyDiv w:val="1"/>
      <w:marLeft w:val="0"/>
      <w:marRight w:val="0"/>
      <w:marTop w:val="0"/>
      <w:marBottom w:val="0"/>
      <w:divBdr>
        <w:top w:val="none" w:sz="0" w:space="0" w:color="auto"/>
        <w:left w:val="none" w:sz="0" w:space="0" w:color="auto"/>
        <w:bottom w:val="none" w:sz="0" w:space="0" w:color="auto"/>
        <w:right w:val="none" w:sz="0" w:space="0" w:color="auto"/>
      </w:divBdr>
      <w:divsChild>
        <w:div w:id="1080249273">
          <w:marLeft w:val="288"/>
          <w:marRight w:val="0"/>
          <w:marTop w:val="120"/>
          <w:marBottom w:val="0"/>
          <w:divBdr>
            <w:top w:val="none" w:sz="0" w:space="0" w:color="auto"/>
            <w:left w:val="none" w:sz="0" w:space="0" w:color="auto"/>
            <w:bottom w:val="none" w:sz="0" w:space="0" w:color="auto"/>
            <w:right w:val="none" w:sz="0" w:space="0" w:color="auto"/>
          </w:divBdr>
        </w:div>
        <w:div w:id="1554192858">
          <w:marLeft w:val="288"/>
          <w:marRight w:val="0"/>
          <w:marTop w:val="120"/>
          <w:marBottom w:val="0"/>
          <w:divBdr>
            <w:top w:val="none" w:sz="0" w:space="0" w:color="auto"/>
            <w:left w:val="none" w:sz="0" w:space="0" w:color="auto"/>
            <w:bottom w:val="none" w:sz="0" w:space="0" w:color="auto"/>
            <w:right w:val="none" w:sz="0" w:space="0" w:color="auto"/>
          </w:divBdr>
        </w:div>
        <w:div w:id="1988589902">
          <w:marLeft w:val="288"/>
          <w:marRight w:val="0"/>
          <w:marTop w:val="120"/>
          <w:marBottom w:val="0"/>
          <w:divBdr>
            <w:top w:val="none" w:sz="0" w:space="0" w:color="auto"/>
            <w:left w:val="none" w:sz="0" w:space="0" w:color="auto"/>
            <w:bottom w:val="none" w:sz="0" w:space="0" w:color="auto"/>
            <w:right w:val="none" w:sz="0" w:space="0" w:color="auto"/>
          </w:divBdr>
        </w:div>
      </w:divsChild>
    </w:div>
    <w:div w:id="1386832241">
      <w:bodyDiv w:val="1"/>
      <w:marLeft w:val="0"/>
      <w:marRight w:val="0"/>
      <w:marTop w:val="0"/>
      <w:marBottom w:val="0"/>
      <w:divBdr>
        <w:top w:val="none" w:sz="0" w:space="0" w:color="auto"/>
        <w:left w:val="none" w:sz="0" w:space="0" w:color="auto"/>
        <w:bottom w:val="none" w:sz="0" w:space="0" w:color="auto"/>
        <w:right w:val="none" w:sz="0" w:space="0" w:color="auto"/>
      </w:divBdr>
    </w:div>
    <w:div w:id="1406103998">
      <w:bodyDiv w:val="1"/>
      <w:marLeft w:val="0"/>
      <w:marRight w:val="0"/>
      <w:marTop w:val="0"/>
      <w:marBottom w:val="0"/>
      <w:divBdr>
        <w:top w:val="none" w:sz="0" w:space="0" w:color="auto"/>
        <w:left w:val="none" w:sz="0" w:space="0" w:color="auto"/>
        <w:bottom w:val="none" w:sz="0" w:space="0" w:color="auto"/>
        <w:right w:val="none" w:sz="0" w:space="0" w:color="auto"/>
      </w:divBdr>
    </w:div>
    <w:div w:id="1406880294">
      <w:bodyDiv w:val="1"/>
      <w:marLeft w:val="0"/>
      <w:marRight w:val="0"/>
      <w:marTop w:val="0"/>
      <w:marBottom w:val="0"/>
      <w:divBdr>
        <w:top w:val="none" w:sz="0" w:space="0" w:color="auto"/>
        <w:left w:val="none" w:sz="0" w:space="0" w:color="auto"/>
        <w:bottom w:val="none" w:sz="0" w:space="0" w:color="auto"/>
        <w:right w:val="none" w:sz="0" w:space="0" w:color="auto"/>
      </w:divBdr>
    </w:div>
    <w:div w:id="1408115801">
      <w:bodyDiv w:val="1"/>
      <w:marLeft w:val="0"/>
      <w:marRight w:val="0"/>
      <w:marTop w:val="0"/>
      <w:marBottom w:val="0"/>
      <w:divBdr>
        <w:top w:val="none" w:sz="0" w:space="0" w:color="auto"/>
        <w:left w:val="none" w:sz="0" w:space="0" w:color="auto"/>
        <w:bottom w:val="none" w:sz="0" w:space="0" w:color="auto"/>
        <w:right w:val="none" w:sz="0" w:space="0" w:color="auto"/>
      </w:divBdr>
    </w:div>
    <w:div w:id="1434672491">
      <w:bodyDiv w:val="1"/>
      <w:marLeft w:val="0"/>
      <w:marRight w:val="0"/>
      <w:marTop w:val="0"/>
      <w:marBottom w:val="0"/>
      <w:divBdr>
        <w:top w:val="none" w:sz="0" w:space="0" w:color="auto"/>
        <w:left w:val="none" w:sz="0" w:space="0" w:color="auto"/>
        <w:bottom w:val="none" w:sz="0" w:space="0" w:color="auto"/>
        <w:right w:val="none" w:sz="0" w:space="0" w:color="auto"/>
      </w:divBdr>
    </w:div>
    <w:div w:id="1434863802">
      <w:bodyDiv w:val="1"/>
      <w:marLeft w:val="0"/>
      <w:marRight w:val="0"/>
      <w:marTop w:val="0"/>
      <w:marBottom w:val="0"/>
      <w:divBdr>
        <w:top w:val="none" w:sz="0" w:space="0" w:color="auto"/>
        <w:left w:val="none" w:sz="0" w:space="0" w:color="auto"/>
        <w:bottom w:val="none" w:sz="0" w:space="0" w:color="auto"/>
        <w:right w:val="none" w:sz="0" w:space="0" w:color="auto"/>
      </w:divBdr>
    </w:div>
    <w:div w:id="1441102603">
      <w:bodyDiv w:val="1"/>
      <w:marLeft w:val="0"/>
      <w:marRight w:val="0"/>
      <w:marTop w:val="0"/>
      <w:marBottom w:val="0"/>
      <w:divBdr>
        <w:top w:val="none" w:sz="0" w:space="0" w:color="auto"/>
        <w:left w:val="none" w:sz="0" w:space="0" w:color="auto"/>
        <w:bottom w:val="none" w:sz="0" w:space="0" w:color="auto"/>
        <w:right w:val="none" w:sz="0" w:space="0" w:color="auto"/>
      </w:divBdr>
    </w:div>
    <w:div w:id="1441727238">
      <w:bodyDiv w:val="1"/>
      <w:marLeft w:val="0"/>
      <w:marRight w:val="0"/>
      <w:marTop w:val="0"/>
      <w:marBottom w:val="0"/>
      <w:divBdr>
        <w:top w:val="none" w:sz="0" w:space="0" w:color="auto"/>
        <w:left w:val="none" w:sz="0" w:space="0" w:color="auto"/>
        <w:bottom w:val="none" w:sz="0" w:space="0" w:color="auto"/>
        <w:right w:val="none" w:sz="0" w:space="0" w:color="auto"/>
      </w:divBdr>
    </w:div>
    <w:div w:id="1469586444">
      <w:bodyDiv w:val="1"/>
      <w:marLeft w:val="0"/>
      <w:marRight w:val="0"/>
      <w:marTop w:val="0"/>
      <w:marBottom w:val="0"/>
      <w:divBdr>
        <w:top w:val="none" w:sz="0" w:space="0" w:color="auto"/>
        <w:left w:val="none" w:sz="0" w:space="0" w:color="auto"/>
        <w:bottom w:val="none" w:sz="0" w:space="0" w:color="auto"/>
        <w:right w:val="none" w:sz="0" w:space="0" w:color="auto"/>
      </w:divBdr>
    </w:div>
    <w:div w:id="1470440940">
      <w:bodyDiv w:val="1"/>
      <w:marLeft w:val="0"/>
      <w:marRight w:val="0"/>
      <w:marTop w:val="0"/>
      <w:marBottom w:val="0"/>
      <w:divBdr>
        <w:top w:val="none" w:sz="0" w:space="0" w:color="auto"/>
        <w:left w:val="none" w:sz="0" w:space="0" w:color="auto"/>
        <w:bottom w:val="none" w:sz="0" w:space="0" w:color="auto"/>
        <w:right w:val="none" w:sz="0" w:space="0" w:color="auto"/>
      </w:divBdr>
      <w:divsChild>
        <w:div w:id="878515022">
          <w:marLeft w:val="0"/>
          <w:marRight w:val="0"/>
          <w:marTop w:val="0"/>
          <w:marBottom w:val="0"/>
          <w:divBdr>
            <w:top w:val="none" w:sz="0" w:space="0" w:color="auto"/>
            <w:left w:val="none" w:sz="0" w:space="0" w:color="auto"/>
            <w:bottom w:val="none" w:sz="0" w:space="0" w:color="auto"/>
            <w:right w:val="none" w:sz="0" w:space="0" w:color="auto"/>
          </w:divBdr>
          <w:divsChild>
            <w:div w:id="1325473388">
              <w:marLeft w:val="0"/>
              <w:marRight w:val="0"/>
              <w:marTop w:val="0"/>
              <w:marBottom w:val="0"/>
              <w:divBdr>
                <w:top w:val="none" w:sz="0" w:space="0" w:color="auto"/>
                <w:left w:val="none" w:sz="0" w:space="0" w:color="auto"/>
                <w:bottom w:val="none" w:sz="0" w:space="0" w:color="auto"/>
                <w:right w:val="none" w:sz="0" w:space="0" w:color="auto"/>
              </w:divBdr>
              <w:divsChild>
                <w:div w:id="823546547">
                  <w:marLeft w:val="0"/>
                  <w:marRight w:val="0"/>
                  <w:marTop w:val="0"/>
                  <w:marBottom w:val="0"/>
                  <w:divBdr>
                    <w:top w:val="none" w:sz="0" w:space="0" w:color="auto"/>
                    <w:left w:val="none" w:sz="0" w:space="0" w:color="auto"/>
                    <w:bottom w:val="none" w:sz="0" w:space="0" w:color="auto"/>
                    <w:right w:val="none" w:sz="0" w:space="0" w:color="auto"/>
                  </w:divBdr>
                  <w:divsChild>
                    <w:div w:id="6537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2428">
          <w:marLeft w:val="0"/>
          <w:marRight w:val="0"/>
          <w:marTop w:val="0"/>
          <w:marBottom w:val="0"/>
          <w:divBdr>
            <w:top w:val="none" w:sz="0" w:space="0" w:color="auto"/>
            <w:left w:val="none" w:sz="0" w:space="0" w:color="auto"/>
            <w:bottom w:val="none" w:sz="0" w:space="0" w:color="auto"/>
            <w:right w:val="none" w:sz="0" w:space="0" w:color="auto"/>
          </w:divBdr>
          <w:divsChild>
            <w:div w:id="705443647">
              <w:marLeft w:val="0"/>
              <w:marRight w:val="0"/>
              <w:marTop w:val="0"/>
              <w:marBottom w:val="0"/>
              <w:divBdr>
                <w:top w:val="none" w:sz="0" w:space="0" w:color="auto"/>
                <w:left w:val="none" w:sz="0" w:space="0" w:color="auto"/>
                <w:bottom w:val="none" w:sz="0" w:space="0" w:color="auto"/>
                <w:right w:val="none" w:sz="0" w:space="0" w:color="auto"/>
              </w:divBdr>
              <w:divsChild>
                <w:div w:id="1203524">
                  <w:marLeft w:val="0"/>
                  <w:marRight w:val="0"/>
                  <w:marTop w:val="0"/>
                  <w:marBottom w:val="0"/>
                  <w:divBdr>
                    <w:top w:val="none" w:sz="0" w:space="0" w:color="auto"/>
                    <w:left w:val="none" w:sz="0" w:space="0" w:color="auto"/>
                    <w:bottom w:val="none" w:sz="0" w:space="0" w:color="auto"/>
                    <w:right w:val="none" w:sz="0" w:space="0" w:color="auto"/>
                  </w:divBdr>
                  <w:divsChild>
                    <w:div w:id="8665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91852">
      <w:bodyDiv w:val="1"/>
      <w:marLeft w:val="0"/>
      <w:marRight w:val="0"/>
      <w:marTop w:val="0"/>
      <w:marBottom w:val="0"/>
      <w:divBdr>
        <w:top w:val="none" w:sz="0" w:space="0" w:color="auto"/>
        <w:left w:val="none" w:sz="0" w:space="0" w:color="auto"/>
        <w:bottom w:val="none" w:sz="0" w:space="0" w:color="auto"/>
        <w:right w:val="none" w:sz="0" w:space="0" w:color="auto"/>
      </w:divBdr>
    </w:div>
    <w:div w:id="1507399813">
      <w:bodyDiv w:val="1"/>
      <w:marLeft w:val="0"/>
      <w:marRight w:val="0"/>
      <w:marTop w:val="0"/>
      <w:marBottom w:val="0"/>
      <w:divBdr>
        <w:top w:val="none" w:sz="0" w:space="0" w:color="auto"/>
        <w:left w:val="none" w:sz="0" w:space="0" w:color="auto"/>
        <w:bottom w:val="none" w:sz="0" w:space="0" w:color="auto"/>
        <w:right w:val="none" w:sz="0" w:space="0" w:color="auto"/>
      </w:divBdr>
    </w:div>
    <w:div w:id="1508710414">
      <w:bodyDiv w:val="1"/>
      <w:marLeft w:val="0"/>
      <w:marRight w:val="0"/>
      <w:marTop w:val="0"/>
      <w:marBottom w:val="0"/>
      <w:divBdr>
        <w:top w:val="none" w:sz="0" w:space="0" w:color="auto"/>
        <w:left w:val="none" w:sz="0" w:space="0" w:color="auto"/>
        <w:bottom w:val="none" w:sz="0" w:space="0" w:color="auto"/>
        <w:right w:val="none" w:sz="0" w:space="0" w:color="auto"/>
      </w:divBdr>
    </w:div>
    <w:div w:id="1527207385">
      <w:bodyDiv w:val="1"/>
      <w:marLeft w:val="0"/>
      <w:marRight w:val="0"/>
      <w:marTop w:val="0"/>
      <w:marBottom w:val="0"/>
      <w:divBdr>
        <w:top w:val="none" w:sz="0" w:space="0" w:color="auto"/>
        <w:left w:val="none" w:sz="0" w:space="0" w:color="auto"/>
        <w:bottom w:val="none" w:sz="0" w:space="0" w:color="auto"/>
        <w:right w:val="none" w:sz="0" w:space="0" w:color="auto"/>
      </w:divBdr>
    </w:div>
    <w:div w:id="1532720696">
      <w:bodyDiv w:val="1"/>
      <w:marLeft w:val="0"/>
      <w:marRight w:val="0"/>
      <w:marTop w:val="0"/>
      <w:marBottom w:val="0"/>
      <w:divBdr>
        <w:top w:val="none" w:sz="0" w:space="0" w:color="auto"/>
        <w:left w:val="none" w:sz="0" w:space="0" w:color="auto"/>
        <w:bottom w:val="none" w:sz="0" w:space="0" w:color="auto"/>
        <w:right w:val="none" w:sz="0" w:space="0" w:color="auto"/>
      </w:divBdr>
    </w:div>
    <w:div w:id="1541940667">
      <w:bodyDiv w:val="1"/>
      <w:marLeft w:val="0"/>
      <w:marRight w:val="0"/>
      <w:marTop w:val="0"/>
      <w:marBottom w:val="0"/>
      <w:divBdr>
        <w:top w:val="none" w:sz="0" w:space="0" w:color="auto"/>
        <w:left w:val="none" w:sz="0" w:space="0" w:color="auto"/>
        <w:bottom w:val="none" w:sz="0" w:space="0" w:color="auto"/>
        <w:right w:val="none" w:sz="0" w:space="0" w:color="auto"/>
      </w:divBdr>
    </w:div>
    <w:div w:id="1544709480">
      <w:bodyDiv w:val="1"/>
      <w:marLeft w:val="0"/>
      <w:marRight w:val="0"/>
      <w:marTop w:val="0"/>
      <w:marBottom w:val="0"/>
      <w:divBdr>
        <w:top w:val="none" w:sz="0" w:space="0" w:color="auto"/>
        <w:left w:val="none" w:sz="0" w:space="0" w:color="auto"/>
        <w:bottom w:val="none" w:sz="0" w:space="0" w:color="auto"/>
        <w:right w:val="none" w:sz="0" w:space="0" w:color="auto"/>
      </w:divBdr>
    </w:div>
    <w:div w:id="1546680125">
      <w:bodyDiv w:val="1"/>
      <w:marLeft w:val="0"/>
      <w:marRight w:val="0"/>
      <w:marTop w:val="0"/>
      <w:marBottom w:val="0"/>
      <w:divBdr>
        <w:top w:val="none" w:sz="0" w:space="0" w:color="auto"/>
        <w:left w:val="none" w:sz="0" w:space="0" w:color="auto"/>
        <w:bottom w:val="none" w:sz="0" w:space="0" w:color="auto"/>
        <w:right w:val="none" w:sz="0" w:space="0" w:color="auto"/>
      </w:divBdr>
    </w:div>
    <w:div w:id="1556695922">
      <w:bodyDiv w:val="1"/>
      <w:marLeft w:val="0"/>
      <w:marRight w:val="0"/>
      <w:marTop w:val="0"/>
      <w:marBottom w:val="0"/>
      <w:divBdr>
        <w:top w:val="none" w:sz="0" w:space="0" w:color="auto"/>
        <w:left w:val="none" w:sz="0" w:space="0" w:color="auto"/>
        <w:bottom w:val="none" w:sz="0" w:space="0" w:color="auto"/>
        <w:right w:val="none" w:sz="0" w:space="0" w:color="auto"/>
      </w:divBdr>
    </w:div>
    <w:div w:id="1562864823">
      <w:bodyDiv w:val="1"/>
      <w:marLeft w:val="0"/>
      <w:marRight w:val="0"/>
      <w:marTop w:val="0"/>
      <w:marBottom w:val="0"/>
      <w:divBdr>
        <w:top w:val="none" w:sz="0" w:space="0" w:color="auto"/>
        <w:left w:val="none" w:sz="0" w:space="0" w:color="auto"/>
        <w:bottom w:val="none" w:sz="0" w:space="0" w:color="auto"/>
        <w:right w:val="none" w:sz="0" w:space="0" w:color="auto"/>
      </w:divBdr>
    </w:div>
    <w:div w:id="1565792521">
      <w:bodyDiv w:val="1"/>
      <w:marLeft w:val="0"/>
      <w:marRight w:val="0"/>
      <w:marTop w:val="0"/>
      <w:marBottom w:val="0"/>
      <w:divBdr>
        <w:top w:val="none" w:sz="0" w:space="0" w:color="auto"/>
        <w:left w:val="none" w:sz="0" w:space="0" w:color="auto"/>
        <w:bottom w:val="none" w:sz="0" w:space="0" w:color="auto"/>
        <w:right w:val="none" w:sz="0" w:space="0" w:color="auto"/>
      </w:divBdr>
    </w:div>
    <w:div w:id="1569070488">
      <w:bodyDiv w:val="1"/>
      <w:marLeft w:val="0"/>
      <w:marRight w:val="0"/>
      <w:marTop w:val="0"/>
      <w:marBottom w:val="0"/>
      <w:divBdr>
        <w:top w:val="none" w:sz="0" w:space="0" w:color="auto"/>
        <w:left w:val="none" w:sz="0" w:space="0" w:color="auto"/>
        <w:bottom w:val="none" w:sz="0" w:space="0" w:color="auto"/>
        <w:right w:val="none" w:sz="0" w:space="0" w:color="auto"/>
      </w:divBdr>
    </w:div>
    <w:div w:id="1573202644">
      <w:bodyDiv w:val="1"/>
      <w:marLeft w:val="0"/>
      <w:marRight w:val="0"/>
      <w:marTop w:val="0"/>
      <w:marBottom w:val="0"/>
      <w:divBdr>
        <w:top w:val="none" w:sz="0" w:space="0" w:color="auto"/>
        <w:left w:val="none" w:sz="0" w:space="0" w:color="auto"/>
        <w:bottom w:val="none" w:sz="0" w:space="0" w:color="auto"/>
        <w:right w:val="none" w:sz="0" w:space="0" w:color="auto"/>
      </w:divBdr>
    </w:div>
    <w:div w:id="1575822020">
      <w:bodyDiv w:val="1"/>
      <w:marLeft w:val="0"/>
      <w:marRight w:val="0"/>
      <w:marTop w:val="0"/>
      <w:marBottom w:val="0"/>
      <w:divBdr>
        <w:top w:val="none" w:sz="0" w:space="0" w:color="auto"/>
        <w:left w:val="none" w:sz="0" w:space="0" w:color="auto"/>
        <w:bottom w:val="none" w:sz="0" w:space="0" w:color="auto"/>
        <w:right w:val="none" w:sz="0" w:space="0" w:color="auto"/>
      </w:divBdr>
      <w:divsChild>
        <w:div w:id="1808162669">
          <w:marLeft w:val="0"/>
          <w:marRight w:val="0"/>
          <w:marTop w:val="0"/>
          <w:marBottom w:val="0"/>
          <w:divBdr>
            <w:top w:val="none" w:sz="0" w:space="0" w:color="auto"/>
            <w:left w:val="none" w:sz="0" w:space="0" w:color="auto"/>
            <w:bottom w:val="none" w:sz="0" w:space="0" w:color="auto"/>
            <w:right w:val="none" w:sz="0" w:space="0" w:color="auto"/>
          </w:divBdr>
          <w:divsChild>
            <w:div w:id="1931893546">
              <w:marLeft w:val="0"/>
              <w:marRight w:val="0"/>
              <w:marTop w:val="0"/>
              <w:marBottom w:val="0"/>
              <w:divBdr>
                <w:top w:val="none" w:sz="0" w:space="0" w:color="auto"/>
                <w:left w:val="none" w:sz="0" w:space="0" w:color="auto"/>
                <w:bottom w:val="none" w:sz="0" w:space="0" w:color="auto"/>
                <w:right w:val="none" w:sz="0" w:space="0" w:color="auto"/>
              </w:divBdr>
              <w:divsChild>
                <w:div w:id="1584950036">
                  <w:marLeft w:val="0"/>
                  <w:marRight w:val="0"/>
                  <w:marTop w:val="0"/>
                  <w:marBottom w:val="0"/>
                  <w:divBdr>
                    <w:top w:val="none" w:sz="0" w:space="0" w:color="auto"/>
                    <w:left w:val="none" w:sz="0" w:space="0" w:color="auto"/>
                    <w:bottom w:val="none" w:sz="0" w:space="0" w:color="auto"/>
                    <w:right w:val="none" w:sz="0" w:space="0" w:color="auto"/>
                  </w:divBdr>
                  <w:divsChild>
                    <w:div w:id="34840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18357">
          <w:marLeft w:val="0"/>
          <w:marRight w:val="0"/>
          <w:marTop w:val="0"/>
          <w:marBottom w:val="0"/>
          <w:divBdr>
            <w:top w:val="none" w:sz="0" w:space="0" w:color="auto"/>
            <w:left w:val="none" w:sz="0" w:space="0" w:color="auto"/>
            <w:bottom w:val="none" w:sz="0" w:space="0" w:color="auto"/>
            <w:right w:val="none" w:sz="0" w:space="0" w:color="auto"/>
          </w:divBdr>
          <w:divsChild>
            <w:div w:id="1923247691">
              <w:marLeft w:val="0"/>
              <w:marRight w:val="0"/>
              <w:marTop w:val="0"/>
              <w:marBottom w:val="0"/>
              <w:divBdr>
                <w:top w:val="none" w:sz="0" w:space="0" w:color="auto"/>
                <w:left w:val="none" w:sz="0" w:space="0" w:color="auto"/>
                <w:bottom w:val="none" w:sz="0" w:space="0" w:color="auto"/>
                <w:right w:val="none" w:sz="0" w:space="0" w:color="auto"/>
              </w:divBdr>
              <w:divsChild>
                <w:div w:id="1451628659">
                  <w:marLeft w:val="0"/>
                  <w:marRight w:val="0"/>
                  <w:marTop w:val="0"/>
                  <w:marBottom w:val="0"/>
                  <w:divBdr>
                    <w:top w:val="none" w:sz="0" w:space="0" w:color="auto"/>
                    <w:left w:val="none" w:sz="0" w:space="0" w:color="auto"/>
                    <w:bottom w:val="none" w:sz="0" w:space="0" w:color="auto"/>
                    <w:right w:val="none" w:sz="0" w:space="0" w:color="auto"/>
                  </w:divBdr>
                  <w:divsChild>
                    <w:div w:id="20579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697341">
      <w:bodyDiv w:val="1"/>
      <w:marLeft w:val="0"/>
      <w:marRight w:val="0"/>
      <w:marTop w:val="0"/>
      <w:marBottom w:val="0"/>
      <w:divBdr>
        <w:top w:val="none" w:sz="0" w:space="0" w:color="auto"/>
        <w:left w:val="none" w:sz="0" w:space="0" w:color="auto"/>
        <w:bottom w:val="none" w:sz="0" w:space="0" w:color="auto"/>
        <w:right w:val="none" w:sz="0" w:space="0" w:color="auto"/>
      </w:divBdr>
    </w:div>
    <w:div w:id="1593127564">
      <w:bodyDiv w:val="1"/>
      <w:marLeft w:val="0"/>
      <w:marRight w:val="0"/>
      <w:marTop w:val="0"/>
      <w:marBottom w:val="0"/>
      <w:divBdr>
        <w:top w:val="none" w:sz="0" w:space="0" w:color="auto"/>
        <w:left w:val="none" w:sz="0" w:space="0" w:color="auto"/>
        <w:bottom w:val="none" w:sz="0" w:space="0" w:color="auto"/>
        <w:right w:val="none" w:sz="0" w:space="0" w:color="auto"/>
      </w:divBdr>
    </w:div>
    <w:div w:id="1593662280">
      <w:bodyDiv w:val="1"/>
      <w:marLeft w:val="0"/>
      <w:marRight w:val="0"/>
      <w:marTop w:val="0"/>
      <w:marBottom w:val="0"/>
      <w:divBdr>
        <w:top w:val="none" w:sz="0" w:space="0" w:color="auto"/>
        <w:left w:val="none" w:sz="0" w:space="0" w:color="auto"/>
        <w:bottom w:val="none" w:sz="0" w:space="0" w:color="auto"/>
        <w:right w:val="none" w:sz="0" w:space="0" w:color="auto"/>
      </w:divBdr>
    </w:div>
    <w:div w:id="1598170485">
      <w:bodyDiv w:val="1"/>
      <w:marLeft w:val="0"/>
      <w:marRight w:val="0"/>
      <w:marTop w:val="0"/>
      <w:marBottom w:val="0"/>
      <w:divBdr>
        <w:top w:val="none" w:sz="0" w:space="0" w:color="auto"/>
        <w:left w:val="none" w:sz="0" w:space="0" w:color="auto"/>
        <w:bottom w:val="none" w:sz="0" w:space="0" w:color="auto"/>
        <w:right w:val="none" w:sz="0" w:space="0" w:color="auto"/>
      </w:divBdr>
    </w:div>
    <w:div w:id="1632128510">
      <w:bodyDiv w:val="1"/>
      <w:marLeft w:val="0"/>
      <w:marRight w:val="0"/>
      <w:marTop w:val="0"/>
      <w:marBottom w:val="0"/>
      <w:divBdr>
        <w:top w:val="none" w:sz="0" w:space="0" w:color="auto"/>
        <w:left w:val="none" w:sz="0" w:space="0" w:color="auto"/>
        <w:bottom w:val="none" w:sz="0" w:space="0" w:color="auto"/>
        <w:right w:val="none" w:sz="0" w:space="0" w:color="auto"/>
      </w:divBdr>
    </w:div>
    <w:div w:id="1650552058">
      <w:bodyDiv w:val="1"/>
      <w:marLeft w:val="0"/>
      <w:marRight w:val="0"/>
      <w:marTop w:val="0"/>
      <w:marBottom w:val="0"/>
      <w:divBdr>
        <w:top w:val="none" w:sz="0" w:space="0" w:color="auto"/>
        <w:left w:val="none" w:sz="0" w:space="0" w:color="auto"/>
        <w:bottom w:val="none" w:sz="0" w:space="0" w:color="auto"/>
        <w:right w:val="none" w:sz="0" w:space="0" w:color="auto"/>
      </w:divBdr>
    </w:div>
    <w:div w:id="1652560433">
      <w:bodyDiv w:val="1"/>
      <w:marLeft w:val="0"/>
      <w:marRight w:val="0"/>
      <w:marTop w:val="0"/>
      <w:marBottom w:val="0"/>
      <w:divBdr>
        <w:top w:val="none" w:sz="0" w:space="0" w:color="auto"/>
        <w:left w:val="none" w:sz="0" w:space="0" w:color="auto"/>
        <w:bottom w:val="none" w:sz="0" w:space="0" w:color="auto"/>
        <w:right w:val="none" w:sz="0" w:space="0" w:color="auto"/>
      </w:divBdr>
      <w:divsChild>
        <w:div w:id="2146389113">
          <w:marLeft w:val="0"/>
          <w:marRight w:val="0"/>
          <w:marTop w:val="100"/>
          <w:marBottom w:val="100"/>
          <w:divBdr>
            <w:top w:val="none" w:sz="0" w:space="0" w:color="auto"/>
            <w:left w:val="none" w:sz="0" w:space="0" w:color="auto"/>
            <w:bottom w:val="none" w:sz="0" w:space="0" w:color="auto"/>
            <w:right w:val="none" w:sz="0" w:space="0" w:color="auto"/>
          </w:divBdr>
          <w:divsChild>
            <w:div w:id="1705671739">
              <w:marLeft w:val="0"/>
              <w:marRight w:val="0"/>
              <w:marTop w:val="0"/>
              <w:marBottom w:val="0"/>
              <w:divBdr>
                <w:top w:val="none" w:sz="0" w:space="0" w:color="auto"/>
                <w:left w:val="none" w:sz="0" w:space="0" w:color="auto"/>
                <w:bottom w:val="none" w:sz="0" w:space="0" w:color="auto"/>
                <w:right w:val="none" w:sz="0" w:space="0" w:color="auto"/>
              </w:divBdr>
              <w:divsChild>
                <w:div w:id="342898254">
                  <w:marLeft w:val="0"/>
                  <w:marRight w:val="0"/>
                  <w:marTop w:val="0"/>
                  <w:marBottom w:val="0"/>
                  <w:divBdr>
                    <w:top w:val="none" w:sz="0" w:space="0" w:color="auto"/>
                    <w:left w:val="none" w:sz="0" w:space="0" w:color="auto"/>
                    <w:bottom w:val="none" w:sz="0" w:space="0" w:color="auto"/>
                    <w:right w:val="none" w:sz="0" w:space="0" w:color="auto"/>
                  </w:divBdr>
                  <w:divsChild>
                    <w:div w:id="1419130794">
                      <w:marLeft w:val="0"/>
                      <w:marRight w:val="0"/>
                      <w:marTop w:val="100"/>
                      <w:marBottom w:val="100"/>
                      <w:divBdr>
                        <w:top w:val="none" w:sz="0" w:space="0" w:color="auto"/>
                        <w:left w:val="none" w:sz="0" w:space="0" w:color="auto"/>
                        <w:bottom w:val="none" w:sz="0" w:space="0" w:color="auto"/>
                        <w:right w:val="none" w:sz="0" w:space="0" w:color="auto"/>
                      </w:divBdr>
                      <w:divsChild>
                        <w:div w:id="759106673">
                          <w:marLeft w:val="0"/>
                          <w:marRight w:val="-14400"/>
                          <w:marTop w:val="0"/>
                          <w:marBottom w:val="0"/>
                          <w:divBdr>
                            <w:top w:val="none" w:sz="0" w:space="0" w:color="auto"/>
                            <w:left w:val="none" w:sz="0" w:space="0" w:color="auto"/>
                            <w:bottom w:val="none" w:sz="0" w:space="0" w:color="auto"/>
                            <w:right w:val="none" w:sz="0" w:space="0" w:color="auto"/>
                          </w:divBdr>
                          <w:divsChild>
                            <w:div w:id="258026206">
                              <w:marLeft w:val="0"/>
                              <w:marRight w:val="0"/>
                              <w:marTop w:val="0"/>
                              <w:marBottom w:val="0"/>
                              <w:divBdr>
                                <w:top w:val="none" w:sz="0" w:space="0" w:color="auto"/>
                                <w:left w:val="none" w:sz="0" w:space="0" w:color="auto"/>
                                <w:bottom w:val="none" w:sz="0" w:space="0" w:color="auto"/>
                                <w:right w:val="none" w:sz="0" w:space="0" w:color="auto"/>
                              </w:divBdr>
                              <w:divsChild>
                                <w:div w:id="1613588995">
                                  <w:marLeft w:val="0"/>
                                  <w:marRight w:val="0"/>
                                  <w:marTop w:val="0"/>
                                  <w:marBottom w:val="0"/>
                                  <w:divBdr>
                                    <w:top w:val="none" w:sz="0" w:space="0" w:color="auto"/>
                                    <w:left w:val="none" w:sz="0" w:space="0" w:color="auto"/>
                                    <w:bottom w:val="none" w:sz="0" w:space="0" w:color="auto"/>
                                    <w:right w:val="none" w:sz="0" w:space="0" w:color="auto"/>
                                  </w:divBdr>
                                  <w:divsChild>
                                    <w:div w:id="2122649937">
                                      <w:marLeft w:val="150"/>
                                      <w:marRight w:val="150"/>
                                      <w:marTop w:val="0"/>
                                      <w:marBottom w:val="0"/>
                                      <w:divBdr>
                                        <w:top w:val="none" w:sz="0" w:space="0" w:color="auto"/>
                                        <w:left w:val="none" w:sz="0" w:space="0" w:color="auto"/>
                                        <w:bottom w:val="none" w:sz="0" w:space="0" w:color="auto"/>
                                        <w:right w:val="none" w:sz="0" w:space="0" w:color="auto"/>
                                      </w:divBdr>
                                      <w:divsChild>
                                        <w:div w:id="671571731">
                                          <w:marLeft w:val="0"/>
                                          <w:marRight w:val="0"/>
                                          <w:marTop w:val="0"/>
                                          <w:marBottom w:val="0"/>
                                          <w:divBdr>
                                            <w:top w:val="none" w:sz="0" w:space="0" w:color="auto"/>
                                            <w:left w:val="none" w:sz="0" w:space="0" w:color="auto"/>
                                            <w:bottom w:val="none" w:sz="0" w:space="0" w:color="auto"/>
                                            <w:right w:val="none" w:sz="0" w:space="0" w:color="auto"/>
                                          </w:divBdr>
                                          <w:divsChild>
                                            <w:div w:id="8732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4139216">
      <w:bodyDiv w:val="1"/>
      <w:marLeft w:val="0"/>
      <w:marRight w:val="0"/>
      <w:marTop w:val="0"/>
      <w:marBottom w:val="0"/>
      <w:divBdr>
        <w:top w:val="none" w:sz="0" w:space="0" w:color="auto"/>
        <w:left w:val="none" w:sz="0" w:space="0" w:color="auto"/>
        <w:bottom w:val="none" w:sz="0" w:space="0" w:color="auto"/>
        <w:right w:val="none" w:sz="0" w:space="0" w:color="auto"/>
      </w:divBdr>
    </w:div>
    <w:div w:id="1685739442">
      <w:bodyDiv w:val="1"/>
      <w:marLeft w:val="0"/>
      <w:marRight w:val="0"/>
      <w:marTop w:val="0"/>
      <w:marBottom w:val="0"/>
      <w:divBdr>
        <w:top w:val="none" w:sz="0" w:space="0" w:color="auto"/>
        <w:left w:val="none" w:sz="0" w:space="0" w:color="auto"/>
        <w:bottom w:val="none" w:sz="0" w:space="0" w:color="auto"/>
        <w:right w:val="none" w:sz="0" w:space="0" w:color="auto"/>
      </w:divBdr>
      <w:divsChild>
        <w:div w:id="65078725">
          <w:marLeft w:val="288"/>
          <w:marRight w:val="0"/>
          <w:marTop w:val="120"/>
          <w:marBottom w:val="0"/>
          <w:divBdr>
            <w:top w:val="none" w:sz="0" w:space="0" w:color="auto"/>
            <w:left w:val="none" w:sz="0" w:space="0" w:color="auto"/>
            <w:bottom w:val="none" w:sz="0" w:space="0" w:color="auto"/>
            <w:right w:val="none" w:sz="0" w:space="0" w:color="auto"/>
          </w:divBdr>
        </w:div>
        <w:div w:id="235632471">
          <w:marLeft w:val="619"/>
          <w:marRight w:val="0"/>
          <w:marTop w:val="120"/>
          <w:marBottom w:val="0"/>
          <w:divBdr>
            <w:top w:val="none" w:sz="0" w:space="0" w:color="auto"/>
            <w:left w:val="none" w:sz="0" w:space="0" w:color="auto"/>
            <w:bottom w:val="none" w:sz="0" w:space="0" w:color="auto"/>
            <w:right w:val="none" w:sz="0" w:space="0" w:color="auto"/>
          </w:divBdr>
        </w:div>
        <w:div w:id="275599953">
          <w:marLeft w:val="619"/>
          <w:marRight w:val="0"/>
          <w:marTop w:val="120"/>
          <w:marBottom w:val="0"/>
          <w:divBdr>
            <w:top w:val="none" w:sz="0" w:space="0" w:color="auto"/>
            <w:left w:val="none" w:sz="0" w:space="0" w:color="auto"/>
            <w:bottom w:val="none" w:sz="0" w:space="0" w:color="auto"/>
            <w:right w:val="none" w:sz="0" w:space="0" w:color="auto"/>
          </w:divBdr>
        </w:div>
        <w:div w:id="502400840">
          <w:marLeft w:val="619"/>
          <w:marRight w:val="0"/>
          <w:marTop w:val="120"/>
          <w:marBottom w:val="0"/>
          <w:divBdr>
            <w:top w:val="none" w:sz="0" w:space="0" w:color="auto"/>
            <w:left w:val="none" w:sz="0" w:space="0" w:color="auto"/>
            <w:bottom w:val="none" w:sz="0" w:space="0" w:color="auto"/>
            <w:right w:val="none" w:sz="0" w:space="0" w:color="auto"/>
          </w:divBdr>
        </w:div>
        <w:div w:id="517349275">
          <w:marLeft w:val="619"/>
          <w:marRight w:val="0"/>
          <w:marTop w:val="120"/>
          <w:marBottom w:val="0"/>
          <w:divBdr>
            <w:top w:val="none" w:sz="0" w:space="0" w:color="auto"/>
            <w:left w:val="none" w:sz="0" w:space="0" w:color="auto"/>
            <w:bottom w:val="none" w:sz="0" w:space="0" w:color="auto"/>
            <w:right w:val="none" w:sz="0" w:space="0" w:color="auto"/>
          </w:divBdr>
        </w:div>
        <w:div w:id="605623706">
          <w:marLeft w:val="619"/>
          <w:marRight w:val="0"/>
          <w:marTop w:val="120"/>
          <w:marBottom w:val="0"/>
          <w:divBdr>
            <w:top w:val="none" w:sz="0" w:space="0" w:color="auto"/>
            <w:left w:val="none" w:sz="0" w:space="0" w:color="auto"/>
            <w:bottom w:val="none" w:sz="0" w:space="0" w:color="auto"/>
            <w:right w:val="none" w:sz="0" w:space="0" w:color="auto"/>
          </w:divBdr>
        </w:div>
        <w:div w:id="1109466057">
          <w:marLeft w:val="288"/>
          <w:marRight w:val="0"/>
          <w:marTop w:val="120"/>
          <w:marBottom w:val="0"/>
          <w:divBdr>
            <w:top w:val="none" w:sz="0" w:space="0" w:color="auto"/>
            <w:left w:val="none" w:sz="0" w:space="0" w:color="auto"/>
            <w:bottom w:val="none" w:sz="0" w:space="0" w:color="auto"/>
            <w:right w:val="none" w:sz="0" w:space="0" w:color="auto"/>
          </w:divBdr>
        </w:div>
        <w:div w:id="1174880410">
          <w:marLeft w:val="288"/>
          <w:marRight w:val="0"/>
          <w:marTop w:val="120"/>
          <w:marBottom w:val="0"/>
          <w:divBdr>
            <w:top w:val="none" w:sz="0" w:space="0" w:color="auto"/>
            <w:left w:val="none" w:sz="0" w:space="0" w:color="auto"/>
            <w:bottom w:val="none" w:sz="0" w:space="0" w:color="auto"/>
            <w:right w:val="none" w:sz="0" w:space="0" w:color="auto"/>
          </w:divBdr>
        </w:div>
        <w:div w:id="1293290657">
          <w:marLeft w:val="619"/>
          <w:marRight w:val="0"/>
          <w:marTop w:val="120"/>
          <w:marBottom w:val="0"/>
          <w:divBdr>
            <w:top w:val="none" w:sz="0" w:space="0" w:color="auto"/>
            <w:left w:val="none" w:sz="0" w:space="0" w:color="auto"/>
            <w:bottom w:val="none" w:sz="0" w:space="0" w:color="auto"/>
            <w:right w:val="none" w:sz="0" w:space="0" w:color="auto"/>
          </w:divBdr>
        </w:div>
        <w:div w:id="1492718495">
          <w:marLeft w:val="619"/>
          <w:marRight w:val="0"/>
          <w:marTop w:val="120"/>
          <w:marBottom w:val="0"/>
          <w:divBdr>
            <w:top w:val="none" w:sz="0" w:space="0" w:color="auto"/>
            <w:left w:val="none" w:sz="0" w:space="0" w:color="auto"/>
            <w:bottom w:val="none" w:sz="0" w:space="0" w:color="auto"/>
            <w:right w:val="none" w:sz="0" w:space="0" w:color="auto"/>
          </w:divBdr>
        </w:div>
        <w:div w:id="1576815871">
          <w:marLeft w:val="288"/>
          <w:marRight w:val="0"/>
          <w:marTop w:val="120"/>
          <w:marBottom w:val="0"/>
          <w:divBdr>
            <w:top w:val="none" w:sz="0" w:space="0" w:color="auto"/>
            <w:left w:val="none" w:sz="0" w:space="0" w:color="auto"/>
            <w:bottom w:val="none" w:sz="0" w:space="0" w:color="auto"/>
            <w:right w:val="none" w:sz="0" w:space="0" w:color="auto"/>
          </w:divBdr>
        </w:div>
        <w:div w:id="1987467618">
          <w:marLeft w:val="288"/>
          <w:marRight w:val="0"/>
          <w:marTop w:val="120"/>
          <w:marBottom w:val="0"/>
          <w:divBdr>
            <w:top w:val="none" w:sz="0" w:space="0" w:color="auto"/>
            <w:left w:val="none" w:sz="0" w:space="0" w:color="auto"/>
            <w:bottom w:val="none" w:sz="0" w:space="0" w:color="auto"/>
            <w:right w:val="none" w:sz="0" w:space="0" w:color="auto"/>
          </w:divBdr>
        </w:div>
      </w:divsChild>
    </w:div>
    <w:div w:id="1685786476">
      <w:bodyDiv w:val="1"/>
      <w:marLeft w:val="0"/>
      <w:marRight w:val="0"/>
      <w:marTop w:val="0"/>
      <w:marBottom w:val="0"/>
      <w:divBdr>
        <w:top w:val="none" w:sz="0" w:space="0" w:color="auto"/>
        <w:left w:val="none" w:sz="0" w:space="0" w:color="auto"/>
        <w:bottom w:val="none" w:sz="0" w:space="0" w:color="auto"/>
        <w:right w:val="none" w:sz="0" w:space="0" w:color="auto"/>
      </w:divBdr>
    </w:div>
    <w:div w:id="1690182180">
      <w:bodyDiv w:val="1"/>
      <w:marLeft w:val="0"/>
      <w:marRight w:val="0"/>
      <w:marTop w:val="0"/>
      <w:marBottom w:val="0"/>
      <w:divBdr>
        <w:top w:val="none" w:sz="0" w:space="0" w:color="auto"/>
        <w:left w:val="none" w:sz="0" w:space="0" w:color="auto"/>
        <w:bottom w:val="none" w:sz="0" w:space="0" w:color="auto"/>
        <w:right w:val="none" w:sz="0" w:space="0" w:color="auto"/>
      </w:divBdr>
    </w:div>
    <w:div w:id="1693993103">
      <w:bodyDiv w:val="1"/>
      <w:marLeft w:val="0"/>
      <w:marRight w:val="0"/>
      <w:marTop w:val="0"/>
      <w:marBottom w:val="0"/>
      <w:divBdr>
        <w:top w:val="none" w:sz="0" w:space="0" w:color="auto"/>
        <w:left w:val="none" w:sz="0" w:space="0" w:color="auto"/>
        <w:bottom w:val="none" w:sz="0" w:space="0" w:color="auto"/>
        <w:right w:val="none" w:sz="0" w:space="0" w:color="auto"/>
      </w:divBdr>
    </w:div>
    <w:div w:id="1695573399">
      <w:bodyDiv w:val="1"/>
      <w:marLeft w:val="0"/>
      <w:marRight w:val="0"/>
      <w:marTop w:val="0"/>
      <w:marBottom w:val="0"/>
      <w:divBdr>
        <w:top w:val="none" w:sz="0" w:space="0" w:color="auto"/>
        <w:left w:val="none" w:sz="0" w:space="0" w:color="auto"/>
        <w:bottom w:val="none" w:sz="0" w:space="0" w:color="auto"/>
        <w:right w:val="none" w:sz="0" w:space="0" w:color="auto"/>
      </w:divBdr>
    </w:div>
    <w:div w:id="1695576103">
      <w:bodyDiv w:val="1"/>
      <w:marLeft w:val="0"/>
      <w:marRight w:val="0"/>
      <w:marTop w:val="0"/>
      <w:marBottom w:val="0"/>
      <w:divBdr>
        <w:top w:val="none" w:sz="0" w:space="0" w:color="auto"/>
        <w:left w:val="none" w:sz="0" w:space="0" w:color="auto"/>
        <w:bottom w:val="none" w:sz="0" w:space="0" w:color="auto"/>
        <w:right w:val="none" w:sz="0" w:space="0" w:color="auto"/>
      </w:divBdr>
    </w:div>
    <w:div w:id="1696613020">
      <w:bodyDiv w:val="1"/>
      <w:marLeft w:val="0"/>
      <w:marRight w:val="0"/>
      <w:marTop w:val="0"/>
      <w:marBottom w:val="0"/>
      <w:divBdr>
        <w:top w:val="none" w:sz="0" w:space="0" w:color="auto"/>
        <w:left w:val="none" w:sz="0" w:space="0" w:color="auto"/>
        <w:bottom w:val="none" w:sz="0" w:space="0" w:color="auto"/>
        <w:right w:val="none" w:sz="0" w:space="0" w:color="auto"/>
      </w:divBdr>
    </w:div>
    <w:div w:id="1699771497">
      <w:bodyDiv w:val="1"/>
      <w:marLeft w:val="0"/>
      <w:marRight w:val="0"/>
      <w:marTop w:val="0"/>
      <w:marBottom w:val="0"/>
      <w:divBdr>
        <w:top w:val="none" w:sz="0" w:space="0" w:color="auto"/>
        <w:left w:val="none" w:sz="0" w:space="0" w:color="auto"/>
        <w:bottom w:val="none" w:sz="0" w:space="0" w:color="auto"/>
        <w:right w:val="none" w:sz="0" w:space="0" w:color="auto"/>
      </w:divBdr>
    </w:div>
    <w:div w:id="1703093082">
      <w:bodyDiv w:val="1"/>
      <w:marLeft w:val="0"/>
      <w:marRight w:val="0"/>
      <w:marTop w:val="0"/>
      <w:marBottom w:val="0"/>
      <w:divBdr>
        <w:top w:val="none" w:sz="0" w:space="0" w:color="auto"/>
        <w:left w:val="none" w:sz="0" w:space="0" w:color="auto"/>
        <w:bottom w:val="none" w:sz="0" w:space="0" w:color="auto"/>
        <w:right w:val="none" w:sz="0" w:space="0" w:color="auto"/>
      </w:divBdr>
    </w:div>
    <w:div w:id="1703628300">
      <w:bodyDiv w:val="1"/>
      <w:marLeft w:val="0"/>
      <w:marRight w:val="0"/>
      <w:marTop w:val="0"/>
      <w:marBottom w:val="0"/>
      <w:divBdr>
        <w:top w:val="none" w:sz="0" w:space="0" w:color="auto"/>
        <w:left w:val="none" w:sz="0" w:space="0" w:color="auto"/>
        <w:bottom w:val="none" w:sz="0" w:space="0" w:color="auto"/>
        <w:right w:val="none" w:sz="0" w:space="0" w:color="auto"/>
      </w:divBdr>
      <w:divsChild>
        <w:div w:id="59596877">
          <w:marLeft w:val="288"/>
          <w:marRight w:val="0"/>
          <w:marTop w:val="120"/>
          <w:marBottom w:val="0"/>
          <w:divBdr>
            <w:top w:val="none" w:sz="0" w:space="0" w:color="auto"/>
            <w:left w:val="none" w:sz="0" w:space="0" w:color="auto"/>
            <w:bottom w:val="none" w:sz="0" w:space="0" w:color="auto"/>
            <w:right w:val="none" w:sz="0" w:space="0" w:color="auto"/>
          </w:divBdr>
        </w:div>
        <w:div w:id="570818713">
          <w:marLeft w:val="288"/>
          <w:marRight w:val="0"/>
          <w:marTop w:val="120"/>
          <w:marBottom w:val="0"/>
          <w:divBdr>
            <w:top w:val="none" w:sz="0" w:space="0" w:color="auto"/>
            <w:left w:val="none" w:sz="0" w:space="0" w:color="auto"/>
            <w:bottom w:val="none" w:sz="0" w:space="0" w:color="auto"/>
            <w:right w:val="none" w:sz="0" w:space="0" w:color="auto"/>
          </w:divBdr>
        </w:div>
        <w:div w:id="855535322">
          <w:marLeft w:val="288"/>
          <w:marRight w:val="0"/>
          <w:marTop w:val="120"/>
          <w:marBottom w:val="0"/>
          <w:divBdr>
            <w:top w:val="none" w:sz="0" w:space="0" w:color="auto"/>
            <w:left w:val="none" w:sz="0" w:space="0" w:color="auto"/>
            <w:bottom w:val="none" w:sz="0" w:space="0" w:color="auto"/>
            <w:right w:val="none" w:sz="0" w:space="0" w:color="auto"/>
          </w:divBdr>
        </w:div>
        <w:div w:id="962350775">
          <w:marLeft w:val="288"/>
          <w:marRight w:val="0"/>
          <w:marTop w:val="120"/>
          <w:marBottom w:val="0"/>
          <w:divBdr>
            <w:top w:val="none" w:sz="0" w:space="0" w:color="auto"/>
            <w:left w:val="none" w:sz="0" w:space="0" w:color="auto"/>
            <w:bottom w:val="none" w:sz="0" w:space="0" w:color="auto"/>
            <w:right w:val="none" w:sz="0" w:space="0" w:color="auto"/>
          </w:divBdr>
        </w:div>
        <w:div w:id="1935548513">
          <w:marLeft w:val="288"/>
          <w:marRight w:val="0"/>
          <w:marTop w:val="120"/>
          <w:marBottom w:val="0"/>
          <w:divBdr>
            <w:top w:val="none" w:sz="0" w:space="0" w:color="auto"/>
            <w:left w:val="none" w:sz="0" w:space="0" w:color="auto"/>
            <w:bottom w:val="none" w:sz="0" w:space="0" w:color="auto"/>
            <w:right w:val="none" w:sz="0" w:space="0" w:color="auto"/>
          </w:divBdr>
        </w:div>
        <w:div w:id="2044090609">
          <w:marLeft w:val="288"/>
          <w:marRight w:val="0"/>
          <w:marTop w:val="120"/>
          <w:marBottom w:val="0"/>
          <w:divBdr>
            <w:top w:val="none" w:sz="0" w:space="0" w:color="auto"/>
            <w:left w:val="none" w:sz="0" w:space="0" w:color="auto"/>
            <w:bottom w:val="none" w:sz="0" w:space="0" w:color="auto"/>
            <w:right w:val="none" w:sz="0" w:space="0" w:color="auto"/>
          </w:divBdr>
        </w:div>
      </w:divsChild>
    </w:div>
    <w:div w:id="1711609187">
      <w:bodyDiv w:val="1"/>
      <w:marLeft w:val="0"/>
      <w:marRight w:val="0"/>
      <w:marTop w:val="0"/>
      <w:marBottom w:val="0"/>
      <w:divBdr>
        <w:top w:val="none" w:sz="0" w:space="0" w:color="auto"/>
        <w:left w:val="none" w:sz="0" w:space="0" w:color="auto"/>
        <w:bottom w:val="none" w:sz="0" w:space="0" w:color="auto"/>
        <w:right w:val="none" w:sz="0" w:space="0" w:color="auto"/>
      </w:divBdr>
    </w:div>
    <w:div w:id="1716271740">
      <w:bodyDiv w:val="1"/>
      <w:marLeft w:val="0"/>
      <w:marRight w:val="0"/>
      <w:marTop w:val="0"/>
      <w:marBottom w:val="0"/>
      <w:divBdr>
        <w:top w:val="none" w:sz="0" w:space="0" w:color="auto"/>
        <w:left w:val="none" w:sz="0" w:space="0" w:color="auto"/>
        <w:bottom w:val="none" w:sz="0" w:space="0" w:color="auto"/>
        <w:right w:val="none" w:sz="0" w:space="0" w:color="auto"/>
      </w:divBdr>
    </w:div>
    <w:div w:id="1716464485">
      <w:bodyDiv w:val="1"/>
      <w:marLeft w:val="0"/>
      <w:marRight w:val="0"/>
      <w:marTop w:val="0"/>
      <w:marBottom w:val="0"/>
      <w:divBdr>
        <w:top w:val="none" w:sz="0" w:space="0" w:color="auto"/>
        <w:left w:val="none" w:sz="0" w:space="0" w:color="auto"/>
        <w:bottom w:val="none" w:sz="0" w:space="0" w:color="auto"/>
        <w:right w:val="none" w:sz="0" w:space="0" w:color="auto"/>
      </w:divBdr>
    </w:div>
    <w:div w:id="1738627206">
      <w:bodyDiv w:val="1"/>
      <w:marLeft w:val="0"/>
      <w:marRight w:val="0"/>
      <w:marTop w:val="0"/>
      <w:marBottom w:val="0"/>
      <w:divBdr>
        <w:top w:val="none" w:sz="0" w:space="0" w:color="auto"/>
        <w:left w:val="none" w:sz="0" w:space="0" w:color="auto"/>
        <w:bottom w:val="none" w:sz="0" w:space="0" w:color="auto"/>
        <w:right w:val="none" w:sz="0" w:space="0" w:color="auto"/>
      </w:divBdr>
    </w:div>
    <w:div w:id="1742293288">
      <w:bodyDiv w:val="1"/>
      <w:marLeft w:val="0"/>
      <w:marRight w:val="0"/>
      <w:marTop w:val="0"/>
      <w:marBottom w:val="0"/>
      <w:divBdr>
        <w:top w:val="none" w:sz="0" w:space="0" w:color="auto"/>
        <w:left w:val="none" w:sz="0" w:space="0" w:color="auto"/>
        <w:bottom w:val="none" w:sz="0" w:space="0" w:color="auto"/>
        <w:right w:val="none" w:sz="0" w:space="0" w:color="auto"/>
      </w:divBdr>
    </w:div>
    <w:div w:id="1753549935">
      <w:bodyDiv w:val="1"/>
      <w:marLeft w:val="0"/>
      <w:marRight w:val="0"/>
      <w:marTop w:val="0"/>
      <w:marBottom w:val="0"/>
      <w:divBdr>
        <w:top w:val="none" w:sz="0" w:space="0" w:color="auto"/>
        <w:left w:val="none" w:sz="0" w:space="0" w:color="auto"/>
        <w:bottom w:val="none" w:sz="0" w:space="0" w:color="auto"/>
        <w:right w:val="none" w:sz="0" w:space="0" w:color="auto"/>
      </w:divBdr>
    </w:div>
    <w:div w:id="1758015982">
      <w:bodyDiv w:val="1"/>
      <w:marLeft w:val="0"/>
      <w:marRight w:val="0"/>
      <w:marTop w:val="0"/>
      <w:marBottom w:val="0"/>
      <w:divBdr>
        <w:top w:val="none" w:sz="0" w:space="0" w:color="auto"/>
        <w:left w:val="none" w:sz="0" w:space="0" w:color="auto"/>
        <w:bottom w:val="none" w:sz="0" w:space="0" w:color="auto"/>
        <w:right w:val="none" w:sz="0" w:space="0" w:color="auto"/>
      </w:divBdr>
    </w:div>
    <w:div w:id="1768890230">
      <w:bodyDiv w:val="1"/>
      <w:marLeft w:val="0"/>
      <w:marRight w:val="0"/>
      <w:marTop w:val="0"/>
      <w:marBottom w:val="0"/>
      <w:divBdr>
        <w:top w:val="none" w:sz="0" w:space="0" w:color="auto"/>
        <w:left w:val="none" w:sz="0" w:space="0" w:color="auto"/>
        <w:bottom w:val="none" w:sz="0" w:space="0" w:color="auto"/>
        <w:right w:val="none" w:sz="0" w:space="0" w:color="auto"/>
      </w:divBdr>
      <w:divsChild>
        <w:div w:id="994409987">
          <w:marLeft w:val="0"/>
          <w:marRight w:val="0"/>
          <w:marTop w:val="0"/>
          <w:marBottom w:val="0"/>
          <w:divBdr>
            <w:top w:val="none" w:sz="0" w:space="0" w:color="auto"/>
            <w:left w:val="none" w:sz="0" w:space="0" w:color="auto"/>
            <w:bottom w:val="none" w:sz="0" w:space="0" w:color="auto"/>
            <w:right w:val="none" w:sz="0" w:space="0" w:color="auto"/>
          </w:divBdr>
          <w:divsChild>
            <w:div w:id="2141922935">
              <w:marLeft w:val="3150"/>
              <w:marRight w:val="600"/>
              <w:marTop w:val="0"/>
              <w:marBottom w:val="100"/>
              <w:divBdr>
                <w:top w:val="none" w:sz="0" w:space="0" w:color="auto"/>
                <w:left w:val="none" w:sz="0" w:space="0" w:color="auto"/>
                <w:bottom w:val="none" w:sz="0" w:space="0" w:color="auto"/>
                <w:right w:val="none" w:sz="0" w:space="0" w:color="auto"/>
              </w:divBdr>
            </w:div>
          </w:divsChild>
        </w:div>
      </w:divsChild>
    </w:div>
    <w:div w:id="1772705153">
      <w:bodyDiv w:val="1"/>
      <w:marLeft w:val="0"/>
      <w:marRight w:val="0"/>
      <w:marTop w:val="0"/>
      <w:marBottom w:val="0"/>
      <w:divBdr>
        <w:top w:val="none" w:sz="0" w:space="0" w:color="auto"/>
        <w:left w:val="none" w:sz="0" w:space="0" w:color="auto"/>
        <w:bottom w:val="none" w:sz="0" w:space="0" w:color="auto"/>
        <w:right w:val="none" w:sz="0" w:space="0" w:color="auto"/>
      </w:divBdr>
    </w:div>
    <w:div w:id="1779330657">
      <w:bodyDiv w:val="1"/>
      <w:marLeft w:val="0"/>
      <w:marRight w:val="0"/>
      <w:marTop w:val="0"/>
      <w:marBottom w:val="0"/>
      <w:divBdr>
        <w:top w:val="none" w:sz="0" w:space="0" w:color="auto"/>
        <w:left w:val="none" w:sz="0" w:space="0" w:color="auto"/>
        <w:bottom w:val="none" w:sz="0" w:space="0" w:color="auto"/>
        <w:right w:val="none" w:sz="0" w:space="0" w:color="auto"/>
      </w:divBdr>
    </w:div>
    <w:div w:id="1804082386">
      <w:bodyDiv w:val="1"/>
      <w:marLeft w:val="0"/>
      <w:marRight w:val="0"/>
      <w:marTop w:val="0"/>
      <w:marBottom w:val="0"/>
      <w:divBdr>
        <w:top w:val="none" w:sz="0" w:space="0" w:color="auto"/>
        <w:left w:val="none" w:sz="0" w:space="0" w:color="auto"/>
        <w:bottom w:val="none" w:sz="0" w:space="0" w:color="auto"/>
        <w:right w:val="none" w:sz="0" w:space="0" w:color="auto"/>
      </w:divBdr>
      <w:divsChild>
        <w:div w:id="761606873">
          <w:marLeft w:val="0"/>
          <w:marRight w:val="0"/>
          <w:marTop w:val="0"/>
          <w:marBottom w:val="0"/>
          <w:divBdr>
            <w:top w:val="none" w:sz="0" w:space="0" w:color="auto"/>
            <w:left w:val="none" w:sz="0" w:space="0" w:color="auto"/>
            <w:bottom w:val="none" w:sz="0" w:space="0" w:color="auto"/>
            <w:right w:val="none" w:sz="0" w:space="0" w:color="auto"/>
          </w:divBdr>
          <w:divsChild>
            <w:div w:id="384640117">
              <w:marLeft w:val="0"/>
              <w:marRight w:val="0"/>
              <w:marTop w:val="0"/>
              <w:marBottom w:val="0"/>
              <w:divBdr>
                <w:top w:val="none" w:sz="0" w:space="0" w:color="auto"/>
                <w:left w:val="none" w:sz="0" w:space="0" w:color="auto"/>
                <w:bottom w:val="none" w:sz="0" w:space="0" w:color="auto"/>
                <w:right w:val="none" w:sz="0" w:space="0" w:color="auto"/>
              </w:divBdr>
              <w:divsChild>
                <w:div w:id="79108312">
                  <w:marLeft w:val="0"/>
                  <w:marRight w:val="0"/>
                  <w:marTop w:val="0"/>
                  <w:marBottom w:val="0"/>
                  <w:divBdr>
                    <w:top w:val="none" w:sz="0" w:space="0" w:color="auto"/>
                    <w:left w:val="none" w:sz="0" w:space="0" w:color="auto"/>
                    <w:bottom w:val="none" w:sz="0" w:space="0" w:color="auto"/>
                    <w:right w:val="none" w:sz="0" w:space="0" w:color="auto"/>
                  </w:divBdr>
                  <w:divsChild>
                    <w:div w:id="20100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15027">
          <w:marLeft w:val="0"/>
          <w:marRight w:val="0"/>
          <w:marTop w:val="0"/>
          <w:marBottom w:val="0"/>
          <w:divBdr>
            <w:top w:val="none" w:sz="0" w:space="0" w:color="auto"/>
            <w:left w:val="none" w:sz="0" w:space="0" w:color="auto"/>
            <w:bottom w:val="none" w:sz="0" w:space="0" w:color="auto"/>
            <w:right w:val="none" w:sz="0" w:space="0" w:color="auto"/>
          </w:divBdr>
          <w:divsChild>
            <w:div w:id="802701507">
              <w:marLeft w:val="0"/>
              <w:marRight w:val="0"/>
              <w:marTop w:val="0"/>
              <w:marBottom w:val="0"/>
              <w:divBdr>
                <w:top w:val="none" w:sz="0" w:space="0" w:color="auto"/>
                <w:left w:val="none" w:sz="0" w:space="0" w:color="auto"/>
                <w:bottom w:val="none" w:sz="0" w:space="0" w:color="auto"/>
                <w:right w:val="none" w:sz="0" w:space="0" w:color="auto"/>
              </w:divBdr>
              <w:divsChild>
                <w:div w:id="1614557192">
                  <w:marLeft w:val="0"/>
                  <w:marRight w:val="0"/>
                  <w:marTop w:val="0"/>
                  <w:marBottom w:val="0"/>
                  <w:divBdr>
                    <w:top w:val="none" w:sz="0" w:space="0" w:color="auto"/>
                    <w:left w:val="none" w:sz="0" w:space="0" w:color="auto"/>
                    <w:bottom w:val="none" w:sz="0" w:space="0" w:color="auto"/>
                    <w:right w:val="none" w:sz="0" w:space="0" w:color="auto"/>
                  </w:divBdr>
                  <w:divsChild>
                    <w:div w:id="14243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324473">
      <w:bodyDiv w:val="1"/>
      <w:marLeft w:val="0"/>
      <w:marRight w:val="0"/>
      <w:marTop w:val="0"/>
      <w:marBottom w:val="0"/>
      <w:divBdr>
        <w:top w:val="none" w:sz="0" w:space="0" w:color="auto"/>
        <w:left w:val="none" w:sz="0" w:space="0" w:color="auto"/>
        <w:bottom w:val="none" w:sz="0" w:space="0" w:color="auto"/>
        <w:right w:val="none" w:sz="0" w:space="0" w:color="auto"/>
      </w:divBdr>
    </w:div>
    <w:div w:id="1826972264">
      <w:bodyDiv w:val="1"/>
      <w:marLeft w:val="0"/>
      <w:marRight w:val="0"/>
      <w:marTop w:val="0"/>
      <w:marBottom w:val="0"/>
      <w:divBdr>
        <w:top w:val="none" w:sz="0" w:space="0" w:color="auto"/>
        <w:left w:val="none" w:sz="0" w:space="0" w:color="auto"/>
        <w:bottom w:val="none" w:sz="0" w:space="0" w:color="auto"/>
        <w:right w:val="none" w:sz="0" w:space="0" w:color="auto"/>
      </w:divBdr>
    </w:div>
    <w:div w:id="1828202413">
      <w:bodyDiv w:val="1"/>
      <w:marLeft w:val="0"/>
      <w:marRight w:val="0"/>
      <w:marTop w:val="0"/>
      <w:marBottom w:val="0"/>
      <w:divBdr>
        <w:top w:val="none" w:sz="0" w:space="0" w:color="auto"/>
        <w:left w:val="none" w:sz="0" w:space="0" w:color="auto"/>
        <w:bottom w:val="none" w:sz="0" w:space="0" w:color="auto"/>
        <w:right w:val="none" w:sz="0" w:space="0" w:color="auto"/>
      </w:divBdr>
      <w:divsChild>
        <w:div w:id="1574777238">
          <w:marLeft w:val="0"/>
          <w:marRight w:val="0"/>
          <w:marTop w:val="100"/>
          <w:marBottom w:val="100"/>
          <w:divBdr>
            <w:top w:val="none" w:sz="0" w:space="0" w:color="auto"/>
            <w:left w:val="none" w:sz="0" w:space="0" w:color="auto"/>
            <w:bottom w:val="none" w:sz="0" w:space="0" w:color="auto"/>
            <w:right w:val="none" w:sz="0" w:space="0" w:color="auto"/>
          </w:divBdr>
          <w:divsChild>
            <w:div w:id="1668941333">
              <w:marLeft w:val="0"/>
              <w:marRight w:val="0"/>
              <w:marTop w:val="0"/>
              <w:marBottom w:val="0"/>
              <w:divBdr>
                <w:top w:val="none" w:sz="0" w:space="0" w:color="auto"/>
                <w:left w:val="none" w:sz="0" w:space="0" w:color="auto"/>
                <w:bottom w:val="none" w:sz="0" w:space="0" w:color="auto"/>
                <w:right w:val="none" w:sz="0" w:space="0" w:color="auto"/>
              </w:divBdr>
              <w:divsChild>
                <w:div w:id="83231970">
                  <w:marLeft w:val="0"/>
                  <w:marRight w:val="0"/>
                  <w:marTop w:val="0"/>
                  <w:marBottom w:val="0"/>
                  <w:divBdr>
                    <w:top w:val="none" w:sz="0" w:space="0" w:color="auto"/>
                    <w:left w:val="none" w:sz="0" w:space="0" w:color="auto"/>
                    <w:bottom w:val="none" w:sz="0" w:space="0" w:color="auto"/>
                    <w:right w:val="none" w:sz="0" w:space="0" w:color="auto"/>
                  </w:divBdr>
                  <w:divsChild>
                    <w:div w:id="387388384">
                      <w:marLeft w:val="0"/>
                      <w:marRight w:val="0"/>
                      <w:marTop w:val="100"/>
                      <w:marBottom w:val="100"/>
                      <w:divBdr>
                        <w:top w:val="none" w:sz="0" w:space="0" w:color="auto"/>
                        <w:left w:val="none" w:sz="0" w:space="0" w:color="auto"/>
                        <w:bottom w:val="none" w:sz="0" w:space="0" w:color="auto"/>
                        <w:right w:val="none" w:sz="0" w:space="0" w:color="auto"/>
                      </w:divBdr>
                      <w:divsChild>
                        <w:div w:id="1341397218">
                          <w:marLeft w:val="0"/>
                          <w:marRight w:val="-14400"/>
                          <w:marTop w:val="0"/>
                          <w:marBottom w:val="0"/>
                          <w:divBdr>
                            <w:top w:val="none" w:sz="0" w:space="0" w:color="auto"/>
                            <w:left w:val="none" w:sz="0" w:space="0" w:color="auto"/>
                            <w:bottom w:val="none" w:sz="0" w:space="0" w:color="auto"/>
                            <w:right w:val="none" w:sz="0" w:space="0" w:color="auto"/>
                          </w:divBdr>
                          <w:divsChild>
                            <w:div w:id="1746106055">
                              <w:marLeft w:val="0"/>
                              <w:marRight w:val="0"/>
                              <w:marTop w:val="0"/>
                              <w:marBottom w:val="0"/>
                              <w:divBdr>
                                <w:top w:val="none" w:sz="0" w:space="0" w:color="auto"/>
                                <w:left w:val="none" w:sz="0" w:space="0" w:color="auto"/>
                                <w:bottom w:val="none" w:sz="0" w:space="0" w:color="auto"/>
                                <w:right w:val="none" w:sz="0" w:space="0" w:color="auto"/>
                              </w:divBdr>
                              <w:divsChild>
                                <w:div w:id="2108309695">
                                  <w:marLeft w:val="0"/>
                                  <w:marRight w:val="0"/>
                                  <w:marTop w:val="0"/>
                                  <w:marBottom w:val="0"/>
                                  <w:divBdr>
                                    <w:top w:val="none" w:sz="0" w:space="0" w:color="auto"/>
                                    <w:left w:val="none" w:sz="0" w:space="0" w:color="auto"/>
                                    <w:bottom w:val="none" w:sz="0" w:space="0" w:color="auto"/>
                                    <w:right w:val="none" w:sz="0" w:space="0" w:color="auto"/>
                                  </w:divBdr>
                                  <w:divsChild>
                                    <w:div w:id="939264748">
                                      <w:marLeft w:val="150"/>
                                      <w:marRight w:val="150"/>
                                      <w:marTop w:val="0"/>
                                      <w:marBottom w:val="0"/>
                                      <w:divBdr>
                                        <w:top w:val="none" w:sz="0" w:space="0" w:color="auto"/>
                                        <w:left w:val="none" w:sz="0" w:space="0" w:color="auto"/>
                                        <w:bottom w:val="none" w:sz="0" w:space="0" w:color="auto"/>
                                        <w:right w:val="none" w:sz="0" w:space="0" w:color="auto"/>
                                      </w:divBdr>
                                      <w:divsChild>
                                        <w:div w:id="1851261516">
                                          <w:marLeft w:val="0"/>
                                          <w:marRight w:val="0"/>
                                          <w:marTop w:val="0"/>
                                          <w:marBottom w:val="0"/>
                                          <w:divBdr>
                                            <w:top w:val="none" w:sz="0" w:space="0" w:color="auto"/>
                                            <w:left w:val="none" w:sz="0" w:space="0" w:color="auto"/>
                                            <w:bottom w:val="none" w:sz="0" w:space="0" w:color="auto"/>
                                            <w:right w:val="none" w:sz="0" w:space="0" w:color="auto"/>
                                          </w:divBdr>
                                          <w:divsChild>
                                            <w:div w:id="852231048">
                                              <w:marLeft w:val="0"/>
                                              <w:marRight w:val="0"/>
                                              <w:marTop w:val="0"/>
                                              <w:marBottom w:val="0"/>
                                              <w:divBdr>
                                                <w:top w:val="none" w:sz="0" w:space="0" w:color="auto"/>
                                                <w:left w:val="none" w:sz="0" w:space="0" w:color="auto"/>
                                                <w:bottom w:val="none" w:sz="0" w:space="0" w:color="auto"/>
                                                <w:right w:val="none" w:sz="0" w:space="0" w:color="auto"/>
                                              </w:divBdr>
                                              <w:divsChild>
                                                <w:div w:id="2056420585">
                                                  <w:marLeft w:val="0"/>
                                                  <w:marRight w:val="0"/>
                                                  <w:marTop w:val="0"/>
                                                  <w:marBottom w:val="0"/>
                                                  <w:divBdr>
                                                    <w:top w:val="none" w:sz="0" w:space="0" w:color="auto"/>
                                                    <w:left w:val="none" w:sz="0" w:space="0" w:color="auto"/>
                                                    <w:bottom w:val="none" w:sz="0" w:space="0" w:color="auto"/>
                                                    <w:right w:val="none" w:sz="0" w:space="0" w:color="auto"/>
                                                  </w:divBdr>
                                                  <w:divsChild>
                                                    <w:div w:id="8066423">
                                                      <w:marLeft w:val="0"/>
                                                      <w:marRight w:val="0"/>
                                                      <w:marTop w:val="0"/>
                                                      <w:marBottom w:val="0"/>
                                                      <w:divBdr>
                                                        <w:top w:val="none" w:sz="0" w:space="0" w:color="auto"/>
                                                        <w:left w:val="none" w:sz="0" w:space="0" w:color="auto"/>
                                                        <w:bottom w:val="none" w:sz="0" w:space="0" w:color="auto"/>
                                                        <w:right w:val="none" w:sz="0" w:space="0" w:color="auto"/>
                                                      </w:divBdr>
                                                      <w:divsChild>
                                                        <w:div w:id="140344595">
                                                          <w:marLeft w:val="0"/>
                                                          <w:marRight w:val="0"/>
                                                          <w:marTop w:val="0"/>
                                                          <w:marBottom w:val="0"/>
                                                          <w:divBdr>
                                                            <w:top w:val="none" w:sz="0" w:space="0" w:color="auto"/>
                                                            <w:left w:val="none" w:sz="0" w:space="0" w:color="auto"/>
                                                            <w:bottom w:val="none" w:sz="0" w:space="0" w:color="auto"/>
                                                            <w:right w:val="none" w:sz="0" w:space="0" w:color="auto"/>
                                                          </w:divBdr>
                                                          <w:divsChild>
                                                            <w:div w:id="1900289413">
                                                              <w:marLeft w:val="0"/>
                                                              <w:marRight w:val="0"/>
                                                              <w:marTop w:val="0"/>
                                                              <w:marBottom w:val="0"/>
                                                              <w:divBdr>
                                                                <w:top w:val="none" w:sz="0" w:space="0" w:color="auto"/>
                                                                <w:left w:val="none" w:sz="0" w:space="0" w:color="auto"/>
                                                                <w:bottom w:val="none" w:sz="0" w:space="0" w:color="auto"/>
                                                                <w:right w:val="none" w:sz="0" w:space="0" w:color="auto"/>
                                                              </w:divBdr>
                                                              <w:divsChild>
                                                                <w:div w:id="589244275">
                                                                  <w:marLeft w:val="0"/>
                                                                  <w:marRight w:val="0"/>
                                                                  <w:marTop w:val="0"/>
                                                                  <w:marBottom w:val="0"/>
                                                                  <w:divBdr>
                                                                    <w:top w:val="none" w:sz="0" w:space="0" w:color="auto"/>
                                                                    <w:left w:val="none" w:sz="0" w:space="0" w:color="auto"/>
                                                                    <w:bottom w:val="none" w:sz="0" w:space="0" w:color="auto"/>
                                                                    <w:right w:val="none" w:sz="0" w:space="0" w:color="auto"/>
                                                                  </w:divBdr>
                                                                  <w:divsChild>
                                                                    <w:div w:id="704330977">
                                                                      <w:marLeft w:val="0"/>
                                                                      <w:marRight w:val="0"/>
                                                                      <w:marTop w:val="0"/>
                                                                      <w:marBottom w:val="0"/>
                                                                      <w:divBdr>
                                                                        <w:top w:val="none" w:sz="0" w:space="0" w:color="auto"/>
                                                                        <w:left w:val="none" w:sz="0" w:space="0" w:color="auto"/>
                                                                        <w:bottom w:val="none" w:sz="0" w:space="0" w:color="auto"/>
                                                                        <w:right w:val="none" w:sz="0" w:space="0" w:color="auto"/>
                                                                      </w:divBdr>
                                                                      <w:divsChild>
                                                                        <w:div w:id="884953478">
                                                                          <w:marLeft w:val="0"/>
                                                                          <w:marRight w:val="0"/>
                                                                          <w:marTop w:val="0"/>
                                                                          <w:marBottom w:val="0"/>
                                                                          <w:divBdr>
                                                                            <w:top w:val="none" w:sz="0" w:space="0" w:color="auto"/>
                                                                            <w:left w:val="none" w:sz="0" w:space="0" w:color="auto"/>
                                                                            <w:bottom w:val="none" w:sz="0" w:space="0" w:color="auto"/>
                                                                            <w:right w:val="none" w:sz="0" w:space="0" w:color="auto"/>
                                                                          </w:divBdr>
                                                                          <w:divsChild>
                                                                            <w:div w:id="1974748566">
                                                                              <w:marLeft w:val="0"/>
                                                                              <w:marRight w:val="0"/>
                                                                              <w:marTop w:val="0"/>
                                                                              <w:marBottom w:val="0"/>
                                                                              <w:divBdr>
                                                                                <w:top w:val="none" w:sz="0" w:space="0" w:color="auto"/>
                                                                                <w:left w:val="none" w:sz="0" w:space="0" w:color="auto"/>
                                                                                <w:bottom w:val="none" w:sz="0" w:space="0" w:color="auto"/>
                                                                                <w:right w:val="none" w:sz="0" w:space="0" w:color="auto"/>
                                                                              </w:divBdr>
                                                                              <w:divsChild>
                                                                                <w:div w:id="287397337">
                                                                                  <w:marLeft w:val="0"/>
                                                                                  <w:marRight w:val="0"/>
                                                                                  <w:marTop w:val="0"/>
                                                                                  <w:marBottom w:val="0"/>
                                                                                  <w:divBdr>
                                                                                    <w:top w:val="none" w:sz="0" w:space="0" w:color="auto"/>
                                                                                    <w:left w:val="none" w:sz="0" w:space="0" w:color="auto"/>
                                                                                    <w:bottom w:val="none" w:sz="0" w:space="0" w:color="auto"/>
                                                                                    <w:right w:val="none" w:sz="0" w:space="0" w:color="auto"/>
                                                                                  </w:divBdr>
                                                                                  <w:divsChild>
                                                                                    <w:div w:id="162865291">
                                                                                      <w:marLeft w:val="0"/>
                                                                                      <w:marRight w:val="0"/>
                                                                                      <w:marTop w:val="0"/>
                                                                                      <w:marBottom w:val="0"/>
                                                                                      <w:divBdr>
                                                                                        <w:top w:val="none" w:sz="0" w:space="0" w:color="auto"/>
                                                                                        <w:left w:val="none" w:sz="0" w:space="0" w:color="auto"/>
                                                                                        <w:bottom w:val="none" w:sz="0" w:space="0" w:color="auto"/>
                                                                                        <w:right w:val="none" w:sz="0" w:space="0" w:color="auto"/>
                                                                                      </w:divBdr>
                                                                                      <w:divsChild>
                                                                                        <w:div w:id="118573959">
                                                                                          <w:marLeft w:val="0"/>
                                                                                          <w:marRight w:val="0"/>
                                                                                          <w:marTop w:val="0"/>
                                                                                          <w:marBottom w:val="0"/>
                                                                                          <w:divBdr>
                                                                                            <w:top w:val="none" w:sz="0" w:space="0" w:color="auto"/>
                                                                                            <w:left w:val="none" w:sz="0" w:space="0" w:color="auto"/>
                                                                                            <w:bottom w:val="none" w:sz="0" w:space="0" w:color="auto"/>
                                                                                            <w:right w:val="none" w:sz="0" w:space="0" w:color="auto"/>
                                                                                          </w:divBdr>
                                                                                          <w:divsChild>
                                                                                            <w:div w:id="247692590">
                                                                                              <w:marLeft w:val="0"/>
                                                                                              <w:marRight w:val="0"/>
                                                                                              <w:marTop w:val="0"/>
                                                                                              <w:marBottom w:val="0"/>
                                                                                              <w:divBdr>
                                                                                                <w:top w:val="none" w:sz="0" w:space="0" w:color="auto"/>
                                                                                                <w:left w:val="none" w:sz="0" w:space="0" w:color="auto"/>
                                                                                                <w:bottom w:val="none" w:sz="0" w:space="0" w:color="auto"/>
                                                                                                <w:right w:val="none" w:sz="0" w:space="0" w:color="auto"/>
                                                                                              </w:divBdr>
                                                                                              <w:divsChild>
                                                                                                <w:div w:id="1473982191">
                                                                                                  <w:marLeft w:val="0"/>
                                                                                                  <w:marRight w:val="0"/>
                                                                                                  <w:marTop w:val="0"/>
                                                                                                  <w:marBottom w:val="0"/>
                                                                                                  <w:divBdr>
                                                                                                    <w:top w:val="none" w:sz="0" w:space="0" w:color="auto"/>
                                                                                                    <w:left w:val="none" w:sz="0" w:space="0" w:color="auto"/>
                                                                                                    <w:bottom w:val="none" w:sz="0" w:space="0" w:color="auto"/>
                                                                                                    <w:right w:val="none" w:sz="0" w:space="0" w:color="auto"/>
                                                                                                  </w:divBdr>
                                                                                                  <w:divsChild>
                                                                                                    <w:div w:id="20672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3855334">
      <w:bodyDiv w:val="1"/>
      <w:marLeft w:val="0"/>
      <w:marRight w:val="0"/>
      <w:marTop w:val="0"/>
      <w:marBottom w:val="0"/>
      <w:divBdr>
        <w:top w:val="none" w:sz="0" w:space="0" w:color="auto"/>
        <w:left w:val="none" w:sz="0" w:space="0" w:color="auto"/>
        <w:bottom w:val="none" w:sz="0" w:space="0" w:color="auto"/>
        <w:right w:val="none" w:sz="0" w:space="0" w:color="auto"/>
      </w:divBdr>
    </w:div>
    <w:div w:id="1869022062">
      <w:bodyDiv w:val="1"/>
      <w:marLeft w:val="0"/>
      <w:marRight w:val="0"/>
      <w:marTop w:val="0"/>
      <w:marBottom w:val="0"/>
      <w:divBdr>
        <w:top w:val="none" w:sz="0" w:space="0" w:color="auto"/>
        <w:left w:val="none" w:sz="0" w:space="0" w:color="auto"/>
        <w:bottom w:val="none" w:sz="0" w:space="0" w:color="auto"/>
        <w:right w:val="none" w:sz="0" w:space="0" w:color="auto"/>
      </w:divBdr>
    </w:div>
    <w:div w:id="1869638253">
      <w:bodyDiv w:val="1"/>
      <w:marLeft w:val="0"/>
      <w:marRight w:val="0"/>
      <w:marTop w:val="0"/>
      <w:marBottom w:val="0"/>
      <w:divBdr>
        <w:top w:val="none" w:sz="0" w:space="0" w:color="auto"/>
        <w:left w:val="none" w:sz="0" w:space="0" w:color="auto"/>
        <w:bottom w:val="none" w:sz="0" w:space="0" w:color="auto"/>
        <w:right w:val="none" w:sz="0" w:space="0" w:color="auto"/>
      </w:divBdr>
    </w:div>
    <w:div w:id="1885017400">
      <w:bodyDiv w:val="1"/>
      <w:marLeft w:val="0"/>
      <w:marRight w:val="0"/>
      <w:marTop w:val="0"/>
      <w:marBottom w:val="0"/>
      <w:divBdr>
        <w:top w:val="none" w:sz="0" w:space="0" w:color="auto"/>
        <w:left w:val="none" w:sz="0" w:space="0" w:color="auto"/>
        <w:bottom w:val="none" w:sz="0" w:space="0" w:color="auto"/>
        <w:right w:val="none" w:sz="0" w:space="0" w:color="auto"/>
      </w:divBdr>
    </w:div>
    <w:div w:id="1900823472">
      <w:bodyDiv w:val="1"/>
      <w:marLeft w:val="0"/>
      <w:marRight w:val="0"/>
      <w:marTop w:val="0"/>
      <w:marBottom w:val="0"/>
      <w:divBdr>
        <w:top w:val="none" w:sz="0" w:space="0" w:color="auto"/>
        <w:left w:val="none" w:sz="0" w:space="0" w:color="auto"/>
        <w:bottom w:val="none" w:sz="0" w:space="0" w:color="auto"/>
        <w:right w:val="none" w:sz="0" w:space="0" w:color="auto"/>
      </w:divBdr>
    </w:div>
    <w:div w:id="1904876175">
      <w:bodyDiv w:val="1"/>
      <w:marLeft w:val="0"/>
      <w:marRight w:val="0"/>
      <w:marTop w:val="0"/>
      <w:marBottom w:val="0"/>
      <w:divBdr>
        <w:top w:val="none" w:sz="0" w:space="0" w:color="auto"/>
        <w:left w:val="none" w:sz="0" w:space="0" w:color="auto"/>
        <w:bottom w:val="none" w:sz="0" w:space="0" w:color="auto"/>
        <w:right w:val="none" w:sz="0" w:space="0" w:color="auto"/>
      </w:divBdr>
    </w:div>
    <w:div w:id="1909458268">
      <w:bodyDiv w:val="1"/>
      <w:marLeft w:val="0"/>
      <w:marRight w:val="0"/>
      <w:marTop w:val="0"/>
      <w:marBottom w:val="0"/>
      <w:divBdr>
        <w:top w:val="none" w:sz="0" w:space="0" w:color="auto"/>
        <w:left w:val="none" w:sz="0" w:space="0" w:color="auto"/>
        <w:bottom w:val="none" w:sz="0" w:space="0" w:color="auto"/>
        <w:right w:val="none" w:sz="0" w:space="0" w:color="auto"/>
      </w:divBdr>
    </w:div>
    <w:div w:id="1911571181">
      <w:bodyDiv w:val="1"/>
      <w:marLeft w:val="0"/>
      <w:marRight w:val="0"/>
      <w:marTop w:val="0"/>
      <w:marBottom w:val="0"/>
      <w:divBdr>
        <w:top w:val="none" w:sz="0" w:space="0" w:color="auto"/>
        <w:left w:val="none" w:sz="0" w:space="0" w:color="auto"/>
        <w:bottom w:val="none" w:sz="0" w:space="0" w:color="auto"/>
        <w:right w:val="none" w:sz="0" w:space="0" w:color="auto"/>
      </w:divBdr>
    </w:div>
    <w:div w:id="1912697448">
      <w:bodyDiv w:val="1"/>
      <w:marLeft w:val="0"/>
      <w:marRight w:val="0"/>
      <w:marTop w:val="0"/>
      <w:marBottom w:val="0"/>
      <w:divBdr>
        <w:top w:val="none" w:sz="0" w:space="0" w:color="auto"/>
        <w:left w:val="none" w:sz="0" w:space="0" w:color="auto"/>
        <w:bottom w:val="none" w:sz="0" w:space="0" w:color="auto"/>
        <w:right w:val="none" w:sz="0" w:space="0" w:color="auto"/>
      </w:divBdr>
      <w:divsChild>
        <w:div w:id="1893536923">
          <w:marLeft w:val="302"/>
          <w:marRight w:val="0"/>
          <w:marTop w:val="18"/>
          <w:marBottom w:val="0"/>
          <w:divBdr>
            <w:top w:val="none" w:sz="0" w:space="0" w:color="auto"/>
            <w:left w:val="none" w:sz="0" w:space="0" w:color="auto"/>
            <w:bottom w:val="none" w:sz="0" w:space="0" w:color="auto"/>
            <w:right w:val="none" w:sz="0" w:space="0" w:color="auto"/>
          </w:divBdr>
        </w:div>
        <w:div w:id="1271277034">
          <w:marLeft w:val="230"/>
          <w:marRight w:val="0"/>
          <w:marTop w:val="241"/>
          <w:marBottom w:val="0"/>
          <w:divBdr>
            <w:top w:val="none" w:sz="0" w:space="0" w:color="auto"/>
            <w:left w:val="none" w:sz="0" w:space="0" w:color="auto"/>
            <w:bottom w:val="none" w:sz="0" w:space="0" w:color="auto"/>
            <w:right w:val="none" w:sz="0" w:space="0" w:color="auto"/>
          </w:divBdr>
        </w:div>
        <w:div w:id="2102943153">
          <w:marLeft w:val="14"/>
          <w:marRight w:val="72"/>
          <w:marTop w:val="240"/>
          <w:marBottom w:val="0"/>
          <w:divBdr>
            <w:top w:val="none" w:sz="0" w:space="0" w:color="auto"/>
            <w:left w:val="none" w:sz="0" w:space="0" w:color="auto"/>
            <w:bottom w:val="none" w:sz="0" w:space="0" w:color="auto"/>
            <w:right w:val="none" w:sz="0" w:space="0" w:color="auto"/>
          </w:divBdr>
        </w:div>
      </w:divsChild>
    </w:div>
    <w:div w:id="1912764148">
      <w:bodyDiv w:val="1"/>
      <w:marLeft w:val="0"/>
      <w:marRight w:val="0"/>
      <w:marTop w:val="0"/>
      <w:marBottom w:val="0"/>
      <w:divBdr>
        <w:top w:val="none" w:sz="0" w:space="0" w:color="auto"/>
        <w:left w:val="none" w:sz="0" w:space="0" w:color="auto"/>
        <w:bottom w:val="none" w:sz="0" w:space="0" w:color="auto"/>
        <w:right w:val="none" w:sz="0" w:space="0" w:color="auto"/>
      </w:divBdr>
    </w:div>
    <w:div w:id="1920864862">
      <w:bodyDiv w:val="1"/>
      <w:marLeft w:val="0"/>
      <w:marRight w:val="0"/>
      <w:marTop w:val="0"/>
      <w:marBottom w:val="0"/>
      <w:divBdr>
        <w:top w:val="none" w:sz="0" w:space="0" w:color="auto"/>
        <w:left w:val="none" w:sz="0" w:space="0" w:color="auto"/>
        <w:bottom w:val="none" w:sz="0" w:space="0" w:color="auto"/>
        <w:right w:val="none" w:sz="0" w:space="0" w:color="auto"/>
      </w:divBdr>
    </w:div>
    <w:div w:id="1929384373">
      <w:bodyDiv w:val="1"/>
      <w:marLeft w:val="0"/>
      <w:marRight w:val="0"/>
      <w:marTop w:val="0"/>
      <w:marBottom w:val="0"/>
      <w:divBdr>
        <w:top w:val="none" w:sz="0" w:space="0" w:color="auto"/>
        <w:left w:val="none" w:sz="0" w:space="0" w:color="auto"/>
        <w:bottom w:val="none" w:sz="0" w:space="0" w:color="auto"/>
        <w:right w:val="none" w:sz="0" w:space="0" w:color="auto"/>
      </w:divBdr>
    </w:div>
    <w:div w:id="1949308592">
      <w:bodyDiv w:val="1"/>
      <w:marLeft w:val="0"/>
      <w:marRight w:val="0"/>
      <w:marTop w:val="0"/>
      <w:marBottom w:val="0"/>
      <w:divBdr>
        <w:top w:val="none" w:sz="0" w:space="0" w:color="auto"/>
        <w:left w:val="none" w:sz="0" w:space="0" w:color="auto"/>
        <w:bottom w:val="none" w:sz="0" w:space="0" w:color="auto"/>
        <w:right w:val="none" w:sz="0" w:space="0" w:color="auto"/>
      </w:divBdr>
    </w:div>
    <w:div w:id="1953977701">
      <w:bodyDiv w:val="1"/>
      <w:marLeft w:val="0"/>
      <w:marRight w:val="0"/>
      <w:marTop w:val="0"/>
      <w:marBottom w:val="0"/>
      <w:divBdr>
        <w:top w:val="none" w:sz="0" w:space="0" w:color="auto"/>
        <w:left w:val="none" w:sz="0" w:space="0" w:color="auto"/>
        <w:bottom w:val="none" w:sz="0" w:space="0" w:color="auto"/>
        <w:right w:val="none" w:sz="0" w:space="0" w:color="auto"/>
      </w:divBdr>
    </w:div>
    <w:div w:id="1956982636">
      <w:bodyDiv w:val="1"/>
      <w:marLeft w:val="0"/>
      <w:marRight w:val="0"/>
      <w:marTop w:val="0"/>
      <w:marBottom w:val="0"/>
      <w:divBdr>
        <w:top w:val="none" w:sz="0" w:space="0" w:color="auto"/>
        <w:left w:val="none" w:sz="0" w:space="0" w:color="auto"/>
        <w:bottom w:val="none" w:sz="0" w:space="0" w:color="auto"/>
        <w:right w:val="none" w:sz="0" w:space="0" w:color="auto"/>
      </w:divBdr>
    </w:div>
    <w:div w:id="1957323244">
      <w:bodyDiv w:val="1"/>
      <w:marLeft w:val="0"/>
      <w:marRight w:val="0"/>
      <w:marTop w:val="0"/>
      <w:marBottom w:val="0"/>
      <w:divBdr>
        <w:top w:val="none" w:sz="0" w:space="0" w:color="auto"/>
        <w:left w:val="none" w:sz="0" w:space="0" w:color="auto"/>
        <w:bottom w:val="none" w:sz="0" w:space="0" w:color="auto"/>
        <w:right w:val="none" w:sz="0" w:space="0" w:color="auto"/>
      </w:divBdr>
    </w:div>
    <w:div w:id="1959483066">
      <w:bodyDiv w:val="1"/>
      <w:marLeft w:val="0"/>
      <w:marRight w:val="0"/>
      <w:marTop w:val="0"/>
      <w:marBottom w:val="0"/>
      <w:divBdr>
        <w:top w:val="none" w:sz="0" w:space="0" w:color="auto"/>
        <w:left w:val="none" w:sz="0" w:space="0" w:color="auto"/>
        <w:bottom w:val="none" w:sz="0" w:space="0" w:color="auto"/>
        <w:right w:val="none" w:sz="0" w:space="0" w:color="auto"/>
      </w:divBdr>
    </w:div>
    <w:div w:id="1963488710">
      <w:bodyDiv w:val="1"/>
      <w:marLeft w:val="0"/>
      <w:marRight w:val="0"/>
      <w:marTop w:val="0"/>
      <w:marBottom w:val="0"/>
      <w:divBdr>
        <w:top w:val="none" w:sz="0" w:space="0" w:color="auto"/>
        <w:left w:val="none" w:sz="0" w:space="0" w:color="auto"/>
        <w:bottom w:val="none" w:sz="0" w:space="0" w:color="auto"/>
        <w:right w:val="none" w:sz="0" w:space="0" w:color="auto"/>
      </w:divBdr>
    </w:div>
    <w:div w:id="1964387097">
      <w:bodyDiv w:val="1"/>
      <w:marLeft w:val="0"/>
      <w:marRight w:val="0"/>
      <w:marTop w:val="0"/>
      <w:marBottom w:val="0"/>
      <w:divBdr>
        <w:top w:val="none" w:sz="0" w:space="0" w:color="auto"/>
        <w:left w:val="none" w:sz="0" w:space="0" w:color="auto"/>
        <w:bottom w:val="none" w:sz="0" w:space="0" w:color="auto"/>
        <w:right w:val="none" w:sz="0" w:space="0" w:color="auto"/>
      </w:divBdr>
    </w:div>
    <w:div w:id="1989703935">
      <w:bodyDiv w:val="1"/>
      <w:marLeft w:val="0"/>
      <w:marRight w:val="0"/>
      <w:marTop w:val="0"/>
      <w:marBottom w:val="0"/>
      <w:divBdr>
        <w:top w:val="none" w:sz="0" w:space="0" w:color="auto"/>
        <w:left w:val="none" w:sz="0" w:space="0" w:color="auto"/>
        <w:bottom w:val="none" w:sz="0" w:space="0" w:color="auto"/>
        <w:right w:val="none" w:sz="0" w:space="0" w:color="auto"/>
      </w:divBdr>
    </w:div>
    <w:div w:id="2003583631">
      <w:bodyDiv w:val="1"/>
      <w:marLeft w:val="0"/>
      <w:marRight w:val="0"/>
      <w:marTop w:val="0"/>
      <w:marBottom w:val="0"/>
      <w:divBdr>
        <w:top w:val="none" w:sz="0" w:space="0" w:color="auto"/>
        <w:left w:val="none" w:sz="0" w:space="0" w:color="auto"/>
        <w:bottom w:val="none" w:sz="0" w:space="0" w:color="auto"/>
        <w:right w:val="none" w:sz="0" w:space="0" w:color="auto"/>
      </w:divBdr>
    </w:div>
    <w:div w:id="2005860637">
      <w:bodyDiv w:val="1"/>
      <w:marLeft w:val="0"/>
      <w:marRight w:val="0"/>
      <w:marTop w:val="0"/>
      <w:marBottom w:val="0"/>
      <w:divBdr>
        <w:top w:val="none" w:sz="0" w:space="0" w:color="auto"/>
        <w:left w:val="none" w:sz="0" w:space="0" w:color="auto"/>
        <w:bottom w:val="none" w:sz="0" w:space="0" w:color="auto"/>
        <w:right w:val="none" w:sz="0" w:space="0" w:color="auto"/>
      </w:divBdr>
    </w:div>
    <w:div w:id="2009213779">
      <w:bodyDiv w:val="1"/>
      <w:marLeft w:val="0"/>
      <w:marRight w:val="0"/>
      <w:marTop w:val="0"/>
      <w:marBottom w:val="0"/>
      <w:divBdr>
        <w:top w:val="none" w:sz="0" w:space="0" w:color="auto"/>
        <w:left w:val="none" w:sz="0" w:space="0" w:color="auto"/>
        <w:bottom w:val="none" w:sz="0" w:space="0" w:color="auto"/>
        <w:right w:val="none" w:sz="0" w:space="0" w:color="auto"/>
      </w:divBdr>
    </w:div>
    <w:div w:id="2021468799">
      <w:bodyDiv w:val="1"/>
      <w:marLeft w:val="0"/>
      <w:marRight w:val="0"/>
      <w:marTop w:val="0"/>
      <w:marBottom w:val="0"/>
      <w:divBdr>
        <w:top w:val="none" w:sz="0" w:space="0" w:color="auto"/>
        <w:left w:val="none" w:sz="0" w:space="0" w:color="auto"/>
        <w:bottom w:val="none" w:sz="0" w:space="0" w:color="auto"/>
        <w:right w:val="none" w:sz="0" w:space="0" w:color="auto"/>
      </w:divBdr>
    </w:div>
    <w:div w:id="2023890719">
      <w:bodyDiv w:val="1"/>
      <w:marLeft w:val="0"/>
      <w:marRight w:val="0"/>
      <w:marTop w:val="0"/>
      <w:marBottom w:val="0"/>
      <w:divBdr>
        <w:top w:val="none" w:sz="0" w:space="0" w:color="auto"/>
        <w:left w:val="none" w:sz="0" w:space="0" w:color="auto"/>
        <w:bottom w:val="none" w:sz="0" w:space="0" w:color="auto"/>
        <w:right w:val="none" w:sz="0" w:space="0" w:color="auto"/>
      </w:divBdr>
    </w:div>
    <w:div w:id="2027636241">
      <w:bodyDiv w:val="1"/>
      <w:marLeft w:val="0"/>
      <w:marRight w:val="0"/>
      <w:marTop w:val="0"/>
      <w:marBottom w:val="0"/>
      <w:divBdr>
        <w:top w:val="none" w:sz="0" w:space="0" w:color="auto"/>
        <w:left w:val="none" w:sz="0" w:space="0" w:color="auto"/>
        <w:bottom w:val="none" w:sz="0" w:space="0" w:color="auto"/>
        <w:right w:val="none" w:sz="0" w:space="0" w:color="auto"/>
      </w:divBdr>
    </w:div>
    <w:div w:id="2043314028">
      <w:bodyDiv w:val="1"/>
      <w:marLeft w:val="0"/>
      <w:marRight w:val="0"/>
      <w:marTop w:val="0"/>
      <w:marBottom w:val="0"/>
      <w:divBdr>
        <w:top w:val="none" w:sz="0" w:space="0" w:color="auto"/>
        <w:left w:val="none" w:sz="0" w:space="0" w:color="auto"/>
        <w:bottom w:val="none" w:sz="0" w:space="0" w:color="auto"/>
        <w:right w:val="none" w:sz="0" w:space="0" w:color="auto"/>
      </w:divBdr>
    </w:div>
    <w:div w:id="2060012946">
      <w:bodyDiv w:val="1"/>
      <w:marLeft w:val="0"/>
      <w:marRight w:val="0"/>
      <w:marTop w:val="0"/>
      <w:marBottom w:val="0"/>
      <w:divBdr>
        <w:top w:val="none" w:sz="0" w:space="0" w:color="auto"/>
        <w:left w:val="none" w:sz="0" w:space="0" w:color="auto"/>
        <w:bottom w:val="none" w:sz="0" w:space="0" w:color="auto"/>
        <w:right w:val="none" w:sz="0" w:space="0" w:color="auto"/>
      </w:divBdr>
      <w:divsChild>
        <w:div w:id="1755857868">
          <w:marLeft w:val="0"/>
          <w:marRight w:val="0"/>
          <w:marTop w:val="0"/>
          <w:marBottom w:val="0"/>
          <w:divBdr>
            <w:top w:val="none" w:sz="0" w:space="0" w:color="auto"/>
            <w:left w:val="none" w:sz="0" w:space="0" w:color="auto"/>
            <w:bottom w:val="none" w:sz="0" w:space="0" w:color="auto"/>
            <w:right w:val="none" w:sz="0" w:space="0" w:color="auto"/>
          </w:divBdr>
          <w:divsChild>
            <w:div w:id="1699619928">
              <w:marLeft w:val="0"/>
              <w:marRight w:val="0"/>
              <w:marTop w:val="0"/>
              <w:marBottom w:val="0"/>
              <w:divBdr>
                <w:top w:val="none" w:sz="0" w:space="0" w:color="auto"/>
                <w:left w:val="none" w:sz="0" w:space="0" w:color="auto"/>
                <w:bottom w:val="none" w:sz="0" w:space="0" w:color="auto"/>
                <w:right w:val="none" w:sz="0" w:space="0" w:color="auto"/>
              </w:divBdr>
              <w:divsChild>
                <w:div w:id="1492335486">
                  <w:marLeft w:val="138"/>
                  <w:marRight w:val="138"/>
                  <w:marTop w:val="138"/>
                  <w:marBottom w:val="138"/>
                  <w:divBdr>
                    <w:top w:val="none" w:sz="0" w:space="0" w:color="auto"/>
                    <w:left w:val="none" w:sz="0" w:space="0" w:color="auto"/>
                    <w:bottom w:val="none" w:sz="0" w:space="0" w:color="auto"/>
                    <w:right w:val="none" w:sz="0" w:space="0" w:color="auto"/>
                  </w:divBdr>
                </w:div>
              </w:divsChild>
            </w:div>
          </w:divsChild>
        </w:div>
      </w:divsChild>
    </w:div>
    <w:div w:id="2060202060">
      <w:bodyDiv w:val="1"/>
      <w:marLeft w:val="0"/>
      <w:marRight w:val="0"/>
      <w:marTop w:val="0"/>
      <w:marBottom w:val="0"/>
      <w:divBdr>
        <w:top w:val="none" w:sz="0" w:space="0" w:color="auto"/>
        <w:left w:val="none" w:sz="0" w:space="0" w:color="auto"/>
        <w:bottom w:val="none" w:sz="0" w:space="0" w:color="auto"/>
        <w:right w:val="none" w:sz="0" w:space="0" w:color="auto"/>
      </w:divBdr>
    </w:div>
    <w:div w:id="2066221572">
      <w:bodyDiv w:val="1"/>
      <w:marLeft w:val="0"/>
      <w:marRight w:val="0"/>
      <w:marTop w:val="0"/>
      <w:marBottom w:val="0"/>
      <w:divBdr>
        <w:top w:val="none" w:sz="0" w:space="0" w:color="auto"/>
        <w:left w:val="none" w:sz="0" w:space="0" w:color="auto"/>
        <w:bottom w:val="none" w:sz="0" w:space="0" w:color="auto"/>
        <w:right w:val="none" w:sz="0" w:space="0" w:color="auto"/>
      </w:divBdr>
    </w:div>
    <w:div w:id="2067291791">
      <w:bodyDiv w:val="1"/>
      <w:marLeft w:val="0"/>
      <w:marRight w:val="0"/>
      <w:marTop w:val="0"/>
      <w:marBottom w:val="0"/>
      <w:divBdr>
        <w:top w:val="none" w:sz="0" w:space="0" w:color="auto"/>
        <w:left w:val="none" w:sz="0" w:space="0" w:color="auto"/>
        <w:bottom w:val="none" w:sz="0" w:space="0" w:color="auto"/>
        <w:right w:val="none" w:sz="0" w:space="0" w:color="auto"/>
      </w:divBdr>
    </w:div>
    <w:div w:id="2069835018">
      <w:bodyDiv w:val="1"/>
      <w:marLeft w:val="0"/>
      <w:marRight w:val="0"/>
      <w:marTop w:val="0"/>
      <w:marBottom w:val="0"/>
      <w:divBdr>
        <w:top w:val="none" w:sz="0" w:space="0" w:color="auto"/>
        <w:left w:val="none" w:sz="0" w:space="0" w:color="auto"/>
        <w:bottom w:val="none" w:sz="0" w:space="0" w:color="auto"/>
        <w:right w:val="none" w:sz="0" w:space="0" w:color="auto"/>
      </w:divBdr>
    </w:div>
    <w:div w:id="2079211475">
      <w:bodyDiv w:val="1"/>
      <w:marLeft w:val="0"/>
      <w:marRight w:val="0"/>
      <w:marTop w:val="0"/>
      <w:marBottom w:val="0"/>
      <w:divBdr>
        <w:top w:val="none" w:sz="0" w:space="0" w:color="auto"/>
        <w:left w:val="none" w:sz="0" w:space="0" w:color="auto"/>
        <w:bottom w:val="none" w:sz="0" w:space="0" w:color="auto"/>
        <w:right w:val="none" w:sz="0" w:space="0" w:color="auto"/>
      </w:divBdr>
    </w:div>
    <w:div w:id="2081175100">
      <w:bodyDiv w:val="1"/>
      <w:marLeft w:val="0"/>
      <w:marRight w:val="0"/>
      <w:marTop w:val="0"/>
      <w:marBottom w:val="0"/>
      <w:divBdr>
        <w:top w:val="none" w:sz="0" w:space="0" w:color="auto"/>
        <w:left w:val="none" w:sz="0" w:space="0" w:color="auto"/>
        <w:bottom w:val="none" w:sz="0" w:space="0" w:color="auto"/>
        <w:right w:val="none" w:sz="0" w:space="0" w:color="auto"/>
      </w:divBdr>
    </w:div>
    <w:div w:id="2096245062">
      <w:bodyDiv w:val="1"/>
      <w:marLeft w:val="0"/>
      <w:marRight w:val="0"/>
      <w:marTop w:val="0"/>
      <w:marBottom w:val="0"/>
      <w:divBdr>
        <w:top w:val="none" w:sz="0" w:space="0" w:color="auto"/>
        <w:left w:val="none" w:sz="0" w:space="0" w:color="auto"/>
        <w:bottom w:val="none" w:sz="0" w:space="0" w:color="auto"/>
        <w:right w:val="none" w:sz="0" w:space="0" w:color="auto"/>
      </w:divBdr>
    </w:div>
    <w:div w:id="2101020868">
      <w:bodyDiv w:val="1"/>
      <w:marLeft w:val="0"/>
      <w:marRight w:val="0"/>
      <w:marTop w:val="0"/>
      <w:marBottom w:val="0"/>
      <w:divBdr>
        <w:top w:val="none" w:sz="0" w:space="0" w:color="auto"/>
        <w:left w:val="none" w:sz="0" w:space="0" w:color="auto"/>
        <w:bottom w:val="none" w:sz="0" w:space="0" w:color="auto"/>
        <w:right w:val="none" w:sz="0" w:space="0" w:color="auto"/>
      </w:divBdr>
    </w:div>
    <w:div w:id="2117022316">
      <w:bodyDiv w:val="1"/>
      <w:marLeft w:val="0"/>
      <w:marRight w:val="0"/>
      <w:marTop w:val="0"/>
      <w:marBottom w:val="0"/>
      <w:divBdr>
        <w:top w:val="none" w:sz="0" w:space="0" w:color="auto"/>
        <w:left w:val="none" w:sz="0" w:space="0" w:color="auto"/>
        <w:bottom w:val="none" w:sz="0" w:space="0" w:color="auto"/>
        <w:right w:val="none" w:sz="0" w:space="0" w:color="auto"/>
      </w:divBdr>
    </w:div>
    <w:div w:id="2117478147">
      <w:bodyDiv w:val="1"/>
      <w:marLeft w:val="0"/>
      <w:marRight w:val="0"/>
      <w:marTop w:val="0"/>
      <w:marBottom w:val="0"/>
      <w:divBdr>
        <w:top w:val="none" w:sz="0" w:space="0" w:color="auto"/>
        <w:left w:val="none" w:sz="0" w:space="0" w:color="auto"/>
        <w:bottom w:val="none" w:sz="0" w:space="0" w:color="auto"/>
        <w:right w:val="none" w:sz="0" w:space="0" w:color="auto"/>
      </w:divBdr>
    </w:div>
    <w:div w:id="2124643843">
      <w:bodyDiv w:val="1"/>
      <w:marLeft w:val="0"/>
      <w:marRight w:val="0"/>
      <w:marTop w:val="0"/>
      <w:marBottom w:val="0"/>
      <w:divBdr>
        <w:top w:val="none" w:sz="0" w:space="0" w:color="auto"/>
        <w:left w:val="none" w:sz="0" w:space="0" w:color="auto"/>
        <w:bottom w:val="none" w:sz="0" w:space="0" w:color="auto"/>
        <w:right w:val="none" w:sz="0" w:space="0" w:color="auto"/>
      </w:divBdr>
    </w:div>
    <w:div w:id="2136101941">
      <w:bodyDiv w:val="1"/>
      <w:marLeft w:val="0"/>
      <w:marRight w:val="0"/>
      <w:marTop w:val="0"/>
      <w:marBottom w:val="0"/>
      <w:divBdr>
        <w:top w:val="none" w:sz="0" w:space="0" w:color="auto"/>
        <w:left w:val="none" w:sz="0" w:space="0" w:color="auto"/>
        <w:bottom w:val="none" w:sz="0" w:space="0" w:color="auto"/>
        <w:right w:val="none" w:sz="0" w:space="0" w:color="auto"/>
      </w:divBdr>
      <w:divsChild>
        <w:div w:id="764575159">
          <w:marLeft w:val="0"/>
          <w:marRight w:val="0"/>
          <w:marTop w:val="0"/>
          <w:marBottom w:val="0"/>
          <w:divBdr>
            <w:top w:val="none" w:sz="0" w:space="0" w:color="auto"/>
            <w:left w:val="none" w:sz="0" w:space="0" w:color="auto"/>
            <w:bottom w:val="none" w:sz="0" w:space="0" w:color="auto"/>
            <w:right w:val="none" w:sz="0" w:space="0" w:color="auto"/>
          </w:divBdr>
          <w:divsChild>
            <w:div w:id="1654794881">
              <w:marLeft w:val="0"/>
              <w:marRight w:val="0"/>
              <w:marTop w:val="0"/>
              <w:marBottom w:val="0"/>
              <w:divBdr>
                <w:top w:val="none" w:sz="0" w:space="0" w:color="auto"/>
                <w:left w:val="none" w:sz="0" w:space="0" w:color="auto"/>
                <w:bottom w:val="none" w:sz="0" w:space="0" w:color="auto"/>
                <w:right w:val="none" w:sz="0" w:space="0" w:color="auto"/>
              </w:divBdr>
              <w:divsChild>
                <w:div w:id="253899912">
                  <w:marLeft w:val="0"/>
                  <w:marRight w:val="0"/>
                  <w:marTop w:val="0"/>
                  <w:marBottom w:val="0"/>
                  <w:divBdr>
                    <w:top w:val="none" w:sz="0" w:space="0" w:color="auto"/>
                    <w:left w:val="none" w:sz="0" w:space="0" w:color="auto"/>
                    <w:bottom w:val="none" w:sz="0" w:space="0" w:color="auto"/>
                    <w:right w:val="none" w:sz="0" w:space="0" w:color="auto"/>
                  </w:divBdr>
                  <w:divsChild>
                    <w:div w:id="16019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80901">
          <w:marLeft w:val="0"/>
          <w:marRight w:val="0"/>
          <w:marTop w:val="0"/>
          <w:marBottom w:val="0"/>
          <w:divBdr>
            <w:top w:val="none" w:sz="0" w:space="0" w:color="auto"/>
            <w:left w:val="none" w:sz="0" w:space="0" w:color="auto"/>
            <w:bottom w:val="none" w:sz="0" w:space="0" w:color="auto"/>
            <w:right w:val="none" w:sz="0" w:space="0" w:color="auto"/>
          </w:divBdr>
          <w:divsChild>
            <w:div w:id="376973474">
              <w:marLeft w:val="0"/>
              <w:marRight w:val="0"/>
              <w:marTop w:val="0"/>
              <w:marBottom w:val="0"/>
              <w:divBdr>
                <w:top w:val="none" w:sz="0" w:space="0" w:color="auto"/>
                <w:left w:val="none" w:sz="0" w:space="0" w:color="auto"/>
                <w:bottom w:val="none" w:sz="0" w:space="0" w:color="auto"/>
                <w:right w:val="none" w:sz="0" w:space="0" w:color="auto"/>
              </w:divBdr>
              <w:divsChild>
                <w:div w:id="804464343">
                  <w:marLeft w:val="0"/>
                  <w:marRight w:val="0"/>
                  <w:marTop w:val="0"/>
                  <w:marBottom w:val="0"/>
                  <w:divBdr>
                    <w:top w:val="none" w:sz="0" w:space="0" w:color="auto"/>
                    <w:left w:val="none" w:sz="0" w:space="0" w:color="auto"/>
                    <w:bottom w:val="none" w:sz="0" w:space="0" w:color="auto"/>
                    <w:right w:val="none" w:sz="0" w:space="0" w:color="auto"/>
                  </w:divBdr>
                  <w:divsChild>
                    <w:div w:id="1213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833894">
      <w:bodyDiv w:val="1"/>
      <w:marLeft w:val="0"/>
      <w:marRight w:val="0"/>
      <w:marTop w:val="0"/>
      <w:marBottom w:val="0"/>
      <w:divBdr>
        <w:top w:val="none" w:sz="0" w:space="0" w:color="auto"/>
        <w:left w:val="none" w:sz="0" w:space="0" w:color="auto"/>
        <w:bottom w:val="none" w:sz="0" w:space="0" w:color="auto"/>
        <w:right w:val="none" w:sz="0" w:space="0" w:color="auto"/>
      </w:divBdr>
    </w:div>
    <w:div w:id="2144157887">
      <w:bodyDiv w:val="1"/>
      <w:marLeft w:val="0"/>
      <w:marRight w:val="0"/>
      <w:marTop w:val="0"/>
      <w:marBottom w:val="0"/>
      <w:divBdr>
        <w:top w:val="none" w:sz="0" w:space="0" w:color="auto"/>
        <w:left w:val="none" w:sz="0" w:space="0" w:color="auto"/>
        <w:bottom w:val="none" w:sz="0" w:space="0" w:color="auto"/>
        <w:right w:val="none" w:sz="0" w:space="0" w:color="auto"/>
      </w:divBdr>
    </w:div>
    <w:div w:id="214430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5.xml"/><Relationship Id="rId21" Type="http://schemas.openxmlformats.org/officeDocument/2006/relationships/header" Target="header1.xml"/><Relationship Id="rId34" Type="http://schemas.openxmlformats.org/officeDocument/2006/relationships/chart" Target="charts/chart13.xml"/><Relationship Id="rId42" Type="http://schemas.microsoft.com/office/2007/relationships/diagramDrawing" Target="diagrams/drawing1.xml"/><Relationship Id="rId47" Type="http://schemas.openxmlformats.org/officeDocument/2006/relationships/diagramQuickStyle" Target="diagrams/quickStyle2.xml"/><Relationship Id="rId50" Type="http://schemas.openxmlformats.org/officeDocument/2006/relationships/image" Target="media/image5.emf"/><Relationship Id="rId55" Type="http://schemas.openxmlformats.org/officeDocument/2006/relationships/image" Target="media/image9.png"/><Relationship Id="rId63"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chart" Target="charts/chart8.xml"/><Relationship Id="rId11" Type="http://schemas.openxmlformats.org/officeDocument/2006/relationships/webSettings" Target="webSettings.xml"/><Relationship Id="rId24" Type="http://schemas.openxmlformats.org/officeDocument/2006/relationships/chart" Target="charts/chart3.xml"/><Relationship Id="rId32" Type="http://schemas.openxmlformats.org/officeDocument/2006/relationships/chart" Target="charts/chart11.xml"/><Relationship Id="rId37" Type="http://schemas.openxmlformats.org/officeDocument/2006/relationships/image" Target="media/image3.emf"/><Relationship Id="rId40" Type="http://schemas.openxmlformats.org/officeDocument/2006/relationships/diagramQuickStyle" Target="diagrams/quickStyle1.xml"/><Relationship Id="rId45" Type="http://schemas.openxmlformats.org/officeDocument/2006/relationships/diagramData" Target="diagrams/data2.xml"/><Relationship Id="rId53" Type="http://schemas.openxmlformats.org/officeDocument/2006/relationships/image" Target="media/image8.emf"/><Relationship Id="rId58" Type="http://schemas.openxmlformats.org/officeDocument/2006/relationships/image" Target="media/image12.png"/><Relationship Id="rId5" Type="http://schemas.openxmlformats.org/officeDocument/2006/relationships/customXml" Target="../customXml/item5.xml"/><Relationship Id="rId61" Type="http://schemas.openxmlformats.org/officeDocument/2006/relationships/header" Target="header2.xml"/><Relationship Id="rId19" Type="http://schemas.microsoft.com/office/2007/relationships/hdphoto" Target="media/hdphoto1.wdp"/><Relationship Id="rId14" Type="http://schemas.openxmlformats.org/officeDocument/2006/relationships/comments" Target="comments.xml"/><Relationship Id="rId22" Type="http://schemas.openxmlformats.org/officeDocument/2006/relationships/chart" Target="charts/chart1.xml"/><Relationship Id="rId27" Type="http://schemas.openxmlformats.org/officeDocument/2006/relationships/chart" Target="charts/chart6.xml"/><Relationship Id="rId30" Type="http://schemas.openxmlformats.org/officeDocument/2006/relationships/chart" Target="charts/chart9.xml"/><Relationship Id="rId35" Type="http://schemas.openxmlformats.org/officeDocument/2006/relationships/chart" Target="charts/chart14.xml"/><Relationship Id="rId43" Type="http://schemas.openxmlformats.org/officeDocument/2006/relationships/image" Target="media/image4.emf"/><Relationship Id="rId48" Type="http://schemas.openxmlformats.org/officeDocument/2006/relationships/diagramColors" Target="diagrams/colors2.xml"/><Relationship Id="rId56" Type="http://schemas.openxmlformats.org/officeDocument/2006/relationships/image" Target="media/image10.png"/><Relationship Id="rId64" Type="http://schemas.microsoft.com/office/2011/relationships/people" Target="people.xml"/><Relationship Id="rId8" Type="http://schemas.openxmlformats.org/officeDocument/2006/relationships/numbering" Target="numbering.xml"/><Relationship Id="rId51" Type="http://schemas.openxmlformats.org/officeDocument/2006/relationships/image" Target="media/image6.emf"/><Relationship Id="rId3" Type="http://schemas.openxmlformats.org/officeDocument/2006/relationships/customXml" Target="../customXml/item3.xml"/><Relationship Id="rId12" Type="http://schemas.openxmlformats.org/officeDocument/2006/relationships/footnotes" Target="footnotes.xml"/><Relationship Id="rId17" Type="http://schemas.microsoft.com/office/2018/08/relationships/commentsExtensible" Target="commentsExtensible.xml"/><Relationship Id="rId25" Type="http://schemas.openxmlformats.org/officeDocument/2006/relationships/chart" Target="charts/chart4.xml"/><Relationship Id="rId33" Type="http://schemas.openxmlformats.org/officeDocument/2006/relationships/chart" Target="charts/chart12.xml"/><Relationship Id="rId38" Type="http://schemas.openxmlformats.org/officeDocument/2006/relationships/diagramData" Target="diagrams/data1.xml"/><Relationship Id="rId46" Type="http://schemas.openxmlformats.org/officeDocument/2006/relationships/diagramLayout" Target="diagrams/layout2.xml"/><Relationship Id="rId59" Type="http://schemas.openxmlformats.org/officeDocument/2006/relationships/image" Target="media/image13.png"/><Relationship Id="rId20" Type="http://schemas.openxmlformats.org/officeDocument/2006/relationships/footer" Target="footer1.xml"/><Relationship Id="rId41" Type="http://schemas.openxmlformats.org/officeDocument/2006/relationships/diagramColors" Target="diagrams/colors1.xml"/><Relationship Id="rId54" Type="http://schemas.openxmlformats.org/officeDocument/2006/relationships/footer" Target="footer3.xm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chart" Target="charts/chart2.xml"/><Relationship Id="rId28" Type="http://schemas.openxmlformats.org/officeDocument/2006/relationships/chart" Target="charts/chart7.xml"/><Relationship Id="rId36" Type="http://schemas.openxmlformats.org/officeDocument/2006/relationships/chart" Target="charts/chart15.xml"/><Relationship Id="rId49" Type="http://schemas.microsoft.com/office/2007/relationships/diagramDrawing" Target="diagrams/drawing2.xml"/><Relationship Id="rId57" Type="http://schemas.openxmlformats.org/officeDocument/2006/relationships/image" Target="media/image11.png"/><Relationship Id="rId10" Type="http://schemas.openxmlformats.org/officeDocument/2006/relationships/settings" Target="settings.xml"/><Relationship Id="rId31" Type="http://schemas.openxmlformats.org/officeDocument/2006/relationships/chart" Target="charts/chart10.xml"/><Relationship Id="rId44" Type="http://schemas.openxmlformats.org/officeDocument/2006/relationships/footer" Target="footer2.xml"/><Relationship Id="rId52" Type="http://schemas.openxmlformats.org/officeDocument/2006/relationships/image" Target="media/image7.emf"/><Relationship Id="rId60" Type="http://schemas.openxmlformats.org/officeDocument/2006/relationships/image" Target="media/image14.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1.jpeg"/><Relationship Id="rId39" Type="http://schemas.openxmlformats.org/officeDocument/2006/relationships/diagramLayout" Target="diagrams/layout1.xml"/></Relationships>
</file>

<file path=word/_rels/footnotes.xml.rels><?xml version="1.0" encoding="UTF-8" standalone="yes"?>
<Relationships xmlns="http://schemas.openxmlformats.org/package/2006/relationships"><Relationship Id="rId1" Type="http://schemas.openxmlformats.org/officeDocument/2006/relationships/hyperlink" Target="http://nvvn.co.in/wp-content/uploads/2020/11/Nomination-of-NVVN-as-SN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5.xml"/><Relationship Id="rId1" Type="http://schemas.microsoft.com/office/2011/relationships/chartStyle" Target="style15.xml"/><Relationship Id="rId5" Type="http://schemas.openxmlformats.org/officeDocument/2006/relationships/chartUserShapes" Target="../drawings/drawing1.xml"/><Relationship Id="rId4" Type="http://schemas.openxmlformats.org/officeDocument/2006/relationships/package" Target="../embeddings/Microsoft_Excel_Worksheet1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Generation  Mix (GWh, %) - FY</a:t>
            </a:r>
            <a:r>
              <a:rPr lang="en-US" sz="1100" b="1" baseline="0"/>
              <a:t> 22-23</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83618684675092"/>
          <c:y val="0.23112887712073613"/>
          <c:w val="0.57694643707792759"/>
          <c:h val="0.60240389714406928"/>
        </c:manualLayout>
      </c:layout>
      <c:pieChart>
        <c:varyColors val="1"/>
        <c:ser>
          <c:idx val="0"/>
          <c:order val="0"/>
          <c:tx>
            <c:strRef>
              <c:f>Sheet1!$B$1</c:f>
              <c:strCache>
                <c:ptCount val="1"/>
                <c:pt idx="0">
                  <c:v>Sales</c:v>
                </c:pt>
              </c:strCache>
            </c:strRef>
          </c:tx>
          <c:dPt>
            <c:idx val="0"/>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1-93C3-4547-9FC9-B05CFA93B777}"/>
              </c:ext>
            </c:extLst>
          </c:dPt>
          <c:dPt>
            <c:idx val="1"/>
            <c:bubble3D val="0"/>
            <c:spPr>
              <a:solidFill>
                <a:schemeClr val="tx1">
                  <a:lumMod val="50000"/>
                  <a:lumOff val="50000"/>
                </a:schemeClr>
              </a:solidFill>
              <a:ln w="19050">
                <a:solidFill>
                  <a:schemeClr val="lt1"/>
                </a:solidFill>
              </a:ln>
              <a:effectLst/>
            </c:spPr>
            <c:extLst>
              <c:ext xmlns:c16="http://schemas.microsoft.com/office/drawing/2014/chart" uri="{C3380CC4-5D6E-409C-BE32-E72D297353CC}">
                <c16:uniqueId val="{00000003-93C3-4547-9FC9-B05CFA93B77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3C3-4547-9FC9-B05CFA93B777}"/>
              </c:ext>
            </c:extLst>
          </c:dPt>
          <c:dPt>
            <c:idx val="3"/>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7-93C3-4547-9FC9-B05CFA93B777}"/>
              </c:ext>
            </c:extLst>
          </c:dPt>
          <c:dPt>
            <c:idx val="4"/>
            <c:bubble3D val="0"/>
            <c:spPr>
              <a:solidFill>
                <a:schemeClr val="tx2"/>
              </a:solidFill>
              <a:ln w="19050">
                <a:solidFill>
                  <a:schemeClr val="lt1"/>
                </a:solidFill>
              </a:ln>
              <a:effectLst/>
            </c:spPr>
            <c:extLst>
              <c:ext xmlns:c16="http://schemas.microsoft.com/office/drawing/2014/chart" uri="{C3380CC4-5D6E-409C-BE32-E72D297353CC}">
                <c16:uniqueId val="{00000009-93C3-4547-9FC9-B05CFA93B777}"/>
              </c:ext>
            </c:extLst>
          </c:dPt>
          <c:dPt>
            <c:idx val="5"/>
            <c:bubble3D val="0"/>
            <c:spPr>
              <a:solidFill>
                <a:srgbClr val="0070C0"/>
              </a:solidFill>
              <a:ln w="19050">
                <a:solidFill>
                  <a:schemeClr val="lt1"/>
                </a:solidFill>
              </a:ln>
              <a:effectLst/>
            </c:spPr>
            <c:extLst>
              <c:ext xmlns:c16="http://schemas.microsoft.com/office/drawing/2014/chart" uri="{C3380CC4-5D6E-409C-BE32-E72D297353CC}">
                <c16:uniqueId val="{0000000B-93C3-4547-9FC9-B05CFA93B777}"/>
              </c:ext>
            </c:extLst>
          </c:dPt>
          <c:dLbls>
            <c:dLbl>
              <c:idx val="0"/>
              <c:layout>
                <c:manualLayout>
                  <c:x val="-8.2254392355759723E-2"/>
                  <c:y val="-0.18283808346529837"/>
                </c:manualLayout>
              </c:layout>
              <c:tx>
                <c:rich>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fld id="{A796B705-CC00-4A4A-939E-878390ABAE6D}" type="CATEGORYNAME">
                      <a:rPr lang="en-US" sz="700">
                        <a:solidFill>
                          <a:sysClr val="windowText" lastClr="000000"/>
                        </a:solidFill>
                      </a:rPr>
                      <a:pPr>
                        <a:defRPr sz="700">
                          <a:solidFill>
                            <a:schemeClr val="bg1"/>
                          </a:solidFill>
                        </a:defRPr>
                      </a:pPr>
                      <a:t>[CATEGORY NAME]</a:t>
                    </a:fld>
                    <a:r>
                      <a:rPr lang="en-US" sz="700" baseline="0">
                        <a:solidFill>
                          <a:sysClr val="windowText" lastClr="000000"/>
                        </a:solidFill>
                      </a:rPr>
                      <a:t>, </a:t>
                    </a:r>
                    <a:fld id="{2BD61DCE-04C2-4571-944D-B6B191D909E3}" type="VALUE">
                      <a:rPr lang="en-US" sz="700" baseline="0">
                        <a:solidFill>
                          <a:sysClr val="windowText" lastClr="000000"/>
                        </a:solidFill>
                      </a:rPr>
                      <a:pPr>
                        <a:defRPr sz="700">
                          <a:solidFill>
                            <a:schemeClr val="bg1"/>
                          </a:solidFill>
                        </a:defRPr>
                      </a:pPr>
                      <a:t>[VALUE]</a:t>
                    </a:fld>
                    <a:r>
                      <a:rPr lang="en-US" sz="700" baseline="0">
                        <a:solidFill>
                          <a:sysClr val="windowText" lastClr="000000"/>
                        </a:solidFill>
                      </a:rPr>
                      <a:t>, </a:t>
                    </a:r>
                    <a:fld id="{2EB1196C-9D8D-46D7-9B58-00E95C7C9BE3}" type="PERCENTAGE">
                      <a:rPr lang="en-US" sz="700" baseline="0">
                        <a:solidFill>
                          <a:sysClr val="windowText" lastClr="000000"/>
                        </a:solidFill>
                      </a:rPr>
                      <a:pPr>
                        <a:defRPr sz="700">
                          <a:solidFill>
                            <a:schemeClr val="bg1"/>
                          </a:solidFill>
                        </a:defRPr>
                      </a:pPr>
                      <a:t>[PERCENTAGE]</a:t>
                    </a:fld>
                    <a:endParaRPr lang="en-US" sz="700" baseline="0">
                      <a:solidFill>
                        <a:sysClr val="windowText" lastClr="000000"/>
                      </a:solidFill>
                    </a:endParaRPr>
                  </a:p>
                </c:rich>
              </c:tx>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93C3-4547-9FC9-B05CFA93B777}"/>
                </c:ext>
              </c:extLst>
            </c:dLbl>
            <c:dLbl>
              <c:idx val="1"/>
              <c:layout>
                <c:manualLayout>
                  <c:x val="-9.6502227701964309E-3"/>
                  <c:y val="2.1670549425632062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3C3-4547-9FC9-B05CFA93B777}"/>
                </c:ext>
              </c:extLst>
            </c:dLbl>
            <c:dLbl>
              <c:idx val="2"/>
              <c:layout>
                <c:manualLayout>
                  <c:x val="-4.4189410709782315E-2"/>
                  <c:y val="2.0874187637831828E-2"/>
                </c:manualLayout>
              </c:layout>
              <c:tx>
                <c:rich>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fld id="{1C40180B-1A6D-43DB-96B7-A1A0AEC04FAC}" type="CATEGORYNAME">
                      <a:rPr lang="en-US" sz="700"/>
                      <a:pPr>
                        <a:defRPr sz="700"/>
                      </a:pPr>
                      <a:t>[CATEGORY NAME]</a:t>
                    </a:fld>
                    <a:r>
                      <a:rPr lang="en-US" sz="700" baseline="0"/>
                      <a:t>, </a:t>
                    </a:r>
                    <a:fld id="{4F424D95-BEAE-4B25-AB33-A12B8D3A3A8A}" type="VALUE">
                      <a:rPr lang="en-US" sz="700" baseline="0"/>
                      <a:pPr>
                        <a:defRPr sz="700"/>
                      </a:pPr>
                      <a:t>[VALUE]</a:t>
                    </a:fld>
                    <a:r>
                      <a:rPr lang="en-US" sz="700" baseline="0"/>
                      <a:t>, 12%</a:t>
                    </a:r>
                  </a:p>
                </c:rich>
              </c:tx>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1138334687701404"/>
                      <c:h val="0.12911081772000979"/>
                    </c:manualLayout>
                  </c15:layout>
                  <c15:dlblFieldTable/>
                  <c15:showDataLabelsRange val="0"/>
                </c:ext>
                <c:ext xmlns:c16="http://schemas.microsoft.com/office/drawing/2014/chart" uri="{C3380CC4-5D6E-409C-BE32-E72D297353CC}">
                  <c16:uniqueId val="{00000005-93C3-4547-9FC9-B05CFA93B777}"/>
                </c:ext>
              </c:extLst>
            </c:dLbl>
            <c:dLbl>
              <c:idx val="3"/>
              <c:layout>
                <c:manualLayout>
                  <c:x val="2.1602754504441391E-3"/>
                  <c:y val="4.8862418672352441E-3"/>
                </c:manualLayout>
              </c:layout>
              <c:showLegendKey val="0"/>
              <c:showVal val="1"/>
              <c:showCatName val="1"/>
              <c:showSerName val="0"/>
              <c:showPercent val="1"/>
              <c:showBubbleSize val="0"/>
              <c:extLst>
                <c:ext xmlns:c15="http://schemas.microsoft.com/office/drawing/2012/chart" uri="{CE6537A1-D6FC-4f65-9D91-7224C49458BB}">
                  <c15:layout>
                    <c:manualLayout>
                      <c:w val="0.2555836158825342"/>
                      <c:h val="0.12911081772000979"/>
                    </c:manualLayout>
                  </c15:layout>
                </c:ext>
                <c:ext xmlns:c16="http://schemas.microsoft.com/office/drawing/2014/chart" uri="{C3380CC4-5D6E-409C-BE32-E72D297353CC}">
                  <c16:uniqueId val="{00000007-93C3-4547-9FC9-B05CFA93B777}"/>
                </c:ext>
              </c:extLst>
            </c:dLbl>
            <c:dLbl>
              <c:idx val="4"/>
              <c:layout>
                <c:manualLayout>
                  <c:x val="6.2717651495909049E-2"/>
                  <c:y val="2.0016041169621118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93C3-4547-9FC9-B05CFA93B777}"/>
                </c:ext>
              </c:extLst>
            </c:dLbl>
            <c:dLbl>
              <c:idx val="5"/>
              <c:layout>
                <c:manualLayout>
                  <c:x val="5.2771317286406653E-2"/>
                  <c:y val="0.1525474434135119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93C3-4547-9FC9-B05CFA93B777}"/>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Gas</c:v>
                </c:pt>
                <c:pt idx="1">
                  <c:v>Diesel/ Furnace Oil</c:v>
                </c:pt>
                <c:pt idx="2">
                  <c:v>Import</c:v>
                </c:pt>
                <c:pt idx="3">
                  <c:v>Coal</c:v>
                </c:pt>
                <c:pt idx="4">
                  <c:v>Renewable</c:v>
                </c:pt>
                <c:pt idx="5">
                  <c:v>Hydro</c:v>
                </c:pt>
              </c:strCache>
            </c:strRef>
          </c:cat>
          <c:val>
            <c:numRef>
              <c:f>Sheet1!$B$2:$B$7</c:f>
              <c:numCache>
                <c:formatCode>#,##0</c:formatCode>
                <c:ptCount val="6"/>
                <c:pt idx="0">
                  <c:v>46013</c:v>
                </c:pt>
                <c:pt idx="1">
                  <c:v>20650</c:v>
                </c:pt>
                <c:pt idx="2">
                  <c:v>10425</c:v>
                </c:pt>
                <c:pt idx="3">
                  <c:v>10081</c:v>
                </c:pt>
                <c:pt idx="4">
                  <c:v>671</c:v>
                </c:pt>
                <c:pt idx="5">
                  <c:v>610</c:v>
                </c:pt>
              </c:numCache>
            </c:numRef>
          </c:val>
          <c:extLst>
            <c:ext xmlns:c16="http://schemas.microsoft.com/office/drawing/2014/chart" uri="{C3380CC4-5D6E-409C-BE32-E72D297353CC}">
              <c16:uniqueId val="{0000000C-93C3-4547-9FC9-B05CFA93B777}"/>
            </c:ext>
          </c:extLst>
        </c:ser>
        <c:dLbls>
          <c:showLegendKey val="0"/>
          <c:showVal val="0"/>
          <c:showCatName val="0"/>
          <c:showSerName val="0"/>
          <c:showPercent val="0"/>
          <c:showBubbleSize val="0"/>
          <c:showLeaderLines val="1"/>
        </c:dLbls>
        <c:firstSliceAng val="72"/>
      </c:pieChart>
      <c:spPr>
        <a:noFill/>
        <a:ln>
          <a:noFill/>
        </a:ln>
        <a:effectLst/>
      </c:spPr>
    </c:plotArea>
    <c:legend>
      <c:legendPos val="b"/>
      <c:layout>
        <c:manualLayout>
          <c:xMode val="edge"/>
          <c:yMode val="edge"/>
          <c:x val="0"/>
          <c:y val="0.8189945543848357"/>
          <c:w val="0.98140316038207831"/>
          <c:h val="0.1499815309895366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Installed Capacity (GW, %) - FY 22-23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83618684675092"/>
          <c:y val="0.23112887712073613"/>
          <c:w val="0.57694643707792759"/>
          <c:h val="0.60240389714406928"/>
        </c:manualLayout>
      </c:layout>
      <c:pieChart>
        <c:varyColors val="1"/>
        <c:ser>
          <c:idx val="0"/>
          <c:order val="0"/>
          <c:tx>
            <c:strRef>
              <c:f>Sheet1!$B$1</c:f>
              <c:strCache>
                <c:ptCount val="1"/>
                <c:pt idx="0">
                  <c:v>Column1</c:v>
                </c:pt>
              </c:strCache>
            </c:strRef>
          </c:tx>
          <c:dPt>
            <c:idx val="0"/>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1-9170-4244-BD67-B70EA8CEFEA7}"/>
              </c:ext>
            </c:extLst>
          </c:dPt>
          <c:dPt>
            <c:idx val="1"/>
            <c:bubble3D val="0"/>
            <c:spPr>
              <a:solidFill>
                <a:schemeClr val="tx1">
                  <a:lumMod val="50000"/>
                  <a:lumOff val="50000"/>
                </a:schemeClr>
              </a:solidFill>
              <a:ln w="19050">
                <a:solidFill>
                  <a:schemeClr val="lt1"/>
                </a:solidFill>
              </a:ln>
              <a:effectLst/>
            </c:spPr>
            <c:extLst>
              <c:ext xmlns:c16="http://schemas.microsoft.com/office/drawing/2014/chart" uri="{C3380CC4-5D6E-409C-BE32-E72D297353CC}">
                <c16:uniqueId val="{00000004-9170-4244-BD67-B70EA8CEFEA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3-9170-4244-BD67-B70EA8CEFEA7}"/>
              </c:ext>
            </c:extLst>
          </c:dPt>
          <c:dPt>
            <c:idx val="3"/>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5-9170-4244-BD67-B70EA8CEFEA7}"/>
              </c:ext>
            </c:extLst>
          </c:dPt>
          <c:dPt>
            <c:idx val="4"/>
            <c:bubble3D val="0"/>
            <c:spPr>
              <a:solidFill>
                <a:schemeClr val="tx2"/>
              </a:solidFill>
              <a:ln w="19050">
                <a:solidFill>
                  <a:schemeClr val="lt1"/>
                </a:solidFill>
              </a:ln>
              <a:effectLst/>
            </c:spPr>
            <c:extLst>
              <c:ext xmlns:c16="http://schemas.microsoft.com/office/drawing/2014/chart" uri="{C3380CC4-5D6E-409C-BE32-E72D297353CC}">
                <c16:uniqueId val="{00000006-9170-4244-BD67-B70EA8CEFEA7}"/>
              </c:ext>
            </c:extLst>
          </c:dPt>
          <c:dPt>
            <c:idx val="5"/>
            <c:bubble3D val="0"/>
            <c:spPr>
              <a:solidFill>
                <a:srgbClr val="0070C0"/>
              </a:solidFill>
              <a:ln w="19050">
                <a:solidFill>
                  <a:schemeClr val="lt1"/>
                </a:solidFill>
              </a:ln>
              <a:effectLst/>
            </c:spPr>
            <c:extLst>
              <c:ext xmlns:c16="http://schemas.microsoft.com/office/drawing/2014/chart" uri="{C3380CC4-5D6E-409C-BE32-E72D297353CC}">
                <c16:uniqueId val="{00000002-9170-4244-BD67-B70EA8CEFEA7}"/>
              </c:ext>
            </c:extLst>
          </c:dPt>
          <c:dLbls>
            <c:dLbl>
              <c:idx val="0"/>
              <c:layout>
                <c:manualLayout>
                  <c:x val="-8.2254392355759723E-2"/>
                  <c:y val="-0.18283808346529837"/>
                </c:manualLayout>
              </c:layout>
              <c:tx>
                <c:rich>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fld id="{02DFC6A6-9024-4B5A-BBF5-966FA2988E5E}" type="CATEGORYNAME">
                      <a:rPr lang="en-US" sz="700">
                        <a:solidFill>
                          <a:sysClr val="windowText" lastClr="000000"/>
                        </a:solidFill>
                      </a:rPr>
                      <a:pPr>
                        <a:defRPr sz="700">
                          <a:solidFill>
                            <a:schemeClr val="bg1"/>
                          </a:solidFill>
                        </a:defRPr>
                      </a:pPr>
                      <a:t>[CATEGORY NAME]</a:t>
                    </a:fld>
                    <a:r>
                      <a:rPr lang="en-US" sz="700" baseline="0">
                        <a:solidFill>
                          <a:sysClr val="windowText" lastClr="000000"/>
                        </a:solidFill>
                      </a:rPr>
                      <a:t>, </a:t>
                    </a:r>
                    <a:fld id="{FB7768AC-D54C-4910-920A-8F38C277C6F6}" type="VALUE">
                      <a:rPr lang="en-US" sz="700" baseline="0">
                        <a:solidFill>
                          <a:sysClr val="windowText" lastClr="000000"/>
                        </a:solidFill>
                      </a:rPr>
                      <a:pPr>
                        <a:defRPr sz="700">
                          <a:solidFill>
                            <a:schemeClr val="bg1"/>
                          </a:solidFill>
                        </a:defRPr>
                      </a:pPr>
                      <a:t>[VALUE]</a:t>
                    </a:fld>
                    <a:r>
                      <a:rPr lang="en-US" sz="700" baseline="0">
                        <a:solidFill>
                          <a:sysClr val="windowText" lastClr="000000"/>
                        </a:solidFill>
                      </a:rPr>
                      <a:t>, </a:t>
                    </a:r>
                    <a:fld id="{EB94A2D3-16F4-417B-AD9A-D151ED534920}" type="PERCENTAGE">
                      <a:rPr lang="en-US" sz="700" baseline="0">
                        <a:solidFill>
                          <a:sysClr val="windowText" lastClr="000000"/>
                        </a:solidFill>
                      </a:rPr>
                      <a:pPr>
                        <a:defRPr sz="700">
                          <a:solidFill>
                            <a:schemeClr val="bg1"/>
                          </a:solidFill>
                        </a:defRPr>
                      </a:pPr>
                      <a:t>[PERCENTAGE]</a:t>
                    </a:fld>
                    <a:endParaRPr lang="en-US" sz="700" baseline="0">
                      <a:solidFill>
                        <a:sysClr val="windowText" lastClr="000000"/>
                      </a:solidFill>
                    </a:endParaRPr>
                  </a:p>
                </c:rich>
              </c:tx>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9170-4244-BD67-B70EA8CEFEA7}"/>
                </c:ext>
              </c:extLst>
            </c:dLbl>
            <c:dLbl>
              <c:idx val="1"/>
              <c:layout>
                <c:manualLayout>
                  <c:x val="-9.6502227701964309E-3"/>
                  <c:y val="2.1670549425632062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9170-4244-BD67-B70EA8CEFEA7}"/>
                </c:ext>
              </c:extLst>
            </c:dLbl>
            <c:dLbl>
              <c:idx val="2"/>
              <c:layout>
                <c:manualLayout>
                  <c:x val="-4.4189410709782315E-2"/>
                  <c:y val="2.0874187637831828E-2"/>
                </c:manualLayout>
              </c:layout>
              <c:tx>
                <c:rich>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fld id="{1C40180B-1A6D-43DB-96B7-A1A0AEC04FAC}" type="CATEGORYNAME">
                      <a:rPr lang="en-US" sz="700"/>
                      <a:pPr>
                        <a:defRPr sz="700"/>
                      </a:pPr>
                      <a:t>[CATEGORY NAME]</a:t>
                    </a:fld>
                    <a:r>
                      <a:rPr lang="en-US" sz="700" baseline="0"/>
                      <a:t>, </a:t>
                    </a:r>
                    <a:fld id="{4F424D95-BEAE-4B25-AB33-A12B8D3A3A8A}" type="VALUE">
                      <a:rPr lang="en-US" sz="700" baseline="0"/>
                      <a:pPr>
                        <a:defRPr sz="700"/>
                      </a:pPr>
                      <a:t>[VALUE]</a:t>
                    </a:fld>
                    <a:r>
                      <a:rPr lang="en-US" sz="700" baseline="0"/>
                      <a:t>, 12%</a:t>
                    </a:r>
                  </a:p>
                </c:rich>
              </c:tx>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1138334687701404"/>
                      <c:h val="0.12911081772000979"/>
                    </c:manualLayout>
                  </c15:layout>
                  <c15:dlblFieldTable/>
                  <c15:showDataLabelsRange val="0"/>
                </c:ext>
                <c:ext xmlns:c16="http://schemas.microsoft.com/office/drawing/2014/chart" uri="{C3380CC4-5D6E-409C-BE32-E72D297353CC}">
                  <c16:uniqueId val="{00000003-9170-4244-BD67-B70EA8CEFEA7}"/>
                </c:ext>
              </c:extLst>
            </c:dLbl>
            <c:dLbl>
              <c:idx val="3"/>
              <c:layout>
                <c:manualLayout>
                  <c:x val="2.1602754504441391E-3"/>
                  <c:y val="4.8862418672352441E-3"/>
                </c:manualLayout>
              </c:layout>
              <c:showLegendKey val="0"/>
              <c:showVal val="1"/>
              <c:showCatName val="1"/>
              <c:showSerName val="0"/>
              <c:showPercent val="1"/>
              <c:showBubbleSize val="0"/>
              <c:extLst>
                <c:ext xmlns:c15="http://schemas.microsoft.com/office/drawing/2012/chart" uri="{CE6537A1-D6FC-4f65-9D91-7224C49458BB}">
                  <c15:layout>
                    <c:manualLayout>
                      <c:w val="0.2555836158825342"/>
                      <c:h val="0.12911081772000979"/>
                    </c:manualLayout>
                  </c15:layout>
                </c:ext>
                <c:ext xmlns:c16="http://schemas.microsoft.com/office/drawing/2014/chart" uri="{C3380CC4-5D6E-409C-BE32-E72D297353CC}">
                  <c16:uniqueId val="{00000005-9170-4244-BD67-B70EA8CEFEA7}"/>
                </c:ext>
              </c:extLst>
            </c:dLbl>
            <c:dLbl>
              <c:idx val="4"/>
              <c:layout>
                <c:manualLayout>
                  <c:x val="6.2717651495909049E-2"/>
                  <c:y val="2.0016041169621118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9170-4244-BD67-B70EA8CEFEA7}"/>
                </c:ext>
              </c:extLst>
            </c:dLbl>
            <c:dLbl>
              <c:idx val="5"/>
              <c:layout>
                <c:manualLayout>
                  <c:x val="5.2771317286406653E-2"/>
                  <c:y val="0.1525474434135119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9170-4244-BD67-B70EA8CEFEA7}"/>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Gas</c:v>
                </c:pt>
                <c:pt idx="1">
                  <c:v>Diesel/ Furnace Oil</c:v>
                </c:pt>
                <c:pt idx="2">
                  <c:v>Import</c:v>
                </c:pt>
                <c:pt idx="3">
                  <c:v>Coal</c:v>
                </c:pt>
                <c:pt idx="4">
                  <c:v>Solar</c:v>
                </c:pt>
                <c:pt idx="5">
                  <c:v>Hydro</c:v>
                </c:pt>
              </c:strCache>
            </c:strRef>
          </c:cat>
          <c:val>
            <c:numRef>
              <c:f>Sheet1!$B$2:$B$7</c:f>
              <c:numCache>
                <c:formatCode>#,##0.0</c:formatCode>
                <c:ptCount val="6"/>
                <c:pt idx="0">
                  <c:v>11.372</c:v>
                </c:pt>
                <c:pt idx="1">
                  <c:v>9.1840000000000011</c:v>
                </c:pt>
                <c:pt idx="2">
                  <c:v>2.6560000000000001</c:v>
                </c:pt>
                <c:pt idx="3">
                  <c:v>2.6920000000000002</c:v>
                </c:pt>
                <c:pt idx="4">
                  <c:v>0.45900000000000002</c:v>
                </c:pt>
                <c:pt idx="5">
                  <c:v>0.23</c:v>
                </c:pt>
              </c:numCache>
            </c:numRef>
          </c:val>
          <c:extLst>
            <c:ext xmlns:c16="http://schemas.microsoft.com/office/drawing/2014/chart" uri="{C3380CC4-5D6E-409C-BE32-E72D297353CC}">
              <c16:uniqueId val="{00000000-9170-4244-BD67-B70EA8CEFEA7}"/>
            </c:ext>
          </c:extLst>
        </c:ser>
        <c:dLbls>
          <c:showLegendKey val="0"/>
          <c:showVal val="0"/>
          <c:showCatName val="0"/>
          <c:showSerName val="0"/>
          <c:showPercent val="0"/>
          <c:showBubbleSize val="0"/>
          <c:showLeaderLines val="1"/>
        </c:dLbls>
        <c:firstSliceAng val="72"/>
      </c:pieChart>
      <c:spPr>
        <a:noFill/>
        <a:ln>
          <a:noFill/>
        </a:ln>
        <a:effectLst/>
      </c:spPr>
    </c:plotArea>
    <c:legend>
      <c:legendPos val="b"/>
      <c:layout>
        <c:manualLayout>
          <c:xMode val="edge"/>
          <c:yMode val="edge"/>
          <c:x val="0"/>
          <c:y val="0.8189945543848357"/>
          <c:w val="0.98140316038207831"/>
          <c:h val="0.1499815309895366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t>Generation  Mix (GWh, %) - 2022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165354330708663"/>
          <c:y val="0.23927575459317579"/>
          <c:w val="0.60808522711351476"/>
          <c:h val="0.63491667001912744"/>
        </c:manualLayout>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559-466C-815D-2273DAAADDC5}"/>
              </c:ext>
            </c:extLst>
          </c:dPt>
          <c:dPt>
            <c:idx val="1"/>
            <c:bubble3D val="0"/>
            <c:spPr>
              <a:solidFill>
                <a:schemeClr val="tx2"/>
              </a:solidFill>
              <a:ln w="19050">
                <a:solidFill>
                  <a:schemeClr val="lt1"/>
                </a:solidFill>
              </a:ln>
              <a:effectLst/>
            </c:spPr>
            <c:extLst>
              <c:ext xmlns:c16="http://schemas.microsoft.com/office/drawing/2014/chart" uri="{C3380CC4-5D6E-409C-BE32-E72D297353CC}">
                <c16:uniqueId val="{00000003-A559-466C-815D-2273DAAADDC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559-466C-815D-2273DAAADDC5}"/>
              </c:ext>
            </c:extLst>
          </c:dPt>
          <c:dPt>
            <c:idx val="3"/>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7-A559-466C-815D-2273DAAADDC5}"/>
              </c:ext>
            </c:extLst>
          </c:dPt>
          <c:dPt>
            <c:idx val="4"/>
            <c:bubble3D val="0"/>
            <c:spPr>
              <a:solidFill>
                <a:schemeClr val="tx2"/>
              </a:solidFill>
              <a:ln w="19050">
                <a:solidFill>
                  <a:schemeClr val="lt1"/>
                </a:solidFill>
              </a:ln>
              <a:effectLst/>
            </c:spPr>
            <c:extLst>
              <c:ext xmlns:c16="http://schemas.microsoft.com/office/drawing/2014/chart" uri="{C3380CC4-5D6E-409C-BE32-E72D297353CC}">
                <c16:uniqueId val="{00000009-A559-466C-815D-2273DAAADDC5}"/>
              </c:ext>
            </c:extLst>
          </c:dPt>
          <c:dPt>
            <c:idx val="5"/>
            <c:bubble3D val="0"/>
            <c:spPr>
              <a:solidFill>
                <a:srgbClr val="00B050"/>
              </a:solidFill>
              <a:ln w="19050">
                <a:solidFill>
                  <a:schemeClr val="lt1"/>
                </a:solidFill>
              </a:ln>
              <a:effectLst/>
            </c:spPr>
            <c:extLst>
              <c:ext xmlns:c16="http://schemas.microsoft.com/office/drawing/2014/chart" uri="{C3380CC4-5D6E-409C-BE32-E72D297353CC}">
                <c16:uniqueId val="{0000000B-A559-466C-815D-2273DAAADDC5}"/>
              </c:ext>
            </c:extLst>
          </c:dPt>
          <c:dLbls>
            <c:dLbl>
              <c:idx val="0"/>
              <c:layout>
                <c:manualLayout>
                  <c:x val="0.22686832740213522"/>
                  <c:y val="1.9307287109944581E-2"/>
                </c:manualLayout>
              </c:layout>
              <c:tx>
                <c:rich>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fld id="{C7F69885-FF8E-4F74-8A08-F117FB562B12}" type="CATEGORYNAME">
                      <a:rPr lang="en-US" sz="700">
                        <a:solidFill>
                          <a:schemeClr val="bg1"/>
                        </a:solidFill>
                      </a:rPr>
                      <a:pPr>
                        <a:defRPr sz="700"/>
                      </a:pPr>
                      <a:t>[CATEGORY NAME]</a:t>
                    </a:fld>
                    <a:r>
                      <a:rPr lang="en-US" sz="700" baseline="0">
                        <a:solidFill>
                          <a:schemeClr val="bg1"/>
                        </a:solidFill>
                      </a:rPr>
                      <a:t>, </a:t>
                    </a:r>
                    <a:fld id="{9226A1D4-7686-4107-8FE0-E3D8F4AFF4C6}" type="VALUE">
                      <a:rPr lang="en-US" sz="700" baseline="0">
                        <a:solidFill>
                          <a:schemeClr val="bg1"/>
                        </a:solidFill>
                      </a:rPr>
                      <a:pPr>
                        <a:defRPr sz="700"/>
                      </a:pPr>
                      <a:t>[VALUE]</a:t>
                    </a:fld>
                    <a:r>
                      <a:rPr lang="en-US" sz="700" baseline="0">
                        <a:solidFill>
                          <a:schemeClr val="bg1"/>
                        </a:solidFill>
                      </a:rPr>
                      <a:t>, </a:t>
                    </a:r>
                    <a:fld id="{EC6B38CE-9FB1-4565-B39F-BCBE13401343}" type="PERCENTAGE">
                      <a:rPr lang="en-US" sz="700" baseline="0">
                        <a:solidFill>
                          <a:schemeClr val="bg1"/>
                        </a:solidFill>
                      </a:rPr>
                      <a:pPr>
                        <a:defRPr sz="700"/>
                      </a:pPr>
                      <a:t>[PERCENTAGE]</a:t>
                    </a:fld>
                    <a:endParaRPr lang="en-US" sz="700" baseline="0">
                      <a:solidFill>
                        <a:schemeClr val="bg1"/>
                      </a:solidFill>
                    </a:endParaRPr>
                  </a:p>
                </c:rich>
              </c:tx>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0017793594306049"/>
                      <c:h val="0.31188438684747738"/>
                    </c:manualLayout>
                  </c15:layout>
                  <c15:dlblFieldTable/>
                  <c15:showDataLabelsRange val="0"/>
                </c:ext>
                <c:ext xmlns:c16="http://schemas.microsoft.com/office/drawing/2014/chart" uri="{C3380CC4-5D6E-409C-BE32-E72D297353CC}">
                  <c16:uniqueId val="{00000001-A559-466C-815D-2273DAAADDC5}"/>
                </c:ext>
              </c:extLst>
            </c:dLbl>
            <c:dLbl>
              <c:idx val="1"/>
              <c:layout>
                <c:manualLayout>
                  <c:x val="2.746798554095329E-3"/>
                  <c:y val="-0.14078220691163604"/>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559-466C-815D-2273DAAADDC5}"/>
                </c:ext>
              </c:extLst>
            </c:dLbl>
            <c:dLbl>
              <c:idx val="2"/>
              <c:layout>
                <c:manualLayout>
                  <c:x val="3.4841468882226022E-2"/>
                  <c:y val="9.9932560513269181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559-466C-815D-2273DAAADDC5}"/>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Hydro</c:v>
                </c:pt>
                <c:pt idx="1">
                  <c:v>Solar</c:v>
                </c:pt>
                <c:pt idx="2">
                  <c:v>Wind</c:v>
                </c:pt>
              </c:strCache>
            </c:strRef>
          </c:cat>
          <c:val>
            <c:numRef>
              <c:f>Sheet1!$B$2:$B$4</c:f>
              <c:numCache>
                <c:formatCode>#,##0.0</c:formatCode>
                <c:ptCount val="3"/>
                <c:pt idx="0" formatCode="#,##0">
                  <c:v>10698.37</c:v>
                </c:pt>
                <c:pt idx="1">
                  <c:v>0.74</c:v>
                </c:pt>
                <c:pt idx="2">
                  <c:v>0.43</c:v>
                </c:pt>
              </c:numCache>
            </c:numRef>
          </c:val>
          <c:extLst>
            <c:ext xmlns:c16="http://schemas.microsoft.com/office/drawing/2014/chart" uri="{C3380CC4-5D6E-409C-BE32-E72D297353CC}">
              <c16:uniqueId val="{0000000C-A559-466C-815D-2273DAAADDC5}"/>
            </c:ext>
          </c:extLst>
        </c:ser>
        <c:dLbls>
          <c:showLegendKey val="0"/>
          <c:showVal val="0"/>
          <c:showCatName val="0"/>
          <c:showSerName val="0"/>
          <c:showPercent val="0"/>
          <c:showBubbleSize val="0"/>
          <c:showLeaderLines val="1"/>
        </c:dLbls>
        <c:firstSliceAng val="90"/>
      </c:pieChart>
      <c:spPr>
        <a:noFill/>
        <a:ln>
          <a:noFill/>
        </a:ln>
        <a:effectLst/>
      </c:spPr>
    </c:plotArea>
    <c:legend>
      <c:legendPos val="b"/>
      <c:layout>
        <c:manualLayout>
          <c:xMode val="edge"/>
          <c:yMode val="edge"/>
          <c:x val="0"/>
          <c:y val="0.89795414565283382"/>
          <c:w val="0.98140316038207831"/>
          <c:h val="9.8890146487635278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t>Installed Capacity (GW, %) - 2022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165354330708663"/>
          <c:y val="0.23927575459317579"/>
          <c:w val="0.60808522711351476"/>
          <c:h val="0.63491667001912744"/>
        </c:manualLayout>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946-49F9-9C47-70809E6ADA9C}"/>
              </c:ext>
            </c:extLst>
          </c:dPt>
          <c:dPt>
            <c:idx val="1"/>
            <c:bubble3D val="0"/>
            <c:spPr>
              <a:solidFill>
                <a:schemeClr val="tx2"/>
              </a:solidFill>
              <a:ln w="19050">
                <a:solidFill>
                  <a:schemeClr val="lt1"/>
                </a:solidFill>
              </a:ln>
              <a:effectLst/>
            </c:spPr>
            <c:extLst>
              <c:ext xmlns:c16="http://schemas.microsoft.com/office/drawing/2014/chart" uri="{C3380CC4-5D6E-409C-BE32-E72D297353CC}">
                <c16:uniqueId val="{00000003-0946-49F9-9C47-70809E6ADA9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946-49F9-9C47-70809E6ADA9C}"/>
              </c:ext>
            </c:extLst>
          </c:dPt>
          <c:dPt>
            <c:idx val="3"/>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7-0946-49F9-9C47-70809E6ADA9C}"/>
              </c:ext>
            </c:extLst>
          </c:dPt>
          <c:dPt>
            <c:idx val="4"/>
            <c:bubble3D val="0"/>
            <c:spPr>
              <a:solidFill>
                <a:schemeClr val="tx2"/>
              </a:solidFill>
              <a:ln w="19050">
                <a:solidFill>
                  <a:schemeClr val="lt1"/>
                </a:solidFill>
              </a:ln>
              <a:effectLst/>
            </c:spPr>
            <c:extLst>
              <c:ext xmlns:c16="http://schemas.microsoft.com/office/drawing/2014/chart" uri="{C3380CC4-5D6E-409C-BE32-E72D297353CC}">
                <c16:uniqueId val="{00000009-0946-49F9-9C47-70809E6ADA9C}"/>
              </c:ext>
            </c:extLst>
          </c:dPt>
          <c:dPt>
            <c:idx val="5"/>
            <c:bubble3D val="0"/>
            <c:spPr>
              <a:solidFill>
                <a:srgbClr val="00B050"/>
              </a:solidFill>
              <a:ln w="19050">
                <a:solidFill>
                  <a:schemeClr val="lt1"/>
                </a:solidFill>
              </a:ln>
              <a:effectLst/>
            </c:spPr>
            <c:extLst>
              <c:ext xmlns:c16="http://schemas.microsoft.com/office/drawing/2014/chart" uri="{C3380CC4-5D6E-409C-BE32-E72D297353CC}">
                <c16:uniqueId val="{0000000B-0946-49F9-9C47-70809E6ADA9C}"/>
              </c:ext>
            </c:extLst>
          </c:dPt>
          <c:dLbls>
            <c:dLbl>
              <c:idx val="0"/>
              <c:layout>
                <c:manualLayout>
                  <c:x val="0.22686832740213522"/>
                  <c:y val="1.9307287109944581E-2"/>
                </c:manualLayout>
              </c:layout>
              <c:tx>
                <c:rich>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fld id="{C7F69885-FF8E-4F74-8A08-F117FB562B12}" type="CATEGORYNAME">
                      <a:rPr lang="en-US" sz="700">
                        <a:solidFill>
                          <a:schemeClr val="bg1"/>
                        </a:solidFill>
                      </a:rPr>
                      <a:pPr>
                        <a:defRPr sz="700"/>
                      </a:pPr>
                      <a:t>[CATEGORY NAME]</a:t>
                    </a:fld>
                    <a:r>
                      <a:rPr lang="en-US" sz="700" baseline="0">
                        <a:solidFill>
                          <a:schemeClr val="bg1"/>
                        </a:solidFill>
                      </a:rPr>
                      <a:t>, </a:t>
                    </a:r>
                    <a:fld id="{9226A1D4-7686-4107-8FE0-E3D8F4AFF4C6}" type="VALUE">
                      <a:rPr lang="en-US" sz="700" baseline="0">
                        <a:solidFill>
                          <a:schemeClr val="bg1"/>
                        </a:solidFill>
                      </a:rPr>
                      <a:pPr>
                        <a:defRPr sz="700"/>
                      </a:pPr>
                      <a:t>[VALUE]</a:t>
                    </a:fld>
                    <a:r>
                      <a:rPr lang="en-US" sz="700" baseline="0">
                        <a:solidFill>
                          <a:schemeClr val="bg1"/>
                        </a:solidFill>
                      </a:rPr>
                      <a:t>, </a:t>
                    </a:r>
                    <a:fld id="{EC6B38CE-9FB1-4565-B39F-BCBE13401343}" type="PERCENTAGE">
                      <a:rPr lang="en-US" sz="700" baseline="0">
                        <a:solidFill>
                          <a:schemeClr val="bg1"/>
                        </a:solidFill>
                      </a:rPr>
                      <a:pPr>
                        <a:defRPr sz="700"/>
                      </a:pPr>
                      <a:t>[PERCENTAGE]</a:t>
                    </a:fld>
                    <a:endParaRPr lang="en-US" sz="700" baseline="0">
                      <a:solidFill>
                        <a:schemeClr val="bg1"/>
                      </a:solidFill>
                    </a:endParaRPr>
                  </a:p>
                </c:rich>
              </c:tx>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0017793594306049"/>
                      <c:h val="0.31188438684747738"/>
                    </c:manualLayout>
                  </c15:layout>
                  <c15:dlblFieldTable/>
                  <c15:showDataLabelsRange val="0"/>
                </c:ext>
                <c:ext xmlns:c16="http://schemas.microsoft.com/office/drawing/2014/chart" uri="{C3380CC4-5D6E-409C-BE32-E72D297353CC}">
                  <c16:uniqueId val="{00000001-0946-49F9-9C47-70809E6ADA9C}"/>
                </c:ext>
              </c:extLst>
            </c:dLbl>
            <c:dLbl>
              <c:idx val="1"/>
              <c:layout>
                <c:manualLayout>
                  <c:x val="2.746798554095329E-3"/>
                  <c:y val="-0.14078220691163604"/>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946-49F9-9C47-70809E6ADA9C}"/>
                </c:ext>
              </c:extLst>
            </c:dLbl>
            <c:dLbl>
              <c:idx val="2"/>
              <c:layout>
                <c:manualLayout>
                  <c:x val="3.4841468882226022E-2"/>
                  <c:y val="9.9932560513269181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946-49F9-9C47-70809E6ADA9C}"/>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Hydro</c:v>
                </c:pt>
                <c:pt idx="1">
                  <c:v>Solar</c:v>
                </c:pt>
                <c:pt idx="2">
                  <c:v>Wind</c:v>
                </c:pt>
              </c:strCache>
            </c:strRef>
          </c:cat>
          <c:val>
            <c:numRef>
              <c:f>Sheet1!$B$2:$B$4</c:f>
              <c:numCache>
                <c:formatCode>#,##0.0000</c:formatCode>
                <c:ptCount val="3"/>
                <c:pt idx="0" formatCode="#,##0.00">
                  <c:v>2.3340999999999998</c:v>
                </c:pt>
                <c:pt idx="1">
                  <c:v>4.9657097609748897E-4</c:v>
                </c:pt>
                <c:pt idx="2">
                  <c:v>1.635105331203894E-4</c:v>
                </c:pt>
              </c:numCache>
            </c:numRef>
          </c:val>
          <c:extLst>
            <c:ext xmlns:c16="http://schemas.microsoft.com/office/drawing/2014/chart" uri="{C3380CC4-5D6E-409C-BE32-E72D297353CC}">
              <c16:uniqueId val="{0000000C-0946-49F9-9C47-70809E6ADA9C}"/>
            </c:ext>
          </c:extLst>
        </c:ser>
        <c:dLbls>
          <c:showLegendKey val="0"/>
          <c:showVal val="0"/>
          <c:showCatName val="0"/>
          <c:showSerName val="0"/>
          <c:showPercent val="0"/>
          <c:showBubbleSize val="0"/>
          <c:showLeaderLines val="1"/>
        </c:dLbls>
        <c:firstSliceAng val="90"/>
      </c:pieChart>
      <c:spPr>
        <a:noFill/>
        <a:ln>
          <a:noFill/>
        </a:ln>
        <a:effectLst/>
      </c:spPr>
    </c:plotArea>
    <c:legend>
      <c:legendPos val="b"/>
      <c:layout>
        <c:manualLayout>
          <c:xMode val="edge"/>
          <c:yMode val="edge"/>
          <c:x val="0"/>
          <c:y val="0.89795414565283382"/>
          <c:w val="0.98140316038207831"/>
          <c:h val="9.8890146487635278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Generation  Mix (GWh, %) - FY 23-24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83262812788971"/>
          <c:y val="0.22648419528144212"/>
          <c:w val="0.5191172555832656"/>
          <c:h val="0.54202303323324719"/>
        </c:manualLayout>
      </c:layout>
      <c:pieChart>
        <c:varyColors val="1"/>
        <c:ser>
          <c:idx val="0"/>
          <c:order val="0"/>
          <c:tx>
            <c:strRef>
              <c:f>Sheet1!$B$1</c:f>
              <c:strCache>
                <c:ptCount val="1"/>
                <c:pt idx="0">
                  <c:v>Column1</c:v>
                </c:pt>
              </c:strCache>
            </c:strRef>
          </c:tx>
          <c:dPt>
            <c:idx val="0"/>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1-F17D-4B92-9FBE-4AF94CEB32C0}"/>
              </c:ext>
            </c:extLst>
          </c:dPt>
          <c:dPt>
            <c:idx val="1"/>
            <c:bubble3D val="0"/>
            <c:spPr>
              <a:solidFill>
                <a:schemeClr val="accent1"/>
              </a:solidFill>
              <a:ln w="19050">
                <a:solidFill>
                  <a:schemeClr val="lt1"/>
                </a:solidFill>
              </a:ln>
              <a:effectLst/>
            </c:spPr>
            <c:extLst>
              <c:ext xmlns:c16="http://schemas.microsoft.com/office/drawing/2014/chart" uri="{C3380CC4-5D6E-409C-BE32-E72D297353CC}">
                <c16:uniqueId val="{00000003-F17D-4B92-9FBE-4AF94CEB32C0}"/>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F17D-4B92-9FBE-4AF94CEB32C0}"/>
              </c:ext>
            </c:extLst>
          </c:dPt>
          <c:dPt>
            <c:idx val="3"/>
            <c:bubble3D val="0"/>
            <c:spPr>
              <a:solidFill>
                <a:schemeClr val="accent3">
                  <a:lumMod val="75000"/>
                </a:schemeClr>
              </a:solidFill>
              <a:ln w="19050">
                <a:solidFill>
                  <a:schemeClr val="lt1"/>
                </a:solidFill>
              </a:ln>
              <a:effectLst/>
            </c:spPr>
            <c:extLst>
              <c:ext xmlns:c16="http://schemas.microsoft.com/office/drawing/2014/chart" uri="{C3380CC4-5D6E-409C-BE32-E72D297353CC}">
                <c16:uniqueId val="{00000007-F17D-4B92-9FBE-4AF94CEB32C0}"/>
              </c:ext>
            </c:extLst>
          </c:dPt>
          <c:dPt>
            <c:idx val="4"/>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09-F17D-4B92-9FBE-4AF94CEB32C0}"/>
              </c:ext>
            </c:extLst>
          </c:dPt>
          <c:dPt>
            <c:idx val="5"/>
            <c:bubble3D val="0"/>
            <c:spPr>
              <a:solidFill>
                <a:schemeClr val="accent2">
                  <a:lumMod val="75000"/>
                </a:schemeClr>
              </a:solidFill>
              <a:ln w="19050">
                <a:solidFill>
                  <a:schemeClr val="lt1"/>
                </a:solidFill>
              </a:ln>
              <a:effectLst/>
            </c:spPr>
            <c:extLst>
              <c:ext xmlns:c16="http://schemas.microsoft.com/office/drawing/2014/chart" uri="{C3380CC4-5D6E-409C-BE32-E72D297353CC}">
                <c16:uniqueId val="{0000000B-F17D-4B92-9FBE-4AF94CEB32C0}"/>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F17D-4B92-9FBE-4AF94CEB32C0}"/>
              </c:ext>
            </c:extLst>
          </c:dPt>
          <c:dPt>
            <c:idx val="7"/>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F-F17D-4B92-9FBE-4AF94CEB32C0}"/>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F17D-4B92-9FBE-4AF94CEB32C0}"/>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F17D-4B92-9FBE-4AF94CEB32C0}"/>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F17D-4B92-9FBE-4AF94CEB32C0}"/>
              </c:ext>
            </c:extLst>
          </c:dPt>
          <c:dLbls>
            <c:dLbl>
              <c:idx val="0"/>
              <c:tx>
                <c:rich>
                  <a:bodyPr/>
                  <a:lstStyle/>
                  <a:p>
                    <a:fld id="{8498FD71-CDCE-44CC-919B-D84261D23AD4}" type="CATEGORYNAME">
                      <a:rPr lang="en-US">
                        <a:solidFill>
                          <a:schemeClr val="bg1"/>
                        </a:solidFill>
                      </a:rPr>
                      <a:pPr/>
                      <a:t>[CATEGORY NAME]</a:t>
                    </a:fld>
                    <a:r>
                      <a:rPr lang="en-US" baseline="0">
                        <a:solidFill>
                          <a:schemeClr val="bg1"/>
                        </a:solidFill>
                      </a:rPr>
                      <a:t>, </a:t>
                    </a:r>
                    <a:fld id="{5365F5B1-7677-449D-BA6E-789A5EE62364}" type="VALUE">
                      <a:rPr lang="en-US" baseline="0">
                        <a:solidFill>
                          <a:schemeClr val="bg1"/>
                        </a:solidFill>
                      </a:rPr>
                      <a:pPr/>
                      <a:t>[VALUE]</a:t>
                    </a:fld>
                    <a:r>
                      <a:rPr lang="en-US" baseline="0">
                        <a:solidFill>
                          <a:schemeClr val="bg1"/>
                        </a:solidFill>
                      </a:rPr>
                      <a:t>, </a:t>
                    </a:r>
                    <a:fld id="{FF9CEE69-F3D8-4B1E-9B39-3A074DE2B19D}" type="PERCENTAGE">
                      <a:rPr lang="en-US" baseline="0">
                        <a:solidFill>
                          <a:schemeClr val="bg1"/>
                        </a:solidFill>
                      </a:rPr>
                      <a:pPr/>
                      <a:t>[PERCENTAGE]</a:t>
                    </a:fld>
                    <a:endParaRPr lang="en-US" baseline="0">
                      <a:solidFill>
                        <a:schemeClr val="bg1"/>
                      </a:solidFill>
                    </a:endParaRPr>
                  </a:p>
                </c:rich>
              </c:tx>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7D-4B92-9FBE-4AF94CEB32C0}"/>
                </c:ext>
              </c:extLst>
            </c:dLbl>
            <c:dLbl>
              <c:idx val="1"/>
              <c:layout>
                <c:manualLayout>
                  <c:x val="-7.6502648023089634E-2"/>
                  <c:y val="-3.2946467629046398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17D-4B92-9FBE-4AF94CEB32C0}"/>
                </c:ext>
              </c:extLst>
            </c:dLbl>
            <c:dLbl>
              <c:idx val="2"/>
              <c:layout>
                <c:manualLayout>
                  <c:x val="4.4726020679799201E-2"/>
                  <c:y val="-0.12636382691746864"/>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17D-4B92-9FBE-4AF94CEB32C0}"/>
                </c:ext>
              </c:extLst>
            </c:dLbl>
            <c:dLbl>
              <c:idx val="3"/>
              <c:layout>
                <c:manualLayout>
                  <c:x val="0.12136562333622872"/>
                  <c:y val="-0.1546077573636629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17D-4B92-9FBE-4AF94CEB32C0}"/>
                </c:ext>
              </c:extLst>
            </c:dLbl>
            <c:dLbl>
              <c:idx val="4"/>
              <c:layout>
                <c:manualLayout>
                  <c:x val="0.13761628884467733"/>
                  <c:y val="-0.13867191357234548"/>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F17D-4B92-9FBE-4AF94CEB32C0}"/>
                </c:ext>
              </c:extLst>
            </c:dLbl>
            <c:dLbl>
              <c:idx val="5"/>
              <c:layout>
                <c:manualLayout>
                  <c:x val="0.13360502423851806"/>
                  <c:y val="-7.8146954807611427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F17D-4B92-9FBE-4AF94CEB32C0}"/>
                </c:ext>
              </c:extLst>
            </c:dLbl>
            <c:dLbl>
              <c:idx val="6"/>
              <c:layout>
                <c:manualLayout>
                  <c:x val="0.12466672037436594"/>
                  <c:y val="-1.1752507945331728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F17D-4B92-9FBE-4AF94CEB32C0}"/>
                </c:ext>
              </c:extLst>
            </c:dLbl>
            <c:dLbl>
              <c:idx val="7"/>
              <c:layout>
                <c:manualLayout>
                  <c:x val="9.5640569395017708E-2"/>
                  <c:y val="7.8681469736017098E-2"/>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2575622775800711"/>
                      <c:h val="0.13458278652668418"/>
                    </c:manualLayout>
                  </c15:layout>
                </c:ext>
                <c:ext xmlns:c16="http://schemas.microsoft.com/office/drawing/2014/chart" uri="{C3380CC4-5D6E-409C-BE32-E72D297353CC}">
                  <c16:uniqueId val="{0000000F-F17D-4B92-9FBE-4AF94CEB32C0}"/>
                </c:ext>
              </c:extLst>
            </c:dLbl>
            <c:dLbl>
              <c:idx val="8"/>
              <c:delete val="1"/>
              <c:extLst>
                <c:ext xmlns:c15="http://schemas.microsoft.com/office/drawing/2012/chart" uri="{CE6537A1-D6FC-4f65-9D91-7224C49458BB}">
                  <c15:layout>
                    <c:manualLayout>
                      <c:w val="0.17815836298932383"/>
                      <c:h val="9.0571295866233151E-2"/>
                    </c:manualLayout>
                  </c15:layout>
                </c:ext>
                <c:ext xmlns:c16="http://schemas.microsoft.com/office/drawing/2014/chart" uri="{C3380CC4-5D6E-409C-BE32-E72D297353CC}">
                  <c16:uniqueId val="{00000011-F17D-4B92-9FBE-4AF94CEB32C0}"/>
                </c:ext>
              </c:extLst>
            </c:dLbl>
            <c:dLbl>
              <c:idx val="9"/>
              <c:delete val="1"/>
              <c:extLst>
                <c:ext xmlns:c15="http://schemas.microsoft.com/office/drawing/2012/chart" uri="{CE6537A1-D6FC-4f65-9D91-7224C49458BB}"/>
                <c:ext xmlns:c16="http://schemas.microsoft.com/office/drawing/2014/chart" uri="{C3380CC4-5D6E-409C-BE32-E72D297353CC}">
                  <c16:uniqueId val="{00000013-F17D-4B92-9FBE-4AF94CEB32C0}"/>
                </c:ext>
              </c:extLst>
            </c:dLbl>
            <c:dLbl>
              <c:idx val="10"/>
              <c:delete val="1"/>
              <c:extLst>
                <c:ext xmlns:c15="http://schemas.microsoft.com/office/drawing/2012/chart" uri="{CE6537A1-D6FC-4f65-9D91-7224C49458BB}"/>
                <c:ext xmlns:c16="http://schemas.microsoft.com/office/drawing/2014/chart" uri="{C3380CC4-5D6E-409C-BE32-E72D297353CC}">
                  <c16:uniqueId val="{00000015-F17D-4B92-9FBE-4AF94CEB32C0}"/>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Sheet1!$A$2:$A$12</c:f>
              <c:strCache>
                <c:ptCount val="11"/>
                <c:pt idx="0">
                  <c:v>Coal/ Lignite</c:v>
                </c:pt>
                <c:pt idx="1">
                  <c:v>Hydro</c:v>
                </c:pt>
                <c:pt idx="2">
                  <c:v>Solar</c:v>
                </c:pt>
                <c:pt idx="3">
                  <c:v>Wind</c:v>
                </c:pt>
                <c:pt idx="4">
                  <c:v>Nuclear</c:v>
                </c:pt>
                <c:pt idx="5">
                  <c:v>Gas</c:v>
                </c:pt>
                <c:pt idx="6">
                  <c:v>Bio-Power</c:v>
                </c:pt>
                <c:pt idx="7">
                  <c:v>Small Hydro</c:v>
                </c:pt>
                <c:pt idx="8">
                  <c:v>Bhutan Import</c:v>
                </c:pt>
                <c:pt idx="9">
                  <c:v>Others</c:v>
                </c:pt>
                <c:pt idx="10">
                  <c:v>Diesel</c:v>
                </c:pt>
              </c:strCache>
            </c:strRef>
          </c:cat>
          <c:val>
            <c:numRef>
              <c:f>Sheet1!$B$2:$B$12</c:f>
              <c:numCache>
                <c:formatCode>#,##0</c:formatCode>
                <c:ptCount val="11"/>
                <c:pt idx="0">
                  <c:v>1294852.3900000001</c:v>
                </c:pt>
                <c:pt idx="1">
                  <c:v>134053.92000000001</c:v>
                </c:pt>
                <c:pt idx="2">
                  <c:v>115975.10589973301</c:v>
                </c:pt>
                <c:pt idx="3">
                  <c:v>83385.349018380992</c:v>
                </c:pt>
                <c:pt idx="4">
                  <c:v>47937.41</c:v>
                </c:pt>
                <c:pt idx="5">
                  <c:v>31295.94</c:v>
                </c:pt>
                <c:pt idx="6">
                  <c:v>14242.775870900001</c:v>
                </c:pt>
                <c:pt idx="7">
                  <c:v>9485.0430653099993</c:v>
                </c:pt>
                <c:pt idx="8">
                  <c:v>4716.1000000000004</c:v>
                </c:pt>
                <c:pt idx="9">
                  <c:v>2746.5482225000005</c:v>
                </c:pt>
                <c:pt idx="10">
                  <c:v>400.58</c:v>
                </c:pt>
              </c:numCache>
            </c:numRef>
          </c:val>
          <c:extLst>
            <c:ext xmlns:c16="http://schemas.microsoft.com/office/drawing/2014/chart" uri="{C3380CC4-5D6E-409C-BE32-E72D297353CC}">
              <c16:uniqueId val="{00000016-F17D-4B92-9FBE-4AF94CEB32C0}"/>
            </c:ext>
          </c:extLst>
        </c:ser>
        <c:dLbls>
          <c:showLegendKey val="0"/>
          <c:showVal val="0"/>
          <c:showCatName val="0"/>
          <c:showSerName val="0"/>
          <c:showPercent val="0"/>
          <c:showBubbleSize val="0"/>
          <c:showLeaderLines val="1"/>
        </c:dLbls>
        <c:firstSliceAng val="118"/>
      </c:pieChart>
      <c:spPr>
        <a:noFill/>
        <a:ln>
          <a:noFill/>
        </a:ln>
        <a:effectLst/>
      </c:spPr>
    </c:plotArea>
    <c:legend>
      <c:legendPos val="b"/>
      <c:layout>
        <c:manualLayout>
          <c:xMode val="edge"/>
          <c:yMode val="edge"/>
          <c:x val="0"/>
          <c:y val="0.8189945543848357"/>
          <c:w val="0.98140316038207831"/>
          <c:h val="0.1499815309895366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Installed</a:t>
            </a:r>
            <a:r>
              <a:rPr lang="en-US" sz="1100" b="1" baseline="0"/>
              <a:t> Capacity</a:t>
            </a:r>
            <a:r>
              <a:rPr lang="en-US" sz="1100" b="1"/>
              <a:t> (GW, %) - FY 24-25*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83262812788971"/>
          <c:y val="0.22648419528144212"/>
          <c:w val="0.5191172555832656"/>
          <c:h val="0.54202303323324719"/>
        </c:manualLayout>
      </c:layout>
      <c:pieChart>
        <c:varyColors val="1"/>
        <c:ser>
          <c:idx val="0"/>
          <c:order val="0"/>
          <c:tx>
            <c:strRef>
              <c:f>Sheet1!$B$1</c:f>
              <c:strCache>
                <c:ptCount val="1"/>
                <c:pt idx="0">
                  <c:v>Column1</c:v>
                </c:pt>
              </c:strCache>
            </c:strRef>
          </c:tx>
          <c:dPt>
            <c:idx val="0"/>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1-3501-4C73-96CC-A793FD2C7165}"/>
              </c:ext>
            </c:extLst>
          </c:dPt>
          <c:dPt>
            <c:idx val="1"/>
            <c:bubble3D val="0"/>
            <c:spPr>
              <a:solidFill>
                <a:schemeClr val="accent1"/>
              </a:solidFill>
              <a:ln w="19050">
                <a:solidFill>
                  <a:schemeClr val="lt1"/>
                </a:solidFill>
              </a:ln>
              <a:effectLst/>
            </c:spPr>
            <c:extLst>
              <c:ext xmlns:c16="http://schemas.microsoft.com/office/drawing/2014/chart" uri="{C3380CC4-5D6E-409C-BE32-E72D297353CC}">
                <c16:uniqueId val="{00000003-3501-4C73-96CC-A793FD2C7165}"/>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3501-4C73-96CC-A793FD2C7165}"/>
              </c:ext>
            </c:extLst>
          </c:dPt>
          <c:dPt>
            <c:idx val="3"/>
            <c:bubble3D val="0"/>
            <c:spPr>
              <a:solidFill>
                <a:schemeClr val="accent3">
                  <a:lumMod val="75000"/>
                </a:schemeClr>
              </a:solidFill>
              <a:ln w="19050">
                <a:solidFill>
                  <a:schemeClr val="lt1"/>
                </a:solidFill>
              </a:ln>
              <a:effectLst/>
            </c:spPr>
            <c:extLst>
              <c:ext xmlns:c16="http://schemas.microsoft.com/office/drawing/2014/chart" uri="{C3380CC4-5D6E-409C-BE32-E72D297353CC}">
                <c16:uniqueId val="{00000007-3501-4C73-96CC-A793FD2C7165}"/>
              </c:ext>
            </c:extLst>
          </c:dPt>
          <c:dPt>
            <c:idx val="4"/>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09-3501-4C73-96CC-A793FD2C7165}"/>
              </c:ext>
            </c:extLst>
          </c:dPt>
          <c:dPt>
            <c:idx val="5"/>
            <c:bubble3D val="0"/>
            <c:spPr>
              <a:solidFill>
                <a:schemeClr val="accent2">
                  <a:lumMod val="75000"/>
                </a:schemeClr>
              </a:solidFill>
              <a:ln w="19050">
                <a:solidFill>
                  <a:schemeClr val="lt1"/>
                </a:solidFill>
              </a:ln>
              <a:effectLst/>
            </c:spPr>
            <c:extLst>
              <c:ext xmlns:c16="http://schemas.microsoft.com/office/drawing/2014/chart" uri="{C3380CC4-5D6E-409C-BE32-E72D297353CC}">
                <c16:uniqueId val="{0000000B-3501-4C73-96CC-A793FD2C7165}"/>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11-3501-4C73-96CC-A793FD2C7165}"/>
              </c:ext>
            </c:extLst>
          </c:dPt>
          <c:dPt>
            <c:idx val="7"/>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D-3501-4C73-96CC-A793FD2C7165}"/>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0E-3501-4C73-96CC-A793FD2C7165}"/>
              </c:ext>
            </c:extLst>
          </c:dPt>
          <c:dLbls>
            <c:dLbl>
              <c:idx val="0"/>
              <c:layout>
                <c:manualLayout>
                  <c:x val="0.14359255471179982"/>
                  <c:y val="-0.19968604184893554"/>
                </c:manualLayout>
              </c:layout>
              <c:tx>
                <c:rich>
                  <a:bodyPr/>
                  <a:lstStyle/>
                  <a:p>
                    <a:fld id="{8498FD71-CDCE-44CC-919B-D84261D23AD4}" type="CATEGORYNAME">
                      <a:rPr lang="en-US">
                        <a:solidFill>
                          <a:schemeClr val="bg1"/>
                        </a:solidFill>
                      </a:rPr>
                      <a:pPr/>
                      <a:t>[CATEGORY NAME]</a:t>
                    </a:fld>
                    <a:r>
                      <a:rPr lang="en-US" baseline="0">
                        <a:solidFill>
                          <a:schemeClr val="bg1"/>
                        </a:solidFill>
                      </a:rPr>
                      <a:t>, </a:t>
                    </a:r>
                    <a:fld id="{5365F5B1-7677-449D-BA6E-789A5EE62364}" type="VALUE">
                      <a:rPr lang="en-US" baseline="0">
                        <a:solidFill>
                          <a:schemeClr val="bg1"/>
                        </a:solidFill>
                      </a:rPr>
                      <a:pPr/>
                      <a:t>[VALUE]</a:t>
                    </a:fld>
                    <a:r>
                      <a:rPr lang="en-US" baseline="0">
                        <a:solidFill>
                          <a:schemeClr val="bg1"/>
                        </a:solidFill>
                      </a:rPr>
                      <a:t>, </a:t>
                    </a:r>
                    <a:fld id="{FF9CEE69-F3D8-4B1E-9B39-3A074DE2B19D}" type="PERCENTAGE">
                      <a:rPr lang="en-US" baseline="0">
                        <a:solidFill>
                          <a:schemeClr val="bg1"/>
                        </a:solidFill>
                      </a:rPr>
                      <a:pPr/>
                      <a:t>[PERCENTAGE]</a:t>
                    </a:fld>
                    <a:endParaRPr lang="en-US" baseline="0">
                      <a:solidFill>
                        <a:schemeClr val="bg1"/>
                      </a:solidFill>
                    </a:endParaRPr>
                  </a:p>
                </c:rich>
              </c:tx>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3501-4C73-96CC-A793FD2C7165}"/>
                </c:ext>
              </c:extLst>
            </c:dLbl>
            <c:dLbl>
              <c:idx val="1"/>
              <c:layout>
                <c:manualLayout>
                  <c:x val="-2.4466192170818506E-2"/>
                  <c:y val="4.2285013852435056E-2"/>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14557366828256788"/>
                      <c:h val="0.12468194079906679"/>
                    </c:manualLayout>
                  </c15:layout>
                </c:ext>
                <c:ext xmlns:c16="http://schemas.microsoft.com/office/drawing/2014/chart" uri="{C3380CC4-5D6E-409C-BE32-E72D297353CC}">
                  <c16:uniqueId val="{00000003-3501-4C73-96CC-A793FD2C7165}"/>
                </c:ext>
              </c:extLst>
            </c:dLbl>
            <c:dLbl>
              <c:idx val="2"/>
              <c:layout>
                <c:manualLayout>
                  <c:x val="-1.0878611259001919E-2"/>
                  <c:y val="9.6315434529017207E-3"/>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112099644128114"/>
                      <c:h val="8.7326388888888884E-2"/>
                    </c:manualLayout>
                  </c15:layout>
                </c:ext>
                <c:ext xmlns:c16="http://schemas.microsoft.com/office/drawing/2014/chart" uri="{C3380CC4-5D6E-409C-BE32-E72D297353CC}">
                  <c16:uniqueId val="{00000005-3501-4C73-96CC-A793FD2C7165}"/>
                </c:ext>
              </c:extLst>
            </c:dLbl>
            <c:dLbl>
              <c:idx val="3"/>
              <c:layout>
                <c:manualLayout>
                  <c:x val="3.684605038249214E-2"/>
                  <c:y val="-4.4654053659959142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501-4C73-96CC-A793FD2C7165}"/>
                </c:ext>
              </c:extLst>
            </c:dLbl>
            <c:dLbl>
              <c:idx val="4"/>
              <c:layout>
                <c:manualLayout>
                  <c:x val="6.1993513043965588E-2"/>
                  <c:y val="-3.4505322251385299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501-4C73-96CC-A793FD2C7165}"/>
                </c:ext>
              </c:extLst>
            </c:dLbl>
            <c:dLbl>
              <c:idx val="5"/>
              <c:layout>
                <c:manualLayout>
                  <c:x val="7.5775842743856223E-2"/>
                  <c:y val="-2.0276501895596384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3501-4C73-96CC-A793FD2C7165}"/>
                </c:ext>
              </c:extLst>
            </c:dLbl>
            <c:dLbl>
              <c:idx val="6"/>
              <c:layout>
                <c:manualLayout>
                  <c:x val="0.10242455235800144"/>
                  <c:y val="1.1395450568678914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3501-4C73-96CC-A793FD2C7165}"/>
                </c:ext>
              </c:extLst>
            </c:dLbl>
            <c:dLbl>
              <c:idx val="7"/>
              <c:layout>
                <c:manualLayout>
                  <c:x val="6.4501779359430605E-2"/>
                  <c:y val="7.8681375765529207E-2"/>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2575622775800711"/>
                      <c:h val="0.13458278652668418"/>
                    </c:manualLayout>
                  </c15:layout>
                </c:ext>
                <c:ext xmlns:c16="http://schemas.microsoft.com/office/drawing/2014/chart" uri="{C3380CC4-5D6E-409C-BE32-E72D297353CC}">
                  <c16:uniqueId val="{0000000D-3501-4C73-96CC-A793FD2C7165}"/>
                </c:ext>
              </c:extLst>
            </c:dLbl>
            <c:dLbl>
              <c:idx val="8"/>
              <c:delete val="1"/>
              <c:extLst>
                <c:ext xmlns:c15="http://schemas.microsoft.com/office/drawing/2012/chart" uri="{CE6537A1-D6FC-4f65-9D91-7224C49458BB}">
                  <c15:layout>
                    <c:manualLayout>
                      <c:w val="0.17815836298932383"/>
                      <c:h val="9.0571295866233151E-2"/>
                    </c:manualLayout>
                  </c15:layout>
                </c:ext>
                <c:ext xmlns:c16="http://schemas.microsoft.com/office/drawing/2014/chart" uri="{C3380CC4-5D6E-409C-BE32-E72D297353CC}">
                  <c16:uniqueId val="{0000000E-3501-4C73-96CC-A793FD2C7165}"/>
                </c:ext>
              </c:extLst>
            </c:dLbl>
            <c:dLbl>
              <c:idx val="9"/>
              <c:delete val="1"/>
              <c:extLst>
                <c:ext xmlns:c15="http://schemas.microsoft.com/office/drawing/2012/chart" uri="{CE6537A1-D6FC-4f65-9D91-7224C49458BB}"/>
                <c:ext xmlns:c16="http://schemas.microsoft.com/office/drawing/2014/chart" uri="{C3380CC4-5D6E-409C-BE32-E72D297353CC}">
                  <c16:uniqueId val="{00000010-3501-4C73-96CC-A793FD2C7165}"/>
                </c:ext>
              </c:extLst>
            </c:dLbl>
            <c:dLbl>
              <c:idx val="10"/>
              <c:delete val="1"/>
              <c:extLst>
                <c:ext xmlns:c15="http://schemas.microsoft.com/office/drawing/2012/chart" uri="{CE6537A1-D6FC-4f65-9D91-7224C49458BB}"/>
                <c:ext xmlns:c16="http://schemas.microsoft.com/office/drawing/2014/chart" uri="{C3380CC4-5D6E-409C-BE32-E72D297353CC}">
                  <c16:uniqueId val="{0000000F-3501-4C73-96CC-A793FD2C7165}"/>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Sheet1!$A$2:$A$10</c:f>
              <c:strCache>
                <c:ptCount val="9"/>
                <c:pt idx="0">
                  <c:v>Coal/ Lignite</c:v>
                </c:pt>
                <c:pt idx="1">
                  <c:v>Hydro</c:v>
                </c:pt>
                <c:pt idx="2">
                  <c:v>Solar</c:v>
                </c:pt>
                <c:pt idx="3">
                  <c:v>Wind</c:v>
                </c:pt>
                <c:pt idx="4">
                  <c:v>Nuclear</c:v>
                </c:pt>
                <c:pt idx="5">
                  <c:v>Gas</c:v>
                </c:pt>
                <c:pt idx="6">
                  <c:v>Bio-Power</c:v>
                </c:pt>
                <c:pt idx="7">
                  <c:v>Small Hydro</c:v>
                </c:pt>
                <c:pt idx="8">
                  <c:v>Diesel</c:v>
                </c:pt>
              </c:strCache>
            </c:strRef>
          </c:cat>
          <c:val>
            <c:numRef>
              <c:f>Sheet1!$B$2:$B$10</c:f>
              <c:numCache>
                <c:formatCode>#,##0</c:formatCode>
                <c:ptCount val="9"/>
                <c:pt idx="0">
                  <c:v>217.64950000000002</c:v>
                </c:pt>
                <c:pt idx="1">
                  <c:v>46.968170000000001</c:v>
                </c:pt>
                <c:pt idx="2">
                  <c:v>92.11918</c:v>
                </c:pt>
                <c:pt idx="3">
                  <c:v>47.716719999999995</c:v>
                </c:pt>
                <c:pt idx="4">
                  <c:v>8.18</c:v>
                </c:pt>
                <c:pt idx="5">
                  <c:v>24.818209</c:v>
                </c:pt>
                <c:pt idx="6">
                  <c:v>11.33395</c:v>
                </c:pt>
                <c:pt idx="7">
                  <c:v>5.0772500000000012</c:v>
                </c:pt>
                <c:pt idx="8">
                  <c:v>0.58920399999999995</c:v>
                </c:pt>
              </c:numCache>
            </c:numRef>
          </c:val>
          <c:extLst>
            <c:ext xmlns:c16="http://schemas.microsoft.com/office/drawing/2014/chart" uri="{C3380CC4-5D6E-409C-BE32-E72D297353CC}">
              <c16:uniqueId val="{0000000C-3501-4C73-96CC-A793FD2C7165}"/>
            </c:ext>
          </c:extLst>
        </c:ser>
        <c:dLbls>
          <c:showLegendKey val="0"/>
          <c:showVal val="0"/>
          <c:showCatName val="0"/>
          <c:showSerName val="0"/>
          <c:showPercent val="0"/>
          <c:showBubbleSize val="0"/>
          <c:showLeaderLines val="1"/>
        </c:dLbls>
        <c:firstSliceAng val="118"/>
      </c:pieChart>
      <c:spPr>
        <a:noFill/>
        <a:ln>
          <a:noFill/>
        </a:ln>
        <a:effectLst/>
      </c:spPr>
    </c:plotArea>
    <c:legend>
      <c:legendPos val="b"/>
      <c:layout>
        <c:manualLayout>
          <c:xMode val="edge"/>
          <c:yMode val="edge"/>
          <c:x val="0"/>
          <c:y val="0.8189945543848357"/>
          <c:w val="0.98140316038207831"/>
          <c:h val="0.1499815309895366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t>Generation  Mix (GWh, %) - 2023-24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165354330708663"/>
          <c:y val="0.23927575459317579"/>
          <c:w val="0.60808522711351476"/>
          <c:h val="0.63491667001912744"/>
        </c:manualLayout>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C1D-478D-88E4-04F6B4039B1F}"/>
              </c:ext>
            </c:extLst>
          </c:dPt>
          <c:dPt>
            <c:idx val="1"/>
            <c:bubble3D val="0"/>
            <c:spPr>
              <a:solidFill>
                <a:schemeClr val="tx2"/>
              </a:solidFill>
              <a:ln w="19050">
                <a:solidFill>
                  <a:schemeClr val="lt1"/>
                </a:solidFill>
              </a:ln>
              <a:effectLst/>
            </c:spPr>
            <c:extLst>
              <c:ext xmlns:c16="http://schemas.microsoft.com/office/drawing/2014/chart" uri="{C3380CC4-5D6E-409C-BE32-E72D297353CC}">
                <c16:uniqueId val="{00000003-4C1D-478D-88E4-04F6B4039B1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C1D-478D-88E4-04F6B4039B1F}"/>
              </c:ext>
            </c:extLst>
          </c:dPt>
          <c:dPt>
            <c:idx val="3"/>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7-4C1D-478D-88E4-04F6B4039B1F}"/>
              </c:ext>
            </c:extLst>
          </c:dPt>
          <c:dPt>
            <c:idx val="4"/>
            <c:bubble3D val="0"/>
            <c:spPr>
              <a:solidFill>
                <a:schemeClr val="tx2"/>
              </a:solidFill>
              <a:ln w="19050">
                <a:solidFill>
                  <a:schemeClr val="lt1"/>
                </a:solidFill>
              </a:ln>
              <a:effectLst/>
            </c:spPr>
            <c:extLst>
              <c:ext xmlns:c16="http://schemas.microsoft.com/office/drawing/2014/chart" uri="{C3380CC4-5D6E-409C-BE32-E72D297353CC}">
                <c16:uniqueId val="{00000009-4C1D-478D-88E4-04F6B4039B1F}"/>
              </c:ext>
            </c:extLst>
          </c:dPt>
          <c:dPt>
            <c:idx val="5"/>
            <c:bubble3D val="0"/>
            <c:spPr>
              <a:solidFill>
                <a:srgbClr val="00B050"/>
              </a:solidFill>
              <a:ln w="19050">
                <a:solidFill>
                  <a:schemeClr val="lt1"/>
                </a:solidFill>
              </a:ln>
              <a:effectLst/>
            </c:spPr>
            <c:extLst>
              <c:ext xmlns:c16="http://schemas.microsoft.com/office/drawing/2014/chart" uri="{C3380CC4-5D6E-409C-BE32-E72D297353CC}">
                <c16:uniqueId val="{0000000B-4C1D-478D-88E4-04F6B4039B1F}"/>
              </c:ext>
            </c:extLst>
          </c:dPt>
          <c:dLbls>
            <c:dLbl>
              <c:idx val="0"/>
              <c:layout>
                <c:manualLayout>
                  <c:x val="0.22686832740213522"/>
                  <c:y val="1.9307287109944581E-2"/>
                </c:manualLayout>
              </c:layout>
              <c:tx>
                <c:rich>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fld id="{C7F69885-FF8E-4F74-8A08-F117FB562B12}" type="CATEGORYNAME">
                      <a:rPr lang="en-US" sz="700">
                        <a:solidFill>
                          <a:schemeClr val="bg1"/>
                        </a:solidFill>
                      </a:rPr>
                      <a:pPr>
                        <a:defRPr sz="700"/>
                      </a:pPr>
                      <a:t>[CATEGORY NAME]</a:t>
                    </a:fld>
                    <a:r>
                      <a:rPr lang="en-US" sz="700" baseline="0">
                        <a:solidFill>
                          <a:schemeClr val="bg1"/>
                        </a:solidFill>
                      </a:rPr>
                      <a:t>, </a:t>
                    </a:r>
                    <a:fld id="{9226A1D4-7686-4107-8FE0-E3D8F4AFF4C6}" type="VALUE">
                      <a:rPr lang="en-US" sz="700" baseline="0">
                        <a:solidFill>
                          <a:schemeClr val="bg1"/>
                        </a:solidFill>
                      </a:rPr>
                      <a:pPr>
                        <a:defRPr sz="700"/>
                      </a:pPr>
                      <a:t>[VALUE]</a:t>
                    </a:fld>
                    <a:r>
                      <a:rPr lang="en-US" sz="700" baseline="0">
                        <a:solidFill>
                          <a:schemeClr val="bg1"/>
                        </a:solidFill>
                      </a:rPr>
                      <a:t>, </a:t>
                    </a:r>
                    <a:fld id="{EC6B38CE-9FB1-4565-B39F-BCBE13401343}" type="PERCENTAGE">
                      <a:rPr lang="en-US" sz="700" baseline="0">
                        <a:solidFill>
                          <a:schemeClr val="bg1"/>
                        </a:solidFill>
                      </a:rPr>
                      <a:pPr>
                        <a:defRPr sz="700"/>
                      </a:pPr>
                      <a:t>[PERCENTAGE]</a:t>
                    </a:fld>
                    <a:endParaRPr lang="en-US" sz="700" baseline="0">
                      <a:solidFill>
                        <a:schemeClr val="bg1"/>
                      </a:solidFill>
                    </a:endParaRPr>
                  </a:p>
                </c:rich>
              </c:tx>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0017793594306049"/>
                      <c:h val="0.31188438684747738"/>
                    </c:manualLayout>
                  </c15:layout>
                  <c15:dlblFieldTable/>
                  <c15:showDataLabelsRange val="0"/>
                </c:ext>
                <c:ext xmlns:c16="http://schemas.microsoft.com/office/drawing/2014/chart" uri="{C3380CC4-5D6E-409C-BE32-E72D297353CC}">
                  <c16:uniqueId val="{00000001-4C1D-478D-88E4-04F6B4039B1F}"/>
                </c:ext>
              </c:extLst>
            </c:dLbl>
            <c:dLbl>
              <c:idx val="1"/>
              <c:layout>
                <c:manualLayout>
                  <c:x val="2.746798554095329E-3"/>
                  <c:y val="-0.14078220691163604"/>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C1D-478D-88E4-04F6B4039B1F}"/>
                </c:ext>
              </c:extLst>
            </c:dLbl>
            <c:dLbl>
              <c:idx val="2"/>
              <c:layout>
                <c:manualLayout>
                  <c:x val="3.4841468882226022E-2"/>
                  <c:y val="9.9932560513269181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C1D-478D-88E4-04F6B4039B1F}"/>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Hydro</c:v>
                </c:pt>
                <c:pt idx="1">
                  <c:v>Others</c:v>
                </c:pt>
              </c:strCache>
            </c:strRef>
          </c:cat>
          <c:val>
            <c:numRef>
              <c:f>Sheet1!$B$2:$B$3</c:f>
              <c:numCache>
                <c:formatCode>0.0</c:formatCode>
                <c:ptCount val="2"/>
                <c:pt idx="0">
                  <c:v>2877.56981</c:v>
                </c:pt>
                <c:pt idx="1">
                  <c:v>0</c:v>
                </c:pt>
              </c:numCache>
            </c:numRef>
          </c:val>
          <c:extLst>
            <c:ext xmlns:c16="http://schemas.microsoft.com/office/drawing/2014/chart" uri="{C3380CC4-5D6E-409C-BE32-E72D297353CC}">
              <c16:uniqueId val="{0000000C-4C1D-478D-88E4-04F6B4039B1F}"/>
            </c:ext>
          </c:extLst>
        </c:ser>
        <c:dLbls>
          <c:showLegendKey val="0"/>
          <c:showVal val="0"/>
          <c:showCatName val="0"/>
          <c:showSerName val="0"/>
          <c:showPercent val="0"/>
          <c:showBubbleSize val="0"/>
          <c:showLeaderLines val="1"/>
        </c:dLbls>
        <c:firstSliceAng val="90"/>
      </c:pieChart>
      <c:spPr>
        <a:noFill/>
        <a:ln>
          <a:noFill/>
        </a:ln>
        <a:effectLst/>
      </c:spPr>
    </c:plotArea>
    <c:legend>
      <c:legendPos val="b"/>
      <c:layout>
        <c:manualLayout>
          <c:xMode val="edge"/>
          <c:yMode val="edge"/>
          <c:x val="0"/>
          <c:y val="0.89795414565283382"/>
          <c:w val="0.98140316038207831"/>
          <c:h val="9.8890146487635278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t>Installed Capacity (GW, %) - 2023-24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165354330708663"/>
          <c:y val="0.23927575459317579"/>
          <c:w val="0.60808522711351476"/>
          <c:h val="0.63491667001912744"/>
        </c:manualLayout>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ED5-4DAE-995D-7DA58EC01555}"/>
              </c:ext>
            </c:extLst>
          </c:dPt>
          <c:dPt>
            <c:idx val="1"/>
            <c:bubble3D val="0"/>
            <c:spPr>
              <a:solidFill>
                <a:schemeClr val="tx2"/>
              </a:solidFill>
              <a:ln w="19050">
                <a:solidFill>
                  <a:schemeClr val="lt1"/>
                </a:solidFill>
              </a:ln>
              <a:effectLst/>
            </c:spPr>
            <c:extLst>
              <c:ext xmlns:c16="http://schemas.microsoft.com/office/drawing/2014/chart" uri="{C3380CC4-5D6E-409C-BE32-E72D297353CC}">
                <c16:uniqueId val="{00000003-DED5-4DAE-995D-7DA58EC0155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ED5-4DAE-995D-7DA58EC01555}"/>
              </c:ext>
            </c:extLst>
          </c:dPt>
          <c:dPt>
            <c:idx val="3"/>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7-DED5-4DAE-995D-7DA58EC01555}"/>
              </c:ext>
            </c:extLst>
          </c:dPt>
          <c:dPt>
            <c:idx val="4"/>
            <c:bubble3D val="0"/>
            <c:spPr>
              <a:solidFill>
                <a:schemeClr val="tx2"/>
              </a:solidFill>
              <a:ln w="19050">
                <a:solidFill>
                  <a:schemeClr val="lt1"/>
                </a:solidFill>
              </a:ln>
              <a:effectLst/>
            </c:spPr>
            <c:extLst>
              <c:ext xmlns:c16="http://schemas.microsoft.com/office/drawing/2014/chart" uri="{C3380CC4-5D6E-409C-BE32-E72D297353CC}">
                <c16:uniqueId val="{00000009-DED5-4DAE-995D-7DA58EC01555}"/>
              </c:ext>
            </c:extLst>
          </c:dPt>
          <c:dPt>
            <c:idx val="5"/>
            <c:bubble3D val="0"/>
            <c:spPr>
              <a:solidFill>
                <a:srgbClr val="00B050"/>
              </a:solidFill>
              <a:ln w="19050">
                <a:solidFill>
                  <a:schemeClr val="lt1"/>
                </a:solidFill>
              </a:ln>
              <a:effectLst/>
            </c:spPr>
            <c:extLst>
              <c:ext xmlns:c16="http://schemas.microsoft.com/office/drawing/2014/chart" uri="{C3380CC4-5D6E-409C-BE32-E72D297353CC}">
                <c16:uniqueId val="{0000000B-DED5-4DAE-995D-7DA58EC01555}"/>
              </c:ext>
            </c:extLst>
          </c:dPt>
          <c:dLbls>
            <c:dLbl>
              <c:idx val="0"/>
              <c:layout>
                <c:manualLayout>
                  <c:x val="0.22686832740213522"/>
                  <c:y val="1.9307287109944581E-2"/>
                </c:manualLayout>
              </c:layout>
              <c:tx>
                <c:rich>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fld id="{C7F69885-FF8E-4F74-8A08-F117FB562B12}" type="CATEGORYNAME">
                      <a:rPr lang="en-US" sz="700">
                        <a:solidFill>
                          <a:schemeClr val="bg1"/>
                        </a:solidFill>
                      </a:rPr>
                      <a:pPr>
                        <a:defRPr sz="700"/>
                      </a:pPr>
                      <a:t>[CATEGORY NAME]</a:t>
                    </a:fld>
                    <a:r>
                      <a:rPr lang="en-US" sz="700" baseline="0">
                        <a:solidFill>
                          <a:schemeClr val="bg1"/>
                        </a:solidFill>
                      </a:rPr>
                      <a:t>, </a:t>
                    </a:r>
                    <a:fld id="{9226A1D4-7686-4107-8FE0-E3D8F4AFF4C6}" type="VALUE">
                      <a:rPr lang="en-US" sz="700" baseline="0">
                        <a:solidFill>
                          <a:schemeClr val="bg1"/>
                        </a:solidFill>
                      </a:rPr>
                      <a:pPr>
                        <a:defRPr sz="700"/>
                      </a:pPr>
                      <a:t>[VALUE]</a:t>
                    </a:fld>
                    <a:r>
                      <a:rPr lang="en-US" sz="700" baseline="0">
                        <a:solidFill>
                          <a:schemeClr val="bg1"/>
                        </a:solidFill>
                      </a:rPr>
                      <a:t>, </a:t>
                    </a:r>
                    <a:fld id="{EC6B38CE-9FB1-4565-B39F-BCBE13401343}" type="PERCENTAGE">
                      <a:rPr lang="en-US" sz="700" baseline="0">
                        <a:solidFill>
                          <a:schemeClr val="bg1"/>
                        </a:solidFill>
                      </a:rPr>
                      <a:pPr>
                        <a:defRPr sz="700"/>
                      </a:pPr>
                      <a:t>[PERCENTAGE]</a:t>
                    </a:fld>
                    <a:endParaRPr lang="en-US" sz="700" baseline="0">
                      <a:solidFill>
                        <a:schemeClr val="bg1"/>
                      </a:solidFill>
                    </a:endParaRPr>
                  </a:p>
                </c:rich>
              </c:tx>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0017793594306049"/>
                      <c:h val="0.31188438684747738"/>
                    </c:manualLayout>
                  </c15:layout>
                  <c15:dlblFieldTable/>
                  <c15:showDataLabelsRange val="0"/>
                </c:ext>
                <c:ext xmlns:c16="http://schemas.microsoft.com/office/drawing/2014/chart" uri="{C3380CC4-5D6E-409C-BE32-E72D297353CC}">
                  <c16:uniqueId val="{00000001-DED5-4DAE-995D-7DA58EC01555}"/>
                </c:ext>
              </c:extLst>
            </c:dLbl>
            <c:dLbl>
              <c:idx val="1"/>
              <c:layout>
                <c:manualLayout>
                  <c:x val="2.746798554095329E-3"/>
                  <c:y val="-0.14078220691163604"/>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ED5-4DAE-995D-7DA58EC01555}"/>
                </c:ext>
              </c:extLst>
            </c:dLbl>
            <c:dLbl>
              <c:idx val="2"/>
              <c:layout>
                <c:manualLayout>
                  <c:x val="5.7083461764788297E-2"/>
                  <c:y val="-8.020219135076629E-3"/>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ED5-4DAE-995D-7DA58EC01555}"/>
                </c:ext>
              </c:extLst>
            </c:dLbl>
            <c:dLbl>
              <c:idx val="3"/>
              <c:layout>
                <c:manualLayout>
                  <c:x val="3.7342729845602038E-2"/>
                  <c:y val="0.11889678777558346"/>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ED5-4DAE-995D-7DA58EC01555}"/>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Hydro</c:v>
                </c:pt>
                <c:pt idx="1">
                  <c:v>Solar</c:v>
                </c:pt>
                <c:pt idx="2">
                  <c:v>Thermal</c:v>
                </c:pt>
                <c:pt idx="3">
                  <c:v>Bagasse</c:v>
                </c:pt>
              </c:strCache>
            </c:strRef>
          </c:cat>
          <c:val>
            <c:numRef>
              <c:f>Sheet1!$B$2:$B$5</c:f>
              <c:numCache>
                <c:formatCode>0.00</c:formatCode>
                <c:ptCount val="4"/>
                <c:pt idx="0">
                  <c:v>2.9908319999999997</c:v>
                </c:pt>
                <c:pt idx="1">
                  <c:v>0.10693999999999999</c:v>
                </c:pt>
                <c:pt idx="2">
                  <c:v>5.3409999999999999E-2</c:v>
                </c:pt>
                <c:pt idx="3">
                  <c:v>6.0000000000000001E-3</c:v>
                </c:pt>
              </c:numCache>
            </c:numRef>
          </c:val>
          <c:extLst>
            <c:ext xmlns:c16="http://schemas.microsoft.com/office/drawing/2014/chart" uri="{C3380CC4-5D6E-409C-BE32-E72D297353CC}">
              <c16:uniqueId val="{0000000C-DED5-4DAE-995D-7DA58EC01555}"/>
            </c:ext>
          </c:extLst>
        </c:ser>
        <c:dLbls>
          <c:showLegendKey val="0"/>
          <c:showVal val="0"/>
          <c:showCatName val="0"/>
          <c:showSerName val="0"/>
          <c:showPercent val="0"/>
          <c:showBubbleSize val="0"/>
          <c:showLeaderLines val="1"/>
        </c:dLbls>
        <c:firstSliceAng val="90"/>
      </c:pieChart>
      <c:spPr>
        <a:noFill/>
        <a:ln>
          <a:noFill/>
        </a:ln>
        <a:effectLst/>
      </c:spPr>
    </c:plotArea>
    <c:legend>
      <c:legendPos val="b"/>
      <c:layout>
        <c:manualLayout>
          <c:xMode val="edge"/>
          <c:yMode val="edge"/>
          <c:x val="0"/>
          <c:y val="0.89795414565283382"/>
          <c:w val="0.98140316038207831"/>
          <c:h val="9.8890146487635278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Generation  Mix (GWh, %) - 2023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83262812788971"/>
          <c:y val="0.22648419528144212"/>
          <c:w val="0.5191172555832656"/>
          <c:h val="0.54202303323324719"/>
        </c:manualLayout>
      </c:layout>
      <c:pieChart>
        <c:varyColors val="1"/>
        <c:ser>
          <c:idx val="0"/>
          <c:order val="0"/>
          <c:tx>
            <c:strRef>
              <c:f>Sheet1!$B$1</c:f>
              <c:strCache>
                <c:ptCount val="1"/>
                <c:pt idx="0">
                  <c:v>Column1</c:v>
                </c:pt>
              </c:strCache>
            </c:strRef>
          </c:tx>
          <c:dPt>
            <c:idx val="0"/>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1-DB1B-44C1-B6D6-514764AE790A}"/>
              </c:ext>
            </c:extLst>
          </c:dPt>
          <c:dPt>
            <c:idx val="1"/>
            <c:bubble3D val="0"/>
            <c:spPr>
              <a:solidFill>
                <a:schemeClr val="accent1"/>
              </a:solidFill>
              <a:ln w="19050">
                <a:solidFill>
                  <a:schemeClr val="lt1"/>
                </a:solidFill>
              </a:ln>
              <a:effectLst/>
            </c:spPr>
            <c:extLst>
              <c:ext xmlns:c16="http://schemas.microsoft.com/office/drawing/2014/chart" uri="{C3380CC4-5D6E-409C-BE32-E72D297353CC}">
                <c16:uniqueId val="{00000003-DB1B-44C1-B6D6-514764AE790A}"/>
              </c:ext>
            </c:extLst>
          </c:dPt>
          <c:dPt>
            <c:idx val="2"/>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5-DB1B-44C1-B6D6-514764AE790A}"/>
              </c:ext>
            </c:extLst>
          </c:dPt>
          <c:dPt>
            <c:idx val="3"/>
            <c:bubble3D val="0"/>
            <c:spPr>
              <a:solidFill>
                <a:schemeClr val="accent3">
                  <a:lumMod val="75000"/>
                </a:schemeClr>
              </a:solidFill>
              <a:ln w="19050">
                <a:solidFill>
                  <a:schemeClr val="lt1"/>
                </a:solidFill>
              </a:ln>
              <a:effectLst/>
            </c:spPr>
            <c:extLst>
              <c:ext xmlns:c16="http://schemas.microsoft.com/office/drawing/2014/chart" uri="{C3380CC4-5D6E-409C-BE32-E72D297353CC}">
                <c16:uniqueId val="{00000007-DB1B-44C1-B6D6-514764AE790A}"/>
              </c:ext>
            </c:extLst>
          </c:dPt>
          <c:dPt>
            <c:idx val="4"/>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09-DB1B-44C1-B6D6-514764AE790A}"/>
              </c:ext>
            </c:extLst>
          </c:dPt>
          <c:dPt>
            <c:idx val="5"/>
            <c:bubble3D val="0"/>
            <c:spPr>
              <a:solidFill>
                <a:schemeClr val="tx2"/>
              </a:solidFill>
              <a:ln w="19050">
                <a:solidFill>
                  <a:schemeClr val="lt1"/>
                </a:solidFill>
              </a:ln>
              <a:effectLst/>
            </c:spPr>
            <c:extLst>
              <c:ext xmlns:c16="http://schemas.microsoft.com/office/drawing/2014/chart" uri="{C3380CC4-5D6E-409C-BE32-E72D297353CC}">
                <c16:uniqueId val="{0000000B-DB1B-44C1-B6D6-514764AE790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DB1B-44C1-B6D6-514764AE790A}"/>
              </c:ext>
            </c:extLst>
          </c:dPt>
          <c:dPt>
            <c:idx val="7"/>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F-DB1B-44C1-B6D6-514764AE790A}"/>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DB1B-44C1-B6D6-514764AE790A}"/>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DB1B-44C1-B6D6-514764AE790A}"/>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DB1B-44C1-B6D6-514764AE790A}"/>
              </c:ext>
            </c:extLst>
          </c:dPt>
          <c:dLbls>
            <c:dLbl>
              <c:idx val="0"/>
              <c:tx>
                <c:rich>
                  <a:bodyPr/>
                  <a:lstStyle/>
                  <a:p>
                    <a:fld id="{8498FD71-CDCE-44CC-919B-D84261D23AD4}" type="CATEGORYNAME">
                      <a:rPr lang="en-US">
                        <a:solidFill>
                          <a:schemeClr val="bg1"/>
                        </a:solidFill>
                      </a:rPr>
                      <a:pPr/>
                      <a:t>[CATEGORY NAME]</a:t>
                    </a:fld>
                    <a:r>
                      <a:rPr lang="en-US" baseline="0">
                        <a:solidFill>
                          <a:schemeClr val="bg1"/>
                        </a:solidFill>
                      </a:rPr>
                      <a:t>, </a:t>
                    </a:r>
                    <a:fld id="{5365F5B1-7677-449D-BA6E-789A5EE62364}" type="VALUE">
                      <a:rPr lang="en-US" baseline="0">
                        <a:solidFill>
                          <a:schemeClr val="bg1"/>
                        </a:solidFill>
                      </a:rPr>
                      <a:pPr/>
                      <a:t>[VALUE]</a:t>
                    </a:fld>
                    <a:r>
                      <a:rPr lang="en-US" baseline="0">
                        <a:solidFill>
                          <a:schemeClr val="bg1"/>
                        </a:solidFill>
                      </a:rPr>
                      <a:t>, </a:t>
                    </a:r>
                    <a:fld id="{FF9CEE69-F3D8-4B1E-9B39-3A074DE2B19D}" type="PERCENTAGE">
                      <a:rPr lang="en-US" baseline="0">
                        <a:solidFill>
                          <a:schemeClr val="bg1"/>
                        </a:solidFill>
                      </a:rPr>
                      <a:pPr/>
                      <a:t>[PERCENTAGE]</a:t>
                    </a:fld>
                    <a:endParaRPr lang="en-US" baseline="0">
                      <a:solidFill>
                        <a:schemeClr val="bg1"/>
                      </a:solidFill>
                    </a:endParaRPr>
                  </a:p>
                </c:rich>
              </c:tx>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B1B-44C1-B6D6-514764AE790A}"/>
                </c:ext>
              </c:extLst>
            </c:dLbl>
            <c:dLbl>
              <c:idx val="1"/>
              <c:layout>
                <c:manualLayout>
                  <c:x val="0.17666149438170761"/>
                  <c:y val="6.5433162000583259E-2"/>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bg1"/>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18156156303415807"/>
                      <c:h val="0.18570601851851853"/>
                    </c:manualLayout>
                  </c15:layout>
                </c:ext>
                <c:ext xmlns:c16="http://schemas.microsoft.com/office/drawing/2014/chart" uri="{C3380CC4-5D6E-409C-BE32-E72D297353CC}">
                  <c16:uniqueId val="{00000003-DB1B-44C1-B6D6-514764AE790A}"/>
                </c:ext>
              </c:extLst>
            </c:dLbl>
            <c:dLbl>
              <c:idx val="2"/>
              <c:layout>
                <c:manualLayout>
                  <c:x val="-0.11541667834225344"/>
                  <c:y val="0.17358832750072903"/>
                </c:manualLayout>
              </c:layout>
              <c:showLegendKey val="0"/>
              <c:showVal val="1"/>
              <c:showCatName val="1"/>
              <c:showSerName val="0"/>
              <c:showPercent val="1"/>
              <c:showBubbleSize val="0"/>
              <c:extLst>
                <c:ext xmlns:c15="http://schemas.microsoft.com/office/drawing/2012/chart" uri="{CE6537A1-D6FC-4f65-9D91-7224C49458BB}">
                  <c15:layout>
                    <c:manualLayout>
                      <c:w val="0.21966192170818505"/>
                      <c:h val="0.16571203339165938"/>
                    </c:manualLayout>
                  </c15:layout>
                </c:ext>
                <c:ext xmlns:c16="http://schemas.microsoft.com/office/drawing/2014/chart" uri="{C3380CC4-5D6E-409C-BE32-E72D297353CC}">
                  <c16:uniqueId val="{00000005-DB1B-44C1-B6D6-514764AE790A}"/>
                </c:ext>
              </c:extLst>
            </c:dLbl>
            <c:dLbl>
              <c:idx val="3"/>
              <c:layout>
                <c:manualLayout>
                  <c:x val="9.467523187715407E-2"/>
                  <c:y val="-9.9318314377369495E-3"/>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B1B-44C1-B6D6-514764AE790A}"/>
                </c:ext>
              </c:extLst>
            </c:dLbl>
            <c:dLbl>
              <c:idx val="4"/>
              <c:layout>
                <c:manualLayout>
                  <c:x val="7.5338708773502877E-2"/>
                  <c:y val="-2.2931248177311275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DB1B-44C1-B6D6-514764AE790A}"/>
                </c:ext>
              </c:extLst>
            </c:dLbl>
            <c:dLbl>
              <c:idx val="5"/>
              <c:layout>
                <c:manualLayout>
                  <c:x val="7.1327444167343768E-2"/>
                  <c:y val="-3.1850575969670461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DB1B-44C1-B6D6-514764AE790A}"/>
                </c:ext>
              </c:extLst>
            </c:dLbl>
            <c:dLbl>
              <c:idx val="6"/>
              <c:layout>
                <c:manualLayout>
                  <c:x val="0.12466672037436594"/>
                  <c:y val="-1.1752507945331728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DB1B-44C1-B6D6-514764AE790A}"/>
                </c:ext>
              </c:extLst>
            </c:dLbl>
            <c:dLbl>
              <c:idx val="7"/>
              <c:layout>
                <c:manualLayout>
                  <c:x val="9.5640569395017708E-2"/>
                  <c:y val="7.8681469736017098E-2"/>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2575622775800711"/>
                      <c:h val="0.13458278652668418"/>
                    </c:manualLayout>
                  </c15:layout>
                </c:ext>
                <c:ext xmlns:c16="http://schemas.microsoft.com/office/drawing/2014/chart" uri="{C3380CC4-5D6E-409C-BE32-E72D297353CC}">
                  <c16:uniqueId val="{0000000F-DB1B-44C1-B6D6-514764AE790A}"/>
                </c:ext>
              </c:extLst>
            </c:dLbl>
            <c:dLbl>
              <c:idx val="8"/>
              <c:delete val="1"/>
              <c:extLst>
                <c:ext xmlns:c15="http://schemas.microsoft.com/office/drawing/2012/chart" uri="{CE6537A1-D6FC-4f65-9D91-7224C49458BB}">
                  <c15:layout>
                    <c:manualLayout>
                      <c:w val="0.17815836298932383"/>
                      <c:h val="9.0571295866233151E-2"/>
                    </c:manualLayout>
                  </c15:layout>
                </c:ext>
                <c:ext xmlns:c16="http://schemas.microsoft.com/office/drawing/2014/chart" uri="{C3380CC4-5D6E-409C-BE32-E72D297353CC}">
                  <c16:uniqueId val="{00000011-DB1B-44C1-B6D6-514764AE790A}"/>
                </c:ext>
              </c:extLst>
            </c:dLbl>
            <c:dLbl>
              <c:idx val="9"/>
              <c:delete val="1"/>
              <c:extLst>
                <c:ext xmlns:c15="http://schemas.microsoft.com/office/drawing/2012/chart" uri="{CE6537A1-D6FC-4f65-9D91-7224C49458BB}"/>
                <c:ext xmlns:c16="http://schemas.microsoft.com/office/drawing/2014/chart" uri="{C3380CC4-5D6E-409C-BE32-E72D297353CC}">
                  <c16:uniqueId val="{00000013-DB1B-44C1-B6D6-514764AE790A}"/>
                </c:ext>
              </c:extLst>
            </c:dLbl>
            <c:dLbl>
              <c:idx val="10"/>
              <c:delete val="1"/>
              <c:extLst>
                <c:ext xmlns:c15="http://schemas.microsoft.com/office/drawing/2012/chart" uri="{CE6537A1-D6FC-4f65-9D91-7224C49458BB}"/>
                <c:ext xmlns:c16="http://schemas.microsoft.com/office/drawing/2014/chart" uri="{C3380CC4-5D6E-409C-BE32-E72D297353CC}">
                  <c16:uniqueId val="{00000015-DB1B-44C1-B6D6-514764AE790A}"/>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7"/>
                <c:pt idx="0">
                  <c:v>Coal</c:v>
                </c:pt>
                <c:pt idx="1">
                  <c:v>Major Hydro</c:v>
                </c:pt>
                <c:pt idx="2">
                  <c:v>Thermal (Others)</c:v>
                </c:pt>
                <c:pt idx="3">
                  <c:v>Mini Hydro</c:v>
                </c:pt>
                <c:pt idx="4">
                  <c:v>Wind</c:v>
                </c:pt>
                <c:pt idx="5">
                  <c:v>Solar</c:v>
                </c:pt>
                <c:pt idx="6">
                  <c:v>Other RE</c:v>
                </c:pt>
              </c:strCache>
            </c:strRef>
          </c:cat>
          <c:val>
            <c:numRef>
              <c:f>Sheet1!$B$2:$B$8</c:f>
              <c:numCache>
                <c:formatCode>#,##0</c:formatCode>
                <c:ptCount val="7"/>
                <c:pt idx="0">
                  <c:v>4645.2240000000002</c:v>
                </c:pt>
                <c:pt idx="1">
                  <c:v>4575.0779999999995</c:v>
                </c:pt>
                <c:pt idx="2">
                  <c:v>3137.8644000000004</c:v>
                </c:pt>
                <c:pt idx="3">
                  <c:v>1388.8907999999999</c:v>
                </c:pt>
                <c:pt idx="4">
                  <c:v>816.81119999999999</c:v>
                </c:pt>
                <c:pt idx="5">
                  <c:v>857.34</c:v>
                </c:pt>
                <c:pt idx="6">
                  <c:v>166.79159999999999</c:v>
                </c:pt>
              </c:numCache>
            </c:numRef>
          </c:val>
          <c:extLst>
            <c:ext xmlns:c16="http://schemas.microsoft.com/office/drawing/2014/chart" uri="{C3380CC4-5D6E-409C-BE32-E72D297353CC}">
              <c16:uniqueId val="{00000016-DB1B-44C1-B6D6-514764AE790A}"/>
            </c:ext>
          </c:extLst>
        </c:ser>
        <c:dLbls>
          <c:showLegendKey val="0"/>
          <c:showVal val="0"/>
          <c:showCatName val="0"/>
          <c:showSerName val="0"/>
          <c:showPercent val="0"/>
          <c:showBubbleSize val="0"/>
          <c:showLeaderLines val="1"/>
        </c:dLbls>
        <c:firstSliceAng val="126"/>
      </c:pieChart>
      <c:spPr>
        <a:noFill/>
        <a:ln>
          <a:noFill/>
        </a:ln>
        <a:effectLst/>
      </c:spPr>
    </c:plotArea>
    <c:legend>
      <c:legendPos val="b"/>
      <c:layout>
        <c:manualLayout>
          <c:xMode val="edge"/>
          <c:yMode val="edge"/>
          <c:x val="0"/>
          <c:y val="0.8189945543848357"/>
          <c:w val="0.98140316038207831"/>
          <c:h val="0.1499815309895366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Installed Capacity (GW, %) - 2023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83262812788971"/>
          <c:y val="0.22648419528144212"/>
          <c:w val="0.5191172555832656"/>
          <c:h val="0.54202303323324719"/>
        </c:manualLayout>
      </c:layout>
      <c:pieChart>
        <c:varyColors val="1"/>
        <c:ser>
          <c:idx val="0"/>
          <c:order val="0"/>
          <c:tx>
            <c:strRef>
              <c:f>Sheet1!$B$1</c:f>
              <c:strCache>
                <c:ptCount val="1"/>
                <c:pt idx="0">
                  <c:v>Column1</c:v>
                </c:pt>
              </c:strCache>
            </c:strRef>
          </c:tx>
          <c:dPt>
            <c:idx val="0"/>
            <c:bubble3D val="0"/>
            <c:spPr>
              <a:solidFill>
                <a:schemeClr val="tx1">
                  <a:lumMod val="75000"/>
                  <a:lumOff val="25000"/>
                </a:schemeClr>
              </a:solidFill>
              <a:ln w="19050">
                <a:solidFill>
                  <a:schemeClr val="lt1"/>
                </a:solidFill>
              </a:ln>
              <a:effectLst/>
            </c:spPr>
            <c:extLst>
              <c:ext xmlns:c16="http://schemas.microsoft.com/office/drawing/2014/chart" uri="{C3380CC4-5D6E-409C-BE32-E72D297353CC}">
                <c16:uniqueId val="{00000001-A935-4AE7-BA9C-8E86BEB06668}"/>
              </c:ext>
            </c:extLst>
          </c:dPt>
          <c:dPt>
            <c:idx val="1"/>
            <c:bubble3D val="0"/>
            <c:spPr>
              <a:solidFill>
                <a:schemeClr val="accent1"/>
              </a:solidFill>
              <a:ln w="19050">
                <a:solidFill>
                  <a:schemeClr val="lt1"/>
                </a:solidFill>
              </a:ln>
              <a:effectLst/>
            </c:spPr>
            <c:extLst>
              <c:ext xmlns:c16="http://schemas.microsoft.com/office/drawing/2014/chart" uri="{C3380CC4-5D6E-409C-BE32-E72D297353CC}">
                <c16:uniqueId val="{00000003-A935-4AE7-BA9C-8E86BEB06668}"/>
              </c:ext>
            </c:extLst>
          </c:dPt>
          <c:dPt>
            <c:idx val="2"/>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5-A935-4AE7-BA9C-8E86BEB06668}"/>
              </c:ext>
            </c:extLst>
          </c:dPt>
          <c:dPt>
            <c:idx val="3"/>
            <c:bubble3D val="0"/>
            <c:spPr>
              <a:solidFill>
                <a:schemeClr val="accent3">
                  <a:lumMod val="75000"/>
                </a:schemeClr>
              </a:solidFill>
              <a:ln w="19050">
                <a:solidFill>
                  <a:schemeClr val="lt1"/>
                </a:solidFill>
              </a:ln>
              <a:effectLst/>
            </c:spPr>
            <c:extLst>
              <c:ext xmlns:c16="http://schemas.microsoft.com/office/drawing/2014/chart" uri="{C3380CC4-5D6E-409C-BE32-E72D297353CC}">
                <c16:uniqueId val="{00000007-A935-4AE7-BA9C-8E86BEB06668}"/>
              </c:ext>
            </c:extLst>
          </c:dPt>
          <c:dPt>
            <c:idx val="4"/>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09-A935-4AE7-BA9C-8E86BEB06668}"/>
              </c:ext>
            </c:extLst>
          </c:dPt>
          <c:dPt>
            <c:idx val="5"/>
            <c:bubble3D val="0"/>
            <c:spPr>
              <a:solidFill>
                <a:schemeClr val="tx2"/>
              </a:solidFill>
              <a:ln w="19050">
                <a:solidFill>
                  <a:schemeClr val="lt1"/>
                </a:solidFill>
              </a:ln>
              <a:effectLst/>
            </c:spPr>
            <c:extLst>
              <c:ext xmlns:c16="http://schemas.microsoft.com/office/drawing/2014/chart" uri="{C3380CC4-5D6E-409C-BE32-E72D297353CC}">
                <c16:uniqueId val="{0000000B-A935-4AE7-BA9C-8E86BEB06668}"/>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A935-4AE7-BA9C-8E86BEB06668}"/>
              </c:ext>
            </c:extLst>
          </c:dPt>
          <c:dPt>
            <c:idx val="7"/>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F-A935-4AE7-BA9C-8E86BEB06668}"/>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A935-4AE7-BA9C-8E86BEB06668}"/>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A935-4AE7-BA9C-8E86BEB06668}"/>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A935-4AE7-BA9C-8E86BEB06668}"/>
              </c:ext>
            </c:extLst>
          </c:dPt>
          <c:dLbls>
            <c:dLbl>
              <c:idx val="0"/>
              <c:tx>
                <c:rich>
                  <a:bodyPr/>
                  <a:lstStyle/>
                  <a:p>
                    <a:fld id="{8498FD71-CDCE-44CC-919B-D84261D23AD4}" type="CATEGORYNAME">
                      <a:rPr lang="en-US">
                        <a:solidFill>
                          <a:schemeClr val="bg1"/>
                        </a:solidFill>
                      </a:rPr>
                      <a:pPr/>
                      <a:t>[CATEGORY NAME]</a:t>
                    </a:fld>
                    <a:r>
                      <a:rPr lang="en-US" baseline="0">
                        <a:solidFill>
                          <a:schemeClr val="bg1"/>
                        </a:solidFill>
                      </a:rPr>
                      <a:t>, </a:t>
                    </a:r>
                    <a:fld id="{5365F5B1-7677-449D-BA6E-789A5EE62364}" type="VALUE">
                      <a:rPr lang="en-US" baseline="0">
                        <a:solidFill>
                          <a:schemeClr val="bg1"/>
                        </a:solidFill>
                      </a:rPr>
                      <a:pPr/>
                      <a:t>[VALUE]</a:t>
                    </a:fld>
                    <a:r>
                      <a:rPr lang="en-US" baseline="0">
                        <a:solidFill>
                          <a:schemeClr val="bg1"/>
                        </a:solidFill>
                      </a:rPr>
                      <a:t>, </a:t>
                    </a:r>
                    <a:fld id="{FF9CEE69-F3D8-4B1E-9B39-3A074DE2B19D}" type="PERCENTAGE">
                      <a:rPr lang="en-US" baseline="0">
                        <a:solidFill>
                          <a:schemeClr val="bg1"/>
                        </a:solidFill>
                      </a:rPr>
                      <a:pPr/>
                      <a:t>[PERCENTAGE]</a:t>
                    </a:fld>
                    <a:endParaRPr lang="en-US" baseline="0">
                      <a:solidFill>
                        <a:schemeClr val="bg1"/>
                      </a:solidFill>
                    </a:endParaRPr>
                  </a:p>
                </c:rich>
              </c:tx>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935-4AE7-BA9C-8E86BEB06668}"/>
                </c:ext>
              </c:extLst>
            </c:dLbl>
            <c:dLbl>
              <c:idx val="1"/>
              <c:layout>
                <c:manualLayout>
                  <c:x val="0.18110989295822008"/>
                  <c:y val="-9.6603875036453776E-2"/>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bg1"/>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18156156303415807"/>
                      <c:h val="0.18570601851851853"/>
                    </c:manualLayout>
                  </c15:layout>
                </c:ext>
                <c:ext xmlns:c16="http://schemas.microsoft.com/office/drawing/2014/chart" uri="{C3380CC4-5D6E-409C-BE32-E72D297353CC}">
                  <c16:uniqueId val="{00000003-A935-4AE7-BA9C-8E86BEB06668}"/>
                </c:ext>
              </c:extLst>
            </c:dLbl>
            <c:dLbl>
              <c:idx val="2"/>
              <c:layout>
                <c:manualLayout>
                  <c:x val="0.14156135287359542"/>
                  <c:y val="0.18516240157480315"/>
                </c:manualLayout>
              </c:layout>
              <c:showLegendKey val="0"/>
              <c:showVal val="1"/>
              <c:showCatName val="1"/>
              <c:showSerName val="0"/>
              <c:showPercent val="1"/>
              <c:showBubbleSize val="0"/>
              <c:extLst>
                <c:ext xmlns:c15="http://schemas.microsoft.com/office/drawing/2012/chart" uri="{CE6537A1-D6FC-4f65-9D91-7224C49458BB}">
                  <c15:layout>
                    <c:manualLayout>
                      <c:w val="0.21966192170818505"/>
                      <c:h val="0.16571203339165938"/>
                    </c:manualLayout>
                  </c15:layout>
                </c:ext>
                <c:ext xmlns:c16="http://schemas.microsoft.com/office/drawing/2014/chart" uri="{C3380CC4-5D6E-409C-BE32-E72D297353CC}">
                  <c16:uniqueId val="{00000005-A935-4AE7-BA9C-8E86BEB06668}"/>
                </c:ext>
              </c:extLst>
            </c:dLbl>
            <c:dLbl>
              <c:idx val="3"/>
              <c:layout>
                <c:manualLayout>
                  <c:x val="9.9123630453666595E-2"/>
                  <c:y val="4.2151501895596355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935-4AE7-BA9C-8E86BEB06668}"/>
                </c:ext>
              </c:extLst>
            </c:dLbl>
            <c:dLbl>
              <c:idx val="4"/>
              <c:layout>
                <c:manualLayout>
                  <c:x val="7.5338708773502877E-2"/>
                  <c:y val="6.966134441528142E-2"/>
                </c:manualLayout>
              </c:layout>
              <c:showLegendKey val="0"/>
              <c:showVal val="1"/>
              <c:showCatName val="1"/>
              <c:showSerName val="0"/>
              <c:showPercent val="1"/>
              <c:showBubbleSize val="0"/>
              <c:extLst>
                <c:ext xmlns:c15="http://schemas.microsoft.com/office/drawing/2012/chart" uri="{CE6537A1-D6FC-4f65-9D91-7224C49458BB}">
                  <c15:layout>
                    <c:manualLayout>
                      <c:w val="0.21657010956370668"/>
                      <c:h val="0.11626157407407407"/>
                    </c:manualLayout>
                  </c15:layout>
                </c:ext>
                <c:ext xmlns:c16="http://schemas.microsoft.com/office/drawing/2014/chart" uri="{C3380CC4-5D6E-409C-BE32-E72D297353CC}">
                  <c16:uniqueId val="{00000009-A935-4AE7-BA9C-8E86BEB06668}"/>
                </c:ext>
              </c:extLst>
            </c:dLbl>
            <c:dLbl>
              <c:idx val="5"/>
              <c:layout>
                <c:manualLayout>
                  <c:x val="-0.17333447754084128"/>
                  <c:y val="-3.7637613006707545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A935-4AE7-BA9C-8E86BEB06668}"/>
                </c:ext>
              </c:extLst>
            </c:dLbl>
            <c:dLbl>
              <c:idx val="6"/>
              <c:layout>
                <c:manualLayout>
                  <c:x val="5.7940566592876955E-2"/>
                  <c:y val="-3.4900845727617383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A935-4AE7-BA9C-8E86BEB06668}"/>
                </c:ext>
              </c:extLst>
            </c:dLbl>
            <c:dLbl>
              <c:idx val="7"/>
              <c:layout>
                <c:manualLayout>
                  <c:x val="9.5640569395017708E-2"/>
                  <c:y val="7.8681469736017098E-2"/>
                </c:manualLayout>
              </c:layout>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2575622775800711"/>
                      <c:h val="0.13458278652668418"/>
                    </c:manualLayout>
                  </c15:layout>
                </c:ext>
                <c:ext xmlns:c16="http://schemas.microsoft.com/office/drawing/2014/chart" uri="{C3380CC4-5D6E-409C-BE32-E72D297353CC}">
                  <c16:uniqueId val="{0000000F-A935-4AE7-BA9C-8E86BEB06668}"/>
                </c:ext>
              </c:extLst>
            </c:dLbl>
            <c:dLbl>
              <c:idx val="8"/>
              <c:delete val="1"/>
              <c:extLst>
                <c:ext xmlns:c15="http://schemas.microsoft.com/office/drawing/2012/chart" uri="{CE6537A1-D6FC-4f65-9D91-7224C49458BB}">
                  <c15:layout>
                    <c:manualLayout>
                      <c:w val="0.17815836298932383"/>
                      <c:h val="9.0571295866233151E-2"/>
                    </c:manualLayout>
                  </c15:layout>
                </c:ext>
                <c:ext xmlns:c16="http://schemas.microsoft.com/office/drawing/2014/chart" uri="{C3380CC4-5D6E-409C-BE32-E72D297353CC}">
                  <c16:uniqueId val="{00000011-A935-4AE7-BA9C-8E86BEB06668}"/>
                </c:ext>
              </c:extLst>
            </c:dLbl>
            <c:dLbl>
              <c:idx val="9"/>
              <c:delete val="1"/>
              <c:extLst>
                <c:ext xmlns:c15="http://schemas.microsoft.com/office/drawing/2012/chart" uri="{CE6537A1-D6FC-4f65-9D91-7224C49458BB}"/>
                <c:ext xmlns:c16="http://schemas.microsoft.com/office/drawing/2014/chart" uri="{C3380CC4-5D6E-409C-BE32-E72D297353CC}">
                  <c16:uniqueId val="{00000013-A935-4AE7-BA9C-8E86BEB06668}"/>
                </c:ext>
              </c:extLst>
            </c:dLbl>
            <c:dLbl>
              <c:idx val="10"/>
              <c:delete val="1"/>
              <c:extLst>
                <c:ext xmlns:c15="http://schemas.microsoft.com/office/drawing/2012/chart" uri="{CE6537A1-D6FC-4f65-9D91-7224C49458BB}"/>
                <c:ext xmlns:c16="http://schemas.microsoft.com/office/drawing/2014/chart" uri="{C3380CC4-5D6E-409C-BE32-E72D297353CC}">
                  <c16:uniqueId val="{00000015-A935-4AE7-BA9C-8E86BEB06668}"/>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7"/>
                <c:pt idx="0">
                  <c:v>Coal</c:v>
                </c:pt>
                <c:pt idx="1">
                  <c:v>Major Hydro</c:v>
                </c:pt>
                <c:pt idx="2">
                  <c:v>Thermal (Others)</c:v>
                </c:pt>
                <c:pt idx="3">
                  <c:v>Mini Hydro</c:v>
                </c:pt>
                <c:pt idx="4">
                  <c:v>Wind</c:v>
                </c:pt>
                <c:pt idx="5">
                  <c:v>Solar</c:v>
                </c:pt>
                <c:pt idx="6">
                  <c:v>Other RE</c:v>
                </c:pt>
              </c:strCache>
            </c:strRef>
          </c:cat>
          <c:val>
            <c:numRef>
              <c:f>Sheet1!$B$2:$B$8</c:f>
              <c:numCache>
                <c:formatCode>#,##0.00</c:formatCode>
                <c:ptCount val="7"/>
                <c:pt idx="0">
                  <c:v>0.9</c:v>
                </c:pt>
                <c:pt idx="1">
                  <c:v>1.413</c:v>
                </c:pt>
                <c:pt idx="2">
                  <c:v>1.1879999999999999</c:v>
                </c:pt>
                <c:pt idx="3">
                  <c:v>0.41899999999999998</c:v>
                </c:pt>
                <c:pt idx="4">
                  <c:v>0.26700000000000002</c:v>
                </c:pt>
                <c:pt idx="5">
                  <c:v>0.95099999999999996</c:v>
                </c:pt>
                <c:pt idx="6">
                  <c:v>5.3999999999999999E-2</c:v>
                </c:pt>
              </c:numCache>
            </c:numRef>
          </c:val>
          <c:extLst>
            <c:ext xmlns:c16="http://schemas.microsoft.com/office/drawing/2014/chart" uri="{C3380CC4-5D6E-409C-BE32-E72D297353CC}">
              <c16:uniqueId val="{00000016-A935-4AE7-BA9C-8E86BEB06668}"/>
            </c:ext>
          </c:extLst>
        </c:ser>
        <c:dLbls>
          <c:showLegendKey val="0"/>
          <c:showVal val="0"/>
          <c:showCatName val="0"/>
          <c:showSerName val="0"/>
          <c:showPercent val="0"/>
          <c:showBubbleSize val="0"/>
          <c:showLeaderLines val="1"/>
        </c:dLbls>
        <c:firstSliceAng val="138"/>
      </c:pieChart>
      <c:spPr>
        <a:noFill/>
        <a:ln>
          <a:noFill/>
        </a:ln>
        <a:effectLst/>
      </c:spPr>
    </c:plotArea>
    <c:legend>
      <c:legendPos val="b"/>
      <c:layout>
        <c:manualLayout>
          <c:xMode val="edge"/>
          <c:yMode val="edge"/>
          <c:x val="0"/>
          <c:y val="0.8189945543848357"/>
          <c:w val="0.98140316038207831"/>
          <c:h val="0.1499815309895366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765180356759565"/>
          <c:y val="0.12956115344262986"/>
          <c:w val="0.83704854325060152"/>
          <c:h val="0.61656997567860661"/>
        </c:manualLayout>
      </c:layout>
      <c:barChart>
        <c:barDir val="col"/>
        <c:grouping val="clustered"/>
        <c:varyColors val="0"/>
        <c:ser>
          <c:idx val="0"/>
          <c:order val="0"/>
          <c:tx>
            <c:strRef>
              <c:f>Sheet1!$B$1</c:f>
              <c:strCache>
                <c:ptCount val="1"/>
                <c:pt idx="0">
                  <c:v>Max. Demand</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700" b="0"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Sheet1!$A$2:$A$12</c:f>
              <c:strCache>
                <c:ptCount val="11"/>
                <c:pt idx="0">
                  <c:v>FY 12-13</c:v>
                </c:pt>
                <c:pt idx="1">
                  <c:v>FY 13-14</c:v>
                </c:pt>
                <c:pt idx="2">
                  <c:v>FY 14-15</c:v>
                </c:pt>
                <c:pt idx="3">
                  <c:v>FY 15-16</c:v>
                </c:pt>
                <c:pt idx="4">
                  <c:v>FY 16-17</c:v>
                </c:pt>
                <c:pt idx="5">
                  <c:v>FY 17-18</c:v>
                </c:pt>
                <c:pt idx="6">
                  <c:v>FY 18-19</c:v>
                </c:pt>
                <c:pt idx="7">
                  <c:v>FY 19-20</c:v>
                </c:pt>
                <c:pt idx="8">
                  <c:v>FY 2020-21</c:v>
                </c:pt>
                <c:pt idx="9">
                  <c:v>FY 2021-22</c:v>
                </c:pt>
                <c:pt idx="10">
                  <c:v>FY 2022-23</c:v>
                </c:pt>
              </c:strCache>
            </c:strRef>
          </c:cat>
          <c:val>
            <c:numRef>
              <c:f>Sheet1!$B$2:$B$12</c:f>
              <c:numCache>
                <c:formatCode>0</c:formatCode>
                <c:ptCount val="11"/>
                <c:pt idx="0">
                  <c:v>8349</c:v>
                </c:pt>
                <c:pt idx="1">
                  <c:v>9268</c:v>
                </c:pt>
                <c:pt idx="2">
                  <c:v>8920</c:v>
                </c:pt>
                <c:pt idx="3">
                  <c:v>9600</c:v>
                </c:pt>
                <c:pt idx="4">
                  <c:v>10400</c:v>
                </c:pt>
                <c:pt idx="5">
                  <c:v>11200</c:v>
                </c:pt>
                <c:pt idx="6">
                  <c:v>12100</c:v>
                </c:pt>
                <c:pt idx="7">
                  <c:v>13300</c:v>
                </c:pt>
                <c:pt idx="8" formatCode="General">
                  <c:v>14500</c:v>
                </c:pt>
                <c:pt idx="9" formatCode="General">
                  <c:v>15800</c:v>
                </c:pt>
                <c:pt idx="10" formatCode="General">
                  <c:v>17100</c:v>
                </c:pt>
              </c:numCache>
            </c:numRef>
          </c:val>
          <c:extLst>
            <c:ext xmlns:c16="http://schemas.microsoft.com/office/drawing/2014/chart" uri="{C3380CC4-5D6E-409C-BE32-E72D297353CC}">
              <c16:uniqueId val="{00000000-DE0C-45FB-92AF-97625F013A82}"/>
            </c:ext>
          </c:extLst>
        </c:ser>
        <c:ser>
          <c:idx val="1"/>
          <c:order val="1"/>
          <c:tx>
            <c:strRef>
              <c:f>Sheet1!$C$1</c:f>
              <c:strCache>
                <c:ptCount val="1"/>
                <c:pt idx="0">
                  <c:v>Max. Demand Served*</c:v>
                </c:pt>
              </c:strCache>
            </c:strRef>
          </c:tx>
          <c:spPr>
            <a:solidFill>
              <a:schemeClr val="bg1">
                <a:lumMod val="75000"/>
              </a:schemeClr>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7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Sheet1!$A$2:$A$12</c:f>
              <c:strCache>
                <c:ptCount val="11"/>
                <c:pt idx="0">
                  <c:v>FY 12-13</c:v>
                </c:pt>
                <c:pt idx="1">
                  <c:v>FY 13-14</c:v>
                </c:pt>
                <c:pt idx="2">
                  <c:v>FY 14-15</c:v>
                </c:pt>
                <c:pt idx="3">
                  <c:v>FY 15-16</c:v>
                </c:pt>
                <c:pt idx="4">
                  <c:v>FY 16-17</c:v>
                </c:pt>
                <c:pt idx="5">
                  <c:v>FY 17-18</c:v>
                </c:pt>
                <c:pt idx="6">
                  <c:v>FY 18-19</c:v>
                </c:pt>
                <c:pt idx="7">
                  <c:v>FY 19-20</c:v>
                </c:pt>
                <c:pt idx="8">
                  <c:v>FY 2020-21</c:v>
                </c:pt>
                <c:pt idx="9">
                  <c:v>FY 2021-22</c:v>
                </c:pt>
                <c:pt idx="10">
                  <c:v>FY 2022-23</c:v>
                </c:pt>
              </c:strCache>
            </c:strRef>
          </c:cat>
          <c:val>
            <c:numRef>
              <c:f>Sheet1!$C$2:$C$12</c:f>
              <c:numCache>
                <c:formatCode>0</c:formatCode>
                <c:ptCount val="11"/>
                <c:pt idx="0">
                  <c:v>6434</c:v>
                </c:pt>
                <c:pt idx="1">
                  <c:v>7356</c:v>
                </c:pt>
                <c:pt idx="2">
                  <c:v>7817</c:v>
                </c:pt>
                <c:pt idx="3">
                  <c:v>9036</c:v>
                </c:pt>
                <c:pt idx="4">
                  <c:v>9479</c:v>
                </c:pt>
                <c:pt idx="5">
                  <c:v>10958</c:v>
                </c:pt>
                <c:pt idx="6">
                  <c:v>12893</c:v>
                </c:pt>
                <c:pt idx="7">
                  <c:v>12738</c:v>
                </c:pt>
                <c:pt idx="8" formatCode="General">
                  <c:v>13792</c:v>
                </c:pt>
                <c:pt idx="9" formatCode="General">
                  <c:v>14782</c:v>
                </c:pt>
                <c:pt idx="10" formatCode="General">
                  <c:v>15648</c:v>
                </c:pt>
              </c:numCache>
            </c:numRef>
          </c:val>
          <c:extLst>
            <c:ext xmlns:c16="http://schemas.microsoft.com/office/drawing/2014/chart" uri="{C3380CC4-5D6E-409C-BE32-E72D297353CC}">
              <c16:uniqueId val="{00000001-DE0C-45FB-92AF-97625F013A82}"/>
            </c:ext>
          </c:extLst>
        </c:ser>
        <c:dLbls>
          <c:dLblPos val="inBase"/>
          <c:showLegendKey val="0"/>
          <c:showVal val="1"/>
          <c:showCatName val="0"/>
          <c:showSerName val="0"/>
          <c:showPercent val="0"/>
          <c:showBubbleSize val="0"/>
        </c:dLbls>
        <c:gapWidth val="219"/>
        <c:overlap val="-27"/>
        <c:axId val="547175456"/>
        <c:axId val="654274144"/>
      </c:barChart>
      <c:lineChart>
        <c:grouping val="standard"/>
        <c:varyColors val="0"/>
        <c:ser>
          <c:idx val="2"/>
          <c:order val="2"/>
          <c:tx>
            <c:strRef>
              <c:f>Sheet1!$D$1</c:f>
              <c:strCache>
                <c:ptCount val="1"/>
                <c:pt idx="0">
                  <c:v>Gap (%)</c:v>
                </c:pt>
              </c:strCache>
            </c:strRef>
          </c:tx>
          <c:spPr>
            <a:ln w="28575" cap="rnd">
              <a:solidFill>
                <a:schemeClr val="accent2">
                  <a:tint val="65000"/>
                </a:schemeClr>
              </a:solidFill>
              <a:round/>
            </a:ln>
            <a:effectLst/>
          </c:spPr>
          <c:marker>
            <c:symbol val="none"/>
          </c:marker>
          <c:dLbls>
            <c:dLbl>
              <c:idx val="6"/>
              <c:delete val="1"/>
              <c:extLst>
                <c:ext xmlns:c15="http://schemas.microsoft.com/office/drawing/2012/chart" uri="{CE6537A1-D6FC-4f65-9D91-7224C49458BB}"/>
                <c:ext xmlns:c16="http://schemas.microsoft.com/office/drawing/2014/chart" uri="{C3380CC4-5D6E-409C-BE32-E72D297353CC}">
                  <c16:uniqueId val="{00000002-DE0C-45FB-92AF-97625F013A82}"/>
                </c:ext>
              </c:extLst>
            </c:dLbl>
            <c:spPr>
              <a:solidFill>
                <a:schemeClr val="accent3">
                  <a:lumMod val="40000"/>
                  <a:lumOff val="60000"/>
                </a:schemeClr>
              </a:solidFill>
              <a:ln>
                <a:noFill/>
              </a:ln>
              <a:effectLst/>
            </c:spPr>
            <c:txPr>
              <a:bodyPr rot="0" spcFirstLastPara="1" vertOverflow="ellipsis" vert="horz" wrap="square" anchor="ctr" anchorCtr="1"/>
              <a:lstStyle/>
              <a:p>
                <a:pPr>
                  <a:defRPr sz="800" b="1" i="1"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Sheet1!$A$2:$A$12</c:f>
              <c:strCache>
                <c:ptCount val="11"/>
                <c:pt idx="0">
                  <c:v>FY 12-13</c:v>
                </c:pt>
                <c:pt idx="1">
                  <c:v>FY 13-14</c:v>
                </c:pt>
                <c:pt idx="2">
                  <c:v>FY 14-15</c:v>
                </c:pt>
                <c:pt idx="3">
                  <c:v>FY 15-16</c:v>
                </c:pt>
                <c:pt idx="4">
                  <c:v>FY 16-17</c:v>
                </c:pt>
                <c:pt idx="5">
                  <c:v>FY 17-18</c:v>
                </c:pt>
                <c:pt idx="6">
                  <c:v>FY 18-19</c:v>
                </c:pt>
                <c:pt idx="7">
                  <c:v>FY 19-20</c:v>
                </c:pt>
                <c:pt idx="8">
                  <c:v>FY 2020-21</c:v>
                </c:pt>
                <c:pt idx="9">
                  <c:v>FY 2021-22</c:v>
                </c:pt>
                <c:pt idx="10">
                  <c:v>FY 2022-23</c:v>
                </c:pt>
              </c:strCache>
            </c:strRef>
          </c:cat>
          <c:val>
            <c:numRef>
              <c:f>Sheet1!$D$2:$D$12</c:f>
              <c:numCache>
                <c:formatCode>0%</c:formatCode>
                <c:ptCount val="11"/>
                <c:pt idx="0">
                  <c:v>0.22936878668103963</c:v>
                </c:pt>
                <c:pt idx="1">
                  <c:v>0.20630125161847215</c:v>
                </c:pt>
                <c:pt idx="2">
                  <c:v>0.12365470852017937</c:v>
                </c:pt>
                <c:pt idx="3">
                  <c:v>5.8749999999999997E-2</c:v>
                </c:pt>
                <c:pt idx="4">
                  <c:v>8.8557692307692309E-2</c:v>
                </c:pt>
                <c:pt idx="5">
                  <c:v>2.1607142857142856E-2</c:v>
                </c:pt>
                <c:pt idx="6">
                  <c:v>-6.5537190082644622E-2</c:v>
                </c:pt>
                <c:pt idx="7">
                  <c:v>4.2255639097744359E-2</c:v>
                </c:pt>
                <c:pt idx="8">
                  <c:v>4.8827586206896555E-2</c:v>
                </c:pt>
                <c:pt idx="9">
                  <c:v>6.4430379746835437E-2</c:v>
                </c:pt>
                <c:pt idx="10">
                  <c:v>8.4912280701754383E-2</c:v>
                </c:pt>
              </c:numCache>
            </c:numRef>
          </c:val>
          <c:smooth val="0"/>
          <c:extLst>
            <c:ext xmlns:c16="http://schemas.microsoft.com/office/drawing/2014/chart" uri="{C3380CC4-5D6E-409C-BE32-E72D297353CC}">
              <c16:uniqueId val="{00000003-DE0C-45FB-92AF-97625F013A82}"/>
            </c:ext>
          </c:extLst>
        </c:ser>
        <c:dLbls>
          <c:showLegendKey val="0"/>
          <c:showVal val="1"/>
          <c:showCatName val="0"/>
          <c:showSerName val="0"/>
          <c:showPercent val="0"/>
          <c:showBubbleSize val="0"/>
        </c:dLbls>
        <c:marker val="1"/>
        <c:smooth val="0"/>
        <c:axId val="654274928"/>
        <c:axId val="654274536"/>
      </c:lineChart>
      <c:catAx>
        <c:axId val="547175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654274144"/>
        <c:crosses val="autoZero"/>
        <c:auto val="1"/>
        <c:lblAlgn val="ctr"/>
        <c:lblOffset val="100"/>
        <c:noMultiLvlLbl val="0"/>
      </c:catAx>
      <c:valAx>
        <c:axId val="6542741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547175456"/>
        <c:crosses val="autoZero"/>
        <c:crossBetween val="between"/>
      </c:valAx>
      <c:valAx>
        <c:axId val="654274536"/>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654274928"/>
        <c:crosses val="max"/>
        <c:crossBetween val="between"/>
      </c:valAx>
      <c:catAx>
        <c:axId val="654274928"/>
        <c:scaling>
          <c:orientation val="minMax"/>
        </c:scaling>
        <c:delete val="1"/>
        <c:axPos val="b"/>
        <c:numFmt formatCode="General" sourceLinked="1"/>
        <c:majorTickMark val="out"/>
        <c:minorTickMark val="none"/>
        <c:tickLblPos val="nextTo"/>
        <c:crossAx val="654274536"/>
        <c:crosses val="autoZero"/>
        <c:auto val="1"/>
        <c:lblAlgn val="ctr"/>
        <c:lblOffset val="100"/>
        <c:noMultiLvlLbl val="0"/>
      </c:catAx>
      <c:spPr>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plotArea>
    <c:legend>
      <c:legendPos val="b"/>
      <c:layout>
        <c:manualLayout>
          <c:xMode val="edge"/>
          <c:yMode val="edge"/>
          <c:x val="5.2018898909592694E-2"/>
          <c:y val="0.88976658749751381"/>
          <c:w val="0.9"/>
          <c:h val="8.6824429584256194E-2"/>
        </c:manualLayout>
      </c:layout>
      <c:overlay val="1"/>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noFill/>
    <a:ln w="9525" cap="flat" cmpd="sng" algn="ctr">
      <a:solidFill>
        <a:srgbClr val="002060"/>
      </a:solid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Demand</a:t>
            </a:r>
            <a:r>
              <a:rPr lang="en-US" sz="1100" b="1" baseline="0"/>
              <a:t> vs Supply Trend (GWh)</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Energy Supply</c:v>
                </c:pt>
              </c:strCache>
            </c:strRef>
          </c:tx>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c:v>
                </c:pt>
              </c:strCache>
            </c:strRef>
          </c:cat>
          <c:val>
            <c:numRef>
              <c:f>Sheet1!$B$2:$B$6</c:f>
              <c:numCache>
                <c:formatCode>0</c:formatCode>
                <c:ptCount val="5"/>
                <c:pt idx="0">
                  <c:v>2490</c:v>
                </c:pt>
                <c:pt idx="1">
                  <c:v>2423.5100000000002</c:v>
                </c:pt>
                <c:pt idx="2">
                  <c:v>2101.02</c:v>
                </c:pt>
                <c:pt idx="3">
                  <c:v>2574.21</c:v>
                </c:pt>
                <c:pt idx="4">
                  <c:v>3642.91</c:v>
                </c:pt>
              </c:numCache>
            </c:numRef>
          </c:val>
          <c:extLst>
            <c:ext xmlns:c16="http://schemas.microsoft.com/office/drawing/2014/chart" uri="{C3380CC4-5D6E-409C-BE32-E72D297353CC}">
              <c16:uniqueId val="{00000000-5865-49D3-BDFF-7E2A811E255F}"/>
            </c:ext>
          </c:extLst>
        </c:ser>
        <c:ser>
          <c:idx val="1"/>
          <c:order val="1"/>
          <c:tx>
            <c:strRef>
              <c:f>Sheet1!$C$1</c:f>
              <c:strCache>
                <c:ptCount val="1"/>
                <c:pt idx="0">
                  <c:v>Energy Consumption</c:v>
                </c:pt>
              </c:strCache>
            </c:strRef>
          </c:tx>
          <c:spPr>
            <a:solidFill>
              <a:schemeClr val="bg2">
                <a:lumMod val="40000"/>
                <a:lumOff val="60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c:v>
                </c:pt>
              </c:strCache>
            </c:strRef>
          </c:cat>
          <c:val>
            <c:numRef>
              <c:f>Sheet1!$C$2:$C$6</c:f>
              <c:numCache>
                <c:formatCode>0</c:formatCode>
                <c:ptCount val="5"/>
                <c:pt idx="0">
                  <c:v>2328.44</c:v>
                </c:pt>
                <c:pt idx="1">
                  <c:v>2279.7399999999998</c:v>
                </c:pt>
                <c:pt idx="2">
                  <c:v>1960.66</c:v>
                </c:pt>
                <c:pt idx="3">
                  <c:v>2474.4899999999998</c:v>
                </c:pt>
                <c:pt idx="4">
                  <c:v>3445.41</c:v>
                </c:pt>
              </c:numCache>
            </c:numRef>
          </c:val>
          <c:extLst>
            <c:ext xmlns:c16="http://schemas.microsoft.com/office/drawing/2014/chart" uri="{C3380CC4-5D6E-409C-BE32-E72D297353CC}">
              <c16:uniqueId val="{00000001-5865-49D3-BDFF-7E2A811E255F}"/>
            </c:ext>
          </c:extLst>
        </c:ser>
        <c:dLbls>
          <c:showLegendKey val="0"/>
          <c:showVal val="0"/>
          <c:showCatName val="0"/>
          <c:showSerName val="0"/>
          <c:showPercent val="0"/>
          <c:showBubbleSize val="0"/>
        </c:dLbls>
        <c:gapWidth val="219"/>
        <c:overlap val="-27"/>
        <c:axId val="1139550080"/>
        <c:axId val="1139550560"/>
      </c:barChart>
      <c:catAx>
        <c:axId val="1139550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139550560"/>
        <c:crosses val="autoZero"/>
        <c:auto val="1"/>
        <c:lblAlgn val="ctr"/>
        <c:lblOffset val="100"/>
        <c:noMultiLvlLbl val="0"/>
      </c:catAx>
      <c:valAx>
        <c:axId val="1139550560"/>
        <c:scaling>
          <c:orientation val="minMax"/>
        </c:scaling>
        <c:delete val="1"/>
        <c:axPos val="l"/>
        <c:numFmt formatCode="0" sourceLinked="1"/>
        <c:majorTickMark val="none"/>
        <c:minorTickMark val="none"/>
        <c:tickLblPos val="nextTo"/>
        <c:crossAx val="1139550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Export</a:t>
            </a:r>
            <a:r>
              <a:rPr lang="en-US" sz="1100" b="1" baseline="0"/>
              <a:t> vs Import Trend (GWh)</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Total Export</c:v>
                </c:pt>
              </c:strCache>
            </c:strRef>
          </c:tx>
          <c:spPr>
            <a:solidFill>
              <a:schemeClr val="tx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Sheet1!$B$2:$B$6</c:f>
              <c:numCache>
                <c:formatCode>0</c:formatCode>
                <c:ptCount val="5"/>
                <c:pt idx="0">
                  <c:v>4580.8599999999997</c:v>
                </c:pt>
                <c:pt idx="1">
                  <c:v>6146.6</c:v>
                </c:pt>
                <c:pt idx="2">
                  <c:v>9259.65</c:v>
                </c:pt>
                <c:pt idx="3">
                  <c:v>8075.5</c:v>
                </c:pt>
                <c:pt idx="4">
                  <c:v>7482.69</c:v>
                </c:pt>
              </c:numCache>
            </c:numRef>
          </c:val>
          <c:extLst>
            <c:ext xmlns:c16="http://schemas.microsoft.com/office/drawing/2014/chart" uri="{C3380CC4-5D6E-409C-BE32-E72D297353CC}">
              <c16:uniqueId val="{00000000-B3F2-49EF-90DE-9818689AF7C9}"/>
            </c:ext>
          </c:extLst>
        </c:ser>
        <c:ser>
          <c:idx val="1"/>
          <c:order val="1"/>
          <c:tx>
            <c:strRef>
              <c:f>Sheet1!$C$1</c:f>
              <c:strCache>
                <c:ptCount val="1"/>
                <c:pt idx="0">
                  <c:v>Total Import</c:v>
                </c:pt>
              </c:strCache>
            </c:strRef>
          </c:tx>
          <c:spPr>
            <a:solidFill>
              <a:schemeClr val="bg1">
                <a:lumMod val="6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Sheet1!$C$2:$C$6</c:f>
              <c:numCache>
                <c:formatCode>0</c:formatCode>
                <c:ptCount val="5"/>
                <c:pt idx="0">
                  <c:v>133.97999999999999</c:v>
                </c:pt>
                <c:pt idx="1">
                  <c:v>96.37</c:v>
                </c:pt>
                <c:pt idx="2">
                  <c:v>81.83</c:v>
                </c:pt>
                <c:pt idx="3">
                  <c:v>98.04</c:v>
                </c:pt>
                <c:pt idx="4">
                  <c:v>203.92</c:v>
                </c:pt>
              </c:numCache>
            </c:numRef>
          </c:val>
          <c:extLst>
            <c:ext xmlns:c16="http://schemas.microsoft.com/office/drawing/2014/chart" uri="{C3380CC4-5D6E-409C-BE32-E72D297353CC}">
              <c16:uniqueId val="{00000001-B3F2-49EF-90DE-9818689AF7C9}"/>
            </c:ext>
          </c:extLst>
        </c:ser>
        <c:dLbls>
          <c:showLegendKey val="0"/>
          <c:showVal val="0"/>
          <c:showCatName val="0"/>
          <c:showSerName val="0"/>
          <c:showPercent val="0"/>
          <c:showBubbleSize val="0"/>
        </c:dLbls>
        <c:gapWidth val="219"/>
        <c:overlap val="-27"/>
        <c:axId val="1139550080"/>
        <c:axId val="1139550560"/>
      </c:barChart>
      <c:catAx>
        <c:axId val="1139550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139550560"/>
        <c:crosses val="autoZero"/>
        <c:auto val="1"/>
        <c:lblAlgn val="ctr"/>
        <c:lblOffset val="100"/>
        <c:noMultiLvlLbl val="0"/>
      </c:catAx>
      <c:valAx>
        <c:axId val="1139550560"/>
        <c:scaling>
          <c:orientation val="minMax"/>
        </c:scaling>
        <c:delete val="1"/>
        <c:axPos val="l"/>
        <c:numFmt formatCode="0" sourceLinked="1"/>
        <c:majorTickMark val="none"/>
        <c:minorTickMark val="none"/>
        <c:tickLblPos val="nextTo"/>
        <c:crossAx val="1139550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3.105316004818303E-2"/>
          <c:y val="0.10879951806818085"/>
          <c:w val="0.92288067045054478"/>
          <c:h val="0.57077045056867892"/>
        </c:manualLayout>
      </c:layout>
      <c:barChart>
        <c:barDir val="col"/>
        <c:grouping val="clustered"/>
        <c:varyColors val="0"/>
        <c:ser>
          <c:idx val="0"/>
          <c:order val="0"/>
          <c:tx>
            <c:strRef>
              <c:f>Sheet1!$B$1</c:f>
              <c:strCache>
                <c:ptCount val="1"/>
                <c:pt idx="0">
                  <c:v>Peak Demand (GW)</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mmm\-yy</c:formatCode>
                <c:ptCount val="12"/>
                <c:pt idx="0">
                  <c:v>45017</c:v>
                </c:pt>
                <c:pt idx="1">
                  <c:v>45047</c:v>
                </c:pt>
                <c:pt idx="2">
                  <c:v>45078</c:v>
                </c:pt>
                <c:pt idx="3">
                  <c:v>45108</c:v>
                </c:pt>
                <c:pt idx="4">
                  <c:v>45139</c:v>
                </c:pt>
                <c:pt idx="5">
                  <c:v>45170</c:v>
                </c:pt>
                <c:pt idx="6">
                  <c:v>45200</c:v>
                </c:pt>
                <c:pt idx="7">
                  <c:v>45231</c:v>
                </c:pt>
                <c:pt idx="8">
                  <c:v>45261</c:v>
                </c:pt>
                <c:pt idx="9">
                  <c:v>45292</c:v>
                </c:pt>
                <c:pt idx="10">
                  <c:v>45323</c:v>
                </c:pt>
                <c:pt idx="11">
                  <c:v>45352</c:v>
                </c:pt>
              </c:numCache>
            </c:numRef>
          </c:cat>
          <c:val>
            <c:numRef>
              <c:f>Sheet1!$B$2:$B$13</c:f>
              <c:numCache>
                <c:formatCode>0.00</c:formatCode>
                <c:ptCount val="12"/>
                <c:pt idx="0">
                  <c:v>216.142</c:v>
                </c:pt>
                <c:pt idx="1">
                  <c:v>221.71799999999999</c:v>
                </c:pt>
                <c:pt idx="2">
                  <c:v>224.10599999999999</c:v>
                </c:pt>
                <c:pt idx="3">
                  <c:v>209.03899999999999</c:v>
                </c:pt>
                <c:pt idx="4">
                  <c:v>238.82400000000001</c:v>
                </c:pt>
                <c:pt idx="5">
                  <c:v>243.27099999999999</c:v>
                </c:pt>
                <c:pt idx="6">
                  <c:v>222.16</c:v>
                </c:pt>
                <c:pt idx="7">
                  <c:v>204.77699999999999</c:v>
                </c:pt>
                <c:pt idx="8">
                  <c:v>213.79300000000001</c:v>
                </c:pt>
                <c:pt idx="9">
                  <c:v>223.51599999999999</c:v>
                </c:pt>
                <c:pt idx="10">
                  <c:v>222.166</c:v>
                </c:pt>
                <c:pt idx="11">
                  <c:v>221.82300000000001</c:v>
                </c:pt>
              </c:numCache>
            </c:numRef>
          </c:val>
          <c:extLst>
            <c:ext xmlns:c16="http://schemas.microsoft.com/office/drawing/2014/chart" uri="{C3380CC4-5D6E-409C-BE32-E72D297353CC}">
              <c16:uniqueId val="{00000000-193C-427B-B103-E541812EEDBF}"/>
            </c:ext>
          </c:extLst>
        </c:ser>
        <c:dLbls>
          <c:showLegendKey val="0"/>
          <c:showVal val="0"/>
          <c:showCatName val="0"/>
          <c:showSerName val="0"/>
          <c:showPercent val="0"/>
          <c:showBubbleSize val="0"/>
        </c:dLbls>
        <c:gapWidth val="37"/>
        <c:axId val="1607082687"/>
        <c:axId val="1613507519"/>
      </c:barChart>
      <c:lineChart>
        <c:grouping val="standard"/>
        <c:varyColors val="0"/>
        <c:ser>
          <c:idx val="1"/>
          <c:order val="1"/>
          <c:tx>
            <c:strRef>
              <c:f>Sheet1!$C$1</c:f>
              <c:strCache>
                <c:ptCount val="1"/>
                <c:pt idx="0">
                  <c:v>Peak Deficit (%)</c:v>
                </c:pt>
              </c:strCache>
            </c:strRef>
          </c:tx>
          <c:spPr>
            <a:ln w="28575" cap="rnd">
              <a:solidFill>
                <a:schemeClr val="bg1">
                  <a:lumMod val="75000"/>
                </a:schemeClr>
              </a:solidFill>
              <a:round/>
            </a:ln>
            <a:effectLst/>
          </c:spPr>
          <c:marker>
            <c:symbol val="triangle"/>
            <c:size val="5"/>
            <c:spPr>
              <a:solidFill>
                <a:schemeClr val="accent2">
                  <a:tint val="77000"/>
                </a:schemeClr>
              </a:solidFill>
              <a:ln w="9525">
                <a:solidFill>
                  <a:schemeClr val="bg1">
                    <a:lumMod val="75000"/>
                  </a:schemeClr>
                </a:solidFill>
              </a:ln>
              <a:effectLst/>
            </c:spPr>
          </c:marker>
          <c:dLbls>
            <c:dLbl>
              <c:idx val="4"/>
              <c:layout>
                <c:manualLayout>
                  <c:x val="-4.2107021790958536E-2"/>
                  <c:y val="-5.80253325854057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D9B-4DFC-891C-D68385425E55}"/>
                </c:ext>
              </c:extLst>
            </c:dLbl>
            <c:dLbl>
              <c:idx val="5"/>
              <c:layout>
                <c:manualLayout>
                  <c:x val="-4.9825603860586126E-2"/>
                  <c:y val="0.1040873578571578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93C-427B-B103-E541812EEDBF}"/>
                </c:ext>
              </c:extLst>
            </c:dLbl>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mmm\-yy</c:formatCode>
                <c:ptCount val="12"/>
                <c:pt idx="0">
                  <c:v>45017</c:v>
                </c:pt>
                <c:pt idx="1">
                  <c:v>45047</c:v>
                </c:pt>
                <c:pt idx="2">
                  <c:v>45078</c:v>
                </c:pt>
                <c:pt idx="3">
                  <c:v>45108</c:v>
                </c:pt>
                <c:pt idx="4">
                  <c:v>45139</c:v>
                </c:pt>
                <c:pt idx="5">
                  <c:v>45170</c:v>
                </c:pt>
                <c:pt idx="6">
                  <c:v>45200</c:v>
                </c:pt>
                <c:pt idx="7">
                  <c:v>45231</c:v>
                </c:pt>
                <c:pt idx="8">
                  <c:v>45261</c:v>
                </c:pt>
                <c:pt idx="9">
                  <c:v>45292</c:v>
                </c:pt>
                <c:pt idx="10">
                  <c:v>45323</c:v>
                </c:pt>
                <c:pt idx="11">
                  <c:v>45352</c:v>
                </c:pt>
              </c:numCache>
            </c:numRef>
          </c:cat>
          <c:val>
            <c:numRef>
              <c:f>Sheet1!$C$2:$C$13</c:f>
              <c:numCache>
                <c:formatCode>0.00%</c:formatCode>
                <c:ptCount val="12"/>
                <c:pt idx="0">
                  <c:v>7.8651997298066778E-4</c:v>
                </c:pt>
                <c:pt idx="1">
                  <c:v>1.3305189474918026E-3</c:v>
                </c:pt>
                <c:pt idx="2">
                  <c:v>3.6322097578823992E-3</c:v>
                </c:pt>
                <c:pt idx="3">
                  <c:v>4.1619028028257448E-4</c:v>
                </c:pt>
                <c:pt idx="4">
                  <c:v>1.0589388001206013E-2</c:v>
                </c:pt>
                <c:pt idx="5">
                  <c:v>1.3729544417542474E-2</c:v>
                </c:pt>
                <c:pt idx="6">
                  <c:v>2.795282679150204E-3</c:v>
                </c:pt>
                <c:pt idx="7">
                  <c:v>1.020622433183291E-3</c:v>
                </c:pt>
                <c:pt idx="8">
                  <c:v>8.091939399325601E-4</c:v>
                </c:pt>
                <c:pt idx="9">
                  <c:v>5.3195296980976439E-3</c:v>
                </c:pt>
                <c:pt idx="10">
                  <c:v>7.3368562246253213E-4</c:v>
                </c:pt>
                <c:pt idx="11">
                  <c:v>6.2662573312961237E-4</c:v>
                </c:pt>
              </c:numCache>
            </c:numRef>
          </c:val>
          <c:smooth val="0"/>
          <c:extLst>
            <c:ext xmlns:c16="http://schemas.microsoft.com/office/drawing/2014/chart" uri="{C3380CC4-5D6E-409C-BE32-E72D297353CC}">
              <c16:uniqueId val="{00000002-193C-427B-B103-E541812EEDBF}"/>
            </c:ext>
          </c:extLst>
        </c:ser>
        <c:dLbls>
          <c:showLegendKey val="0"/>
          <c:showVal val="0"/>
          <c:showCatName val="0"/>
          <c:showSerName val="0"/>
          <c:showPercent val="0"/>
          <c:showBubbleSize val="0"/>
        </c:dLbls>
        <c:marker val="1"/>
        <c:smooth val="0"/>
        <c:axId val="1729466687"/>
        <c:axId val="1730123183"/>
      </c:lineChart>
      <c:dateAx>
        <c:axId val="1607082687"/>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613507519"/>
        <c:crosses val="autoZero"/>
        <c:auto val="1"/>
        <c:lblOffset val="100"/>
        <c:baseTimeUnit val="months"/>
      </c:dateAx>
      <c:valAx>
        <c:axId val="1613507519"/>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300" b="0"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crossAx val="1607082687"/>
        <c:crosses val="autoZero"/>
        <c:crossBetween val="between"/>
      </c:valAx>
      <c:valAx>
        <c:axId val="1730123183"/>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crossAx val="1729466687"/>
        <c:crosses val="max"/>
        <c:crossBetween val="between"/>
      </c:valAx>
      <c:dateAx>
        <c:axId val="1729466687"/>
        <c:scaling>
          <c:orientation val="minMax"/>
        </c:scaling>
        <c:delete val="1"/>
        <c:axPos val="b"/>
        <c:numFmt formatCode="mmm\-yy" sourceLinked="1"/>
        <c:majorTickMark val="out"/>
        <c:minorTickMark val="none"/>
        <c:tickLblPos val="nextTo"/>
        <c:crossAx val="1730123183"/>
        <c:crosses val="autoZero"/>
        <c:auto val="1"/>
        <c:lblOffset val="100"/>
        <c:baseTimeUnit val="months"/>
      </c:dateAx>
      <c:spPr>
        <a:noFill/>
        <a:ln>
          <a:noFill/>
        </a:ln>
        <a:effectLst/>
      </c:spPr>
    </c:plotArea>
    <c:legend>
      <c:legendPos val="b"/>
      <c:layout>
        <c:manualLayout>
          <c:xMode val="edge"/>
          <c:yMode val="edge"/>
          <c:x val="0.2741747988057826"/>
          <c:y val="0.85250282611841921"/>
          <c:w val="0.45165040238843474"/>
          <c:h val="0.1474971738815807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3939683650018619E-2"/>
          <c:y val="0.17943484886969774"/>
          <c:w val="0.84100958734324871"/>
          <c:h val="0.54533972567945133"/>
        </c:manualLayout>
      </c:layout>
      <c:barChart>
        <c:barDir val="col"/>
        <c:grouping val="clustered"/>
        <c:varyColors val="0"/>
        <c:ser>
          <c:idx val="0"/>
          <c:order val="0"/>
          <c:tx>
            <c:strRef>
              <c:f>Sheet1!$B$1</c:f>
              <c:strCache>
                <c:ptCount val="1"/>
                <c:pt idx="0">
                  <c:v>Peak Power Demand Met (MW)</c:v>
                </c:pt>
              </c:strCache>
            </c:strRef>
          </c:tx>
          <c:spPr>
            <a:solidFill>
              <a:schemeClr val="accent1"/>
            </a:solidFill>
            <a:ln>
              <a:noFill/>
            </a:ln>
            <a:effectLst/>
          </c:spPr>
          <c:invertIfNegative val="0"/>
          <c:dLbls>
            <c:dLbl>
              <c:idx val="0"/>
              <c:layout>
                <c:manualLayout>
                  <c:x val="-1.060944534001666E-17"/>
                  <c:y val="0.16354838709677419"/>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EA1-4152-B5AD-330CFD51C772}"/>
                </c:ext>
              </c:extLst>
            </c:dLbl>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 22</c:v>
                </c:pt>
                <c:pt idx="3">
                  <c:v>FY 23</c:v>
                </c:pt>
                <c:pt idx="4">
                  <c:v>FY 24</c:v>
                </c:pt>
              </c:strCache>
            </c:strRef>
          </c:cat>
          <c:val>
            <c:numRef>
              <c:f>Sheet1!$B$2:$B$6</c:f>
              <c:numCache>
                <c:formatCode>#,##0</c:formatCode>
                <c:ptCount val="5"/>
                <c:pt idx="0">
                  <c:v>1408</c:v>
                </c:pt>
                <c:pt idx="1">
                  <c:v>1482</c:v>
                </c:pt>
                <c:pt idx="2">
                  <c:v>1748</c:v>
                </c:pt>
                <c:pt idx="3">
                  <c:v>1870</c:v>
                </c:pt>
                <c:pt idx="4">
                  <c:v>2212</c:v>
                </c:pt>
              </c:numCache>
            </c:numRef>
          </c:val>
          <c:extLst>
            <c:ext xmlns:c16="http://schemas.microsoft.com/office/drawing/2014/chart" uri="{C3380CC4-5D6E-409C-BE32-E72D297353CC}">
              <c16:uniqueId val="{00000001-4EA1-4152-B5AD-330CFD51C772}"/>
            </c:ext>
          </c:extLst>
        </c:ser>
        <c:dLbls>
          <c:showLegendKey val="0"/>
          <c:showVal val="0"/>
          <c:showCatName val="0"/>
          <c:showSerName val="0"/>
          <c:showPercent val="0"/>
          <c:showBubbleSize val="0"/>
        </c:dLbls>
        <c:gapWidth val="219"/>
        <c:axId val="1551481199"/>
        <c:axId val="1551480783"/>
      </c:barChart>
      <c:lineChart>
        <c:grouping val="standard"/>
        <c:varyColors val="0"/>
        <c:ser>
          <c:idx val="1"/>
          <c:order val="1"/>
          <c:tx>
            <c:strRef>
              <c:f>Sheet1!$C$1</c:f>
              <c:strCache>
                <c:ptCount val="1"/>
                <c:pt idx="0">
                  <c:v>Net Energy Consumed (MU)</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4.1666666666666664E-2"/>
                  <c:y val="-0.1048387096774193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EA1-4152-B5AD-330CFD51C772}"/>
                </c:ext>
              </c:extLst>
            </c:dLbl>
            <c:dLbl>
              <c:idx val="1"/>
              <c:layout>
                <c:manualLayout>
                  <c:x val="-4.1666666666666664E-2"/>
                  <c:y val="-8.87096774193548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EA1-4152-B5AD-330CFD51C772}"/>
                </c:ext>
              </c:extLst>
            </c:dLbl>
            <c:dLbl>
              <c:idx val="2"/>
              <c:layout>
                <c:manualLayout>
                  <c:x val="-4.3981481481481483E-2"/>
                  <c:y val="-7.25806451612903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EA1-4152-B5AD-330CFD51C772}"/>
                </c:ext>
              </c:extLst>
            </c:dLbl>
            <c:dLbl>
              <c:idx val="3"/>
              <c:layout>
                <c:manualLayout>
                  <c:x val="-4.3981481481481566E-2"/>
                  <c:y val="-7.25806451612903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EA1-4152-B5AD-330CFD51C772}"/>
                </c:ext>
              </c:extLst>
            </c:dLbl>
            <c:numFmt formatCode="#,##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Gill Sans MT" panose="020B0502020104020203"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FY20</c:v>
                </c:pt>
                <c:pt idx="1">
                  <c:v>FY21</c:v>
                </c:pt>
                <c:pt idx="2">
                  <c:v>FY 22</c:v>
                </c:pt>
                <c:pt idx="3">
                  <c:v>FY 23</c:v>
                </c:pt>
                <c:pt idx="4">
                  <c:v>FY 24</c:v>
                </c:pt>
              </c:strCache>
            </c:strRef>
          </c:cat>
          <c:val>
            <c:numRef>
              <c:f>Sheet1!$C$2:$C$6</c:f>
              <c:numCache>
                <c:formatCode>0</c:formatCode>
                <c:ptCount val="5"/>
                <c:pt idx="0">
                  <c:v>6525</c:v>
                </c:pt>
                <c:pt idx="1">
                  <c:v>7313</c:v>
                </c:pt>
                <c:pt idx="2">
                  <c:v>9336</c:v>
                </c:pt>
                <c:pt idx="3">
                  <c:v>10693</c:v>
                </c:pt>
                <c:pt idx="4">
                  <c:v>12165</c:v>
                </c:pt>
              </c:numCache>
            </c:numRef>
          </c:val>
          <c:smooth val="0"/>
          <c:extLst>
            <c:ext xmlns:c16="http://schemas.microsoft.com/office/drawing/2014/chart" uri="{C3380CC4-5D6E-409C-BE32-E72D297353CC}">
              <c16:uniqueId val="{00000002-4EA1-4152-B5AD-330CFD51C772}"/>
            </c:ext>
          </c:extLst>
        </c:ser>
        <c:dLbls>
          <c:showLegendKey val="0"/>
          <c:showVal val="0"/>
          <c:showCatName val="0"/>
          <c:showSerName val="0"/>
          <c:showPercent val="0"/>
          <c:showBubbleSize val="0"/>
        </c:dLbls>
        <c:marker val="1"/>
        <c:smooth val="0"/>
        <c:axId val="1001627872"/>
        <c:axId val="1386378047"/>
      </c:lineChart>
      <c:catAx>
        <c:axId val="1551481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1551480783"/>
        <c:crosses val="autoZero"/>
        <c:auto val="1"/>
        <c:lblAlgn val="ctr"/>
        <c:lblOffset val="100"/>
        <c:noMultiLvlLbl val="0"/>
      </c:catAx>
      <c:valAx>
        <c:axId val="1551480783"/>
        <c:scaling>
          <c:orientation val="minMax"/>
        </c:scaling>
        <c:delete val="0"/>
        <c:axPos val="l"/>
        <c:numFmt formatCode="#,##0" sourceLinked="1"/>
        <c:majorTickMark val="out"/>
        <c:minorTickMark val="none"/>
        <c:tickLblPos val="none"/>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1551481199"/>
        <c:crosses val="autoZero"/>
        <c:crossBetween val="between"/>
      </c:valAx>
      <c:valAx>
        <c:axId val="1386378047"/>
        <c:scaling>
          <c:orientation val="minMax"/>
          <c:max val="12200"/>
          <c:min val="-1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200" b="0" i="0" u="none" strike="noStrike" kern="1200" baseline="0">
                <a:solidFill>
                  <a:schemeClr val="bg1"/>
                </a:solidFill>
                <a:latin typeface="Gill Sans MT" panose="020B0502020104020203" pitchFamily="34" charset="0"/>
                <a:ea typeface="+mn-ea"/>
                <a:cs typeface="+mn-cs"/>
              </a:defRPr>
            </a:pPr>
            <a:endParaRPr lang="en-US"/>
          </a:p>
        </c:txPr>
        <c:crossAx val="1001627872"/>
        <c:crosses val="max"/>
        <c:crossBetween val="between"/>
      </c:valAx>
      <c:catAx>
        <c:axId val="1001627872"/>
        <c:scaling>
          <c:orientation val="minMax"/>
        </c:scaling>
        <c:delete val="1"/>
        <c:axPos val="b"/>
        <c:numFmt formatCode="General" sourceLinked="1"/>
        <c:majorTickMark val="out"/>
        <c:minorTickMark val="none"/>
        <c:tickLblPos val="nextTo"/>
        <c:crossAx val="1386378047"/>
        <c:crosses val="autoZero"/>
        <c:auto val="1"/>
        <c:lblAlgn val="ctr"/>
        <c:lblOffset val="100"/>
        <c:noMultiLvlLbl val="0"/>
      </c:catAx>
      <c:spPr>
        <a:noFill/>
        <a:ln>
          <a:noFill/>
        </a:ln>
        <a:effectLst/>
      </c:spPr>
    </c:plotArea>
    <c:legend>
      <c:legendPos val="b"/>
      <c:layout>
        <c:manualLayout>
          <c:xMode val="edge"/>
          <c:yMode val="edge"/>
          <c:x val="0"/>
          <c:y val="0.84770941029437652"/>
          <c:w val="0.99895056104028124"/>
          <c:h val="0.12021627253861185"/>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latin typeface="Gill Sans MT" panose="020B0502020104020203" pitchFamily="34" charset="0"/>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withinLinear" id="15">
  <a:schemeClr val="accent2"/>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5">
  <a:schemeClr val="accent2"/>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F65BBA-ADCA-460A-987C-9ED86994A8E8}" type="doc">
      <dgm:prSet loTypeId="urn:microsoft.com/office/officeart/2005/8/layout/hList6" loCatId="list" qsTypeId="urn:microsoft.com/office/officeart/2005/8/quickstyle/simple1" qsCatId="simple" csTypeId="urn:microsoft.com/office/officeart/2005/8/colors/accent1_3" csCatId="accent1" phldr="1"/>
      <dgm:spPr/>
      <dgm:t>
        <a:bodyPr/>
        <a:lstStyle/>
        <a:p>
          <a:endParaRPr lang="en-US"/>
        </a:p>
      </dgm:t>
    </dgm:pt>
    <dgm:pt modelId="{7350B299-BF10-4146-9268-F5F23BBDA46D}">
      <dgm:prSet phldrT="[Text]" custT="1"/>
      <dgm:spPr/>
      <dgm:t>
        <a:bodyPr/>
        <a:lstStyle/>
        <a:p>
          <a:r>
            <a:rPr lang="en-US" sz="1000" b="1">
              <a:latin typeface="Arial" panose="020B0604020202020204" pitchFamily="34" charset="0"/>
              <a:cs typeface="Arial" panose="020B0604020202020204" pitchFamily="34" charset="0"/>
            </a:rPr>
            <a:t>Standardized Bilateral Contract Templates:</a:t>
          </a:r>
        </a:p>
      </dgm:t>
    </dgm:pt>
    <dgm:pt modelId="{5057C09E-F38E-43E3-82D3-43B178C44FD8}" type="parTrans" cxnId="{7151E1D2-A531-4DE8-ACA1-D8C9A51194C3}">
      <dgm:prSet/>
      <dgm:spPr/>
      <dgm:t>
        <a:bodyPr/>
        <a:lstStyle/>
        <a:p>
          <a:endParaRPr lang="en-US"/>
        </a:p>
      </dgm:t>
    </dgm:pt>
    <dgm:pt modelId="{442DC854-E844-4A5F-A26A-60470EA02FEF}" type="sibTrans" cxnId="{7151E1D2-A531-4DE8-ACA1-D8C9A51194C3}">
      <dgm:prSet/>
      <dgm:spPr/>
      <dgm:t>
        <a:bodyPr/>
        <a:lstStyle/>
        <a:p>
          <a:endParaRPr lang="en-US"/>
        </a:p>
      </dgm:t>
    </dgm:pt>
    <dgm:pt modelId="{37388A15-5DE6-4343-B213-56E0B8A8F6FD}">
      <dgm:prSet phldrT="[Text]" custT="1"/>
      <dgm:spPr/>
      <dgm:t>
        <a:bodyPr/>
        <a:lstStyle/>
        <a:p>
          <a:r>
            <a:rPr lang="en-US" sz="1000">
              <a:latin typeface="Arial" panose="020B0604020202020204" pitchFamily="34" charset="0"/>
              <a:cs typeface="Arial" panose="020B0604020202020204" pitchFamily="34" charset="0"/>
            </a:rPr>
            <a:t>Flexible templates serve as a common framework for market participants to initiate bilateral agreements, ensuring consistency and efficiency.</a:t>
          </a:r>
        </a:p>
      </dgm:t>
    </dgm:pt>
    <dgm:pt modelId="{AB6B99E4-D0F1-4335-9EAE-CE8676EB2480}" type="parTrans" cxnId="{C071B9BD-0221-4ABA-9820-385E0C16E2A2}">
      <dgm:prSet/>
      <dgm:spPr/>
      <dgm:t>
        <a:bodyPr/>
        <a:lstStyle/>
        <a:p>
          <a:endParaRPr lang="en-US"/>
        </a:p>
      </dgm:t>
    </dgm:pt>
    <dgm:pt modelId="{9E054079-ED3E-4291-9740-7EE52630C1FB}" type="sibTrans" cxnId="{C071B9BD-0221-4ABA-9820-385E0C16E2A2}">
      <dgm:prSet/>
      <dgm:spPr/>
      <dgm:t>
        <a:bodyPr/>
        <a:lstStyle/>
        <a:p>
          <a:endParaRPr lang="en-US"/>
        </a:p>
      </dgm:t>
    </dgm:pt>
    <dgm:pt modelId="{ED899682-9214-4BBF-8A55-7386A6E4C0AF}">
      <dgm:prSet phldrT="[Text]" custT="1"/>
      <dgm:spPr/>
      <dgm:t>
        <a:bodyPr/>
        <a:lstStyle/>
        <a:p>
          <a:r>
            <a:rPr lang="en-US" sz="1000" b="1">
              <a:latin typeface="Arial" panose="020B0604020202020204" pitchFamily="34" charset="0"/>
              <a:cs typeface="Arial" panose="020B0604020202020204" pitchFamily="34" charset="0"/>
            </a:rPr>
            <a:t>Wheeling Methodology Guidelines</a:t>
          </a:r>
        </a:p>
      </dgm:t>
    </dgm:pt>
    <dgm:pt modelId="{2980B89D-C8D2-4C19-A4E3-D8887676C2BB}" type="parTrans" cxnId="{E079387D-63B1-4014-8F4E-9F3C31952852}">
      <dgm:prSet/>
      <dgm:spPr/>
      <dgm:t>
        <a:bodyPr/>
        <a:lstStyle/>
        <a:p>
          <a:endParaRPr lang="en-US"/>
        </a:p>
      </dgm:t>
    </dgm:pt>
    <dgm:pt modelId="{0EE438CD-03E6-4CA3-A578-C4C6EB6ED8B4}" type="sibTrans" cxnId="{E079387D-63B1-4014-8F4E-9F3C31952852}">
      <dgm:prSet/>
      <dgm:spPr/>
      <dgm:t>
        <a:bodyPr/>
        <a:lstStyle/>
        <a:p>
          <a:endParaRPr lang="en-US"/>
        </a:p>
      </dgm:t>
    </dgm:pt>
    <dgm:pt modelId="{7405E2D0-A165-4DEE-9781-CC19C175398F}">
      <dgm:prSet phldrT="[Text]" custT="1"/>
      <dgm:spPr/>
      <dgm:t>
        <a:bodyPr/>
        <a:lstStyle/>
        <a:p>
          <a:r>
            <a:rPr lang="en-US" sz="1000">
              <a:latin typeface="Arial" panose="020B0604020202020204" pitchFamily="34" charset="0"/>
              <a:cs typeface="Arial" panose="020B0604020202020204" pitchFamily="34" charset="0"/>
            </a:rPr>
            <a:t>Establishes guidelines to ensure fair compensation for transit countries using their grid, making cross-border electricity trade feasible and equitable.</a:t>
          </a:r>
        </a:p>
      </dgm:t>
    </dgm:pt>
    <dgm:pt modelId="{F1FC6A19-10B4-4D9B-8031-4A6DAA74C8F3}" type="parTrans" cxnId="{707493BB-A01B-4EA9-B391-5996696AA06F}">
      <dgm:prSet/>
      <dgm:spPr/>
      <dgm:t>
        <a:bodyPr/>
        <a:lstStyle/>
        <a:p>
          <a:endParaRPr lang="en-US"/>
        </a:p>
      </dgm:t>
    </dgm:pt>
    <dgm:pt modelId="{F646DA55-7C41-4B35-97C4-3DE9870F972D}" type="sibTrans" cxnId="{707493BB-A01B-4EA9-B391-5996696AA06F}">
      <dgm:prSet/>
      <dgm:spPr/>
      <dgm:t>
        <a:bodyPr/>
        <a:lstStyle/>
        <a:p>
          <a:endParaRPr lang="en-US"/>
        </a:p>
      </dgm:t>
    </dgm:pt>
    <dgm:pt modelId="{9C3692A6-BF24-4639-B158-5172AF521FE6}">
      <dgm:prSet phldrT="[Text]" custT="1"/>
      <dgm:spPr/>
      <dgm:t>
        <a:bodyPr/>
        <a:lstStyle/>
        <a:p>
          <a:r>
            <a:rPr lang="en-US" sz="1000" b="1">
              <a:latin typeface="Arial" panose="020B0604020202020204" pitchFamily="34" charset="0"/>
              <a:cs typeface="Arial" panose="020B0604020202020204" pitchFamily="34" charset="0"/>
            </a:rPr>
            <a:t>Regional Coordinator Institution:</a:t>
          </a:r>
        </a:p>
      </dgm:t>
    </dgm:pt>
    <dgm:pt modelId="{08471F71-7BB1-4E15-B05F-8FDA4A5734E6}" type="parTrans" cxnId="{42928ACB-0EEE-4AAB-BB79-B9E42470D437}">
      <dgm:prSet/>
      <dgm:spPr/>
      <dgm:t>
        <a:bodyPr/>
        <a:lstStyle/>
        <a:p>
          <a:endParaRPr lang="en-US"/>
        </a:p>
      </dgm:t>
    </dgm:pt>
    <dgm:pt modelId="{6D41AABE-538C-4AE8-B926-EF325872D789}" type="sibTrans" cxnId="{42928ACB-0EEE-4AAB-BB79-B9E42470D437}">
      <dgm:prSet/>
      <dgm:spPr/>
      <dgm:t>
        <a:bodyPr/>
        <a:lstStyle/>
        <a:p>
          <a:endParaRPr lang="en-US"/>
        </a:p>
      </dgm:t>
    </dgm:pt>
    <dgm:pt modelId="{89390D6E-227A-41F0-9772-66B0F672CD59}">
      <dgm:prSet phldrT="[Text]" custT="1"/>
      <dgm:spPr/>
      <dgm:t>
        <a:bodyPr/>
        <a:lstStyle/>
        <a:p>
          <a:r>
            <a:rPr lang="en-US" sz="1000">
              <a:latin typeface="Arial" panose="020B0604020202020204" pitchFamily="34" charset="0"/>
              <a:cs typeface="Arial" panose="020B0604020202020204" pitchFamily="34" charset="0"/>
            </a:rPr>
            <a:t>Facilitates trade by sharing key information like transmission capacity, trade willingness, and signed contracts, without managing transactions.</a:t>
          </a:r>
        </a:p>
      </dgm:t>
    </dgm:pt>
    <dgm:pt modelId="{18A22123-BA2C-4FE5-87CC-E3157F24C18A}" type="parTrans" cxnId="{2045D1C0-BC79-47F3-9875-FBF4885B084D}">
      <dgm:prSet/>
      <dgm:spPr/>
      <dgm:t>
        <a:bodyPr/>
        <a:lstStyle/>
        <a:p>
          <a:endParaRPr lang="en-US"/>
        </a:p>
      </dgm:t>
    </dgm:pt>
    <dgm:pt modelId="{8BEB2CB6-FDD7-4AC6-AA79-2573B6539719}" type="sibTrans" cxnId="{2045D1C0-BC79-47F3-9875-FBF4885B084D}">
      <dgm:prSet/>
      <dgm:spPr/>
      <dgm:t>
        <a:bodyPr/>
        <a:lstStyle/>
        <a:p>
          <a:endParaRPr lang="en-US"/>
        </a:p>
      </dgm:t>
    </dgm:pt>
    <dgm:pt modelId="{4CF83173-D2F1-4CC4-BD29-69D260969259}" type="pres">
      <dgm:prSet presAssocID="{F5F65BBA-ADCA-460A-987C-9ED86994A8E8}" presName="Name0" presStyleCnt="0">
        <dgm:presLayoutVars>
          <dgm:dir/>
          <dgm:resizeHandles val="exact"/>
        </dgm:presLayoutVars>
      </dgm:prSet>
      <dgm:spPr/>
    </dgm:pt>
    <dgm:pt modelId="{F80E79F8-5A2F-4B0D-9A54-C385A28025D0}" type="pres">
      <dgm:prSet presAssocID="{7350B299-BF10-4146-9268-F5F23BBDA46D}" presName="node" presStyleLbl="node1" presStyleIdx="0" presStyleCnt="3">
        <dgm:presLayoutVars>
          <dgm:bulletEnabled val="1"/>
        </dgm:presLayoutVars>
      </dgm:prSet>
      <dgm:spPr/>
    </dgm:pt>
    <dgm:pt modelId="{6F1F6B6A-18F0-46F6-AB05-8FC0541281A6}" type="pres">
      <dgm:prSet presAssocID="{442DC854-E844-4A5F-A26A-60470EA02FEF}" presName="sibTrans" presStyleCnt="0"/>
      <dgm:spPr/>
    </dgm:pt>
    <dgm:pt modelId="{8AD52A6D-9541-41B6-82ED-0B6B2A1C4BF4}" type="pres">
      <dgm:prSet presAssocID="{ED899682-9214-4BBF-8A55-7386A6E4C0AF}" presName="node" presStyleLbl="node1" presStyleIdx="1" presStyleCnt="3">
        <dgm:presLayoutVars>
          <dgm:bulletEnabled val="1"/>
        </dgm:presLayoutVars>
      </dgm:prSet>
      <dgm:spPr/>
    </dgm:pt>
    <dgm:pt modelId="{5B50867E-8708-4DD5-8DEA-9E2656DD62E2}" type="pres">
      <dgm:prSet presAssocID="{0EE438CD-03E6-4CA3-A578-C4C6EB6ED8B4}" presName="sibTrans" presStyleCnt="0"/>
      <dgm:spPr/>
    </dgm:pt>
    <dgm:pt modelId="{45DE07A7-B6C6-4D19-9BFF-B224D95EAF85}" type="pres">
      <dgm:prSet presAssocID="{9C3692A6-BF24-4639-B158-5172AF521FE6}" presName="node" presStyleLbl="node1" presStyleIdx="2" presStyleCnt="3">
        <dgm:presLayoutVars>
          <dgm:bulletEnabled val="1"/>
        </dgm:presLayoutVars>
      </dgm:prSet>
      <dgm:spPr/>
    </dgm:pt>
  </dgm:ptLst>
  <dgm:cxnLst>
    <dgm:cxn modelId="{77AE1E11-D764-40E5-A3DB-CE0D1B35CB7D}" type="presOf" srcId="{F5F65BBA-ADCA-460A-987C-9ED86994A8E8}" destId="{4CF83173-D2F1-4CC4-BD29-69D260969259}" srcOrd="0" destOrd="0" presId="urn:microsoft.com/office/officeart/2005/8/layout/hList6"/>
    <dgm:cxn modelId="{49AB6E42-D875-43C9-993C-2D23C15B3C74}" type="presOf" srcId="{37388A15-5DE6-4343-B213-56E0B8A8F6FD}" destId="{F80E79F8-5A2F-4B0D-9A54-C385A28025D0}" srcOrd="0" destOrd="1" presId="urn:microsoft.com/office/officeart/2005/8/layout/hList6"/>
    <dgm:cxn modelId="{AE99D06D-6426-401F-A967-765BC22093D8}" type="presOf" srcId="{9C3692A6-BF24-4639-B158-5172AF521FE6}" destId="{45DE07A7-B6C6-4D19-9BFF-B224D95EAF85}" srcOrd="0" destOrd="0" presId="urn:microsoft.com/office/officeart/2005/8/layout/hList6"/>
    <dgm:cxn modelId="{E079387D-63B1-4014-8F4E-9F3C31952852}" srcId="{F5F65BBA-ADCA-460A-987C-9ED86994A8E8}" destId="{ED899682-9214-4BBF-8A55-7386A6E4C0AF}" srcOrd="1" destOrd="0" parTransId="{2980B89D-C8D2-4C19-A4E3-D8887676C2BB}" sibTransId="{0EE438CD-03E6-4CA3-A578-C4C6EB6ED8B4}"/>
    <dgm:cxn modelId="{707493BB-A01B-4EA9-B391-5996696AA06F}" srcId="{ED899682-9214-4BBF-8A55-7386A6E4C0AF}" destId="{7405E2D0-A165-4DEE-9781-CC19C175398F}" srcOrd="0" destOrd="0" parTransId="{F1FC6A19-10B4-4D9B-8031-4A6DAA74C8F3}" sibTransId="{F646DA55-7C41-4B35-97C4-3DE9870F972D}"/>
    <dgm:cxn modelId="{C071B9BD-0221-4ABA-9820-385E0C16E2A2}" srcId="{7350B299-BF10-4146-9268-F5F23BBDA46D}" destId="{37388A15-5DE6-4343-B213-56E0B8A8F6FD}" srcOrd="0" destOrd="0" parTransId="{AB6B99E4-D0F1-4335-9EAE-CE8676EB2480}" sibTransId="{9E054079-ED3E-4291-9740-7EE52630C1FB}"/>
    <dgm:cxn modelId="{2045D1C0-BC79-47F3-9875-FBF4885B084D}" srcId="{9C3692A6-BF24-4639-B158-5172AF521FE6}" destId="{89390D6E-227A-41F0-9772-66B0F672CD59}" srcOrd="0" destOrd="0" parTransId="{18A22123-BA2C-4FE5-87CC-E3157F24C18A}" sibTransId="{8BEB2CB6-FDD7-4AC6-AA79-2573B6539719}"/>
    <dgm:cxn modelId="{A6F218C7-EC64-417A-8D7C-657798B8757D}" type="presOf" srcId="{ED899682-9214-4BBF-8A55-7386A6E4C0AF}" destId="{8AD52A6D-9541-41B6-82ED-0B6B2A1C4BF4}" srcOrd="0" destOrd="0" presId="urn:microsoft.com/office/officeart/2005/8/layout/hList6"/>
    <dgm:cxn modelId="{42928ACB-0EEE-4AAB-BB79-B9E42470D437}" srcId="{F5F65BBA-ADCA-460A-987C-9ED86994A8E8}" destId="{9C3692A6-BF24-4639-B158-5172AF521FE6}" srcOrd="2" destOrd="0" parTransId="{08471F71-7BB1-4E15-B05F-8FDA4A5734E6}" sibTransId="{6D41AABE-538C-4AE8-B926-EF325872D789}"/>
    <dgm:cxn modelId="{83FCFDCD-A0B3-4095-86E3-DF3A0A1B65EF}" type="presOf" srcId="{89390D6E-227A-41F0-9772-66B0F672CD59}" destId="{45DE07A7-B6C6-4D19-9BFF-B224D95EAF85}" srcOrd="0" destOrd="1" presId="urn:microsoft.com/office/officeart/2005/8/layout/hList6"/>
    <dgm:cxn modelId="{7151E1D2-A531-4DE8-ACA1-D8C9A51194C3}" srcId="{F5F65BBA-ADCA-460A-987C-9ED86994A8E8}" destId="{7350B299-BF10-4146-9268-F5F23BBDA46D}" srcOrd="0" destOrd="0" parTransId="{5057C09E-F38E-43E3-82D3-43B178C44FD8}" sibTransId="{442DC854-E844-4A5F-A26A-60470EA02FEF}"/>
    <dgm:cxn modelId="{EA6F70F4-5DA3-42BD-A239-E6823038BF47}" type="presOf" srcId="{7405E2D0-A165-4DEE-9781-CC19C175398F}" destId="{8AD52A6D-9541-41B6-82ED-0B6B2A1C4BF4}" srcOrd="0" destOrd="1" presId="urn:microsoft.com/office/officeart/2005/8/layout/hList6"/>
    <dgm:cxn modelId="{68A6E5FC-D877-4FB8-A6AB-5DA95DCAB6A5}" type="presOf" srcId="{7350B299-BF10-4146-9268-F5F23BBDA46D}" destId="{F80E79F8-5A2F-4B0D-9A54-C385A28025D0}" srcOrd="0" destOrd="0" presId="urn:microsoft.com/office/officeart/2005/8/layout/hList6"/>
    <dgm:cxn modelId="{257FCD25-0EB4-45E2-A9BE-B2FB6E9981FF}" type="presParOf" srcId="{4CF83173-D2F1-4CC4-BD29-69D260969259}" destId="{F80E79F8-5A2F-4B0D-9A54-C385A28025D0}" srcOrd="0" destOrd="0" presId="urn:microsoft.com/office/officeart/2005/8/layout/hList6"/>
    <dgm:cxn modelId="{EBCA5B9B-03D0-49B8-9D72-53AD903BA2CE}" type="presParOf" srcId="{4CF83173-D2F1-4CC4-BD29-69D260969259}" destId="{6F1F6B6A-18F0-46F6-AB05-8FC0541281A6}" srcOrd="1" destOrd="0" presId="urn:microsoft.com/office/officeart/2005/8/layout/hList6"/>
    <dgm:cxn modelId="{F6D14ED7-FAEF-48B6-8A57-B0011F1B4A82}" type="presParOf" srcId="{4CF83173-D2F1-4CC4-BD29-69D260969259}" destId="{8AD52A6D-9541-41B6-82ED-0B6B2A1C4BF4}" srcOrd="2" destOrd="0" presId="urn:microsoft.com/office/officeart/2005/8/layout/hList6"/>
    <dgm:cxn modelId="{35BC53AC-07F1-423F-8EF9-F97A929AD1E2}" type="presParOf" srcId="{4CF83173-D2F1-4CC4-BD29-69D260969259}" destId="{5B50867E-8708-4DD5-8DEA-9E2656DD62E2}" srcOrd="3" destOrd="0" presId="urn:microsoft.com/office/officeart/2005/8/layout/hList6"/>
    <dgm:cxn modelId="{8F344C43-DCEE-46D8-85B2-497B2954345B}" type="presParOf" srcId="{4CF83173-D2F1-4CC4-BD29-69D260969259}" destId="{45DE07A7-B6C6-4D19-9BFF-B224D95EAF85}" srcOrd="4" destOrd="0" presId="urn:microsoft.com/office/officeart/2005/8/layout/hList6"/>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A687D8E-32FA-4808-8120-DB2BF923DEBC}"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F6B9CC4D-003C-467F-8C1F-62223E463FF6}">
      <dgm:prSet phldrT="[Text]" custT="1"/>
      <dgm:spPr>
        <a:solidFill>
          <a:srgbClr val="001642"/>
        </a:solidFill>
      </dgm:spPr>
      <dgm:t>
        <a:bodyPr/>
        <a:lstStyle/>
        <a:p>
          <a:r>
            <a:rPr lang="en-US" sz="1050">
              <a:latin typeface="Arial" panose="020B0604020202020204" pitchFamily="34" charset="0"/>
              <a:cs typeface="Arial" panose="020B0604020202020204" pitchFamily="34" charset="0"/>
            </a:rPr>
            <a:t>1. Amount of wheeling capacity</a:t>
          </a:r>
        </a:p>
      </dgm:t>
    </dgm:pt>
    <dgm:pt modelId="{94AAAE05-34F9-43AD-BBAE-331D41EE531A}" type="parTrans" cxnId="{0412E9BE-26AE-4E20-8B36-8B79800821FB}">
      <dgm:prSet/>
      <dgm:spPr/>
      <dgm:t>
        <a:bodyPr/>
        <a:lstStyle/>
        <a:p>
          <a:endParaRPr lang="en-US" sz="1600"/>
        </a:p>
      </dgm:t>
    </dgm:pt>
    <dgm:pt modelId="{4941B539-E60E-4B99-BB50-D78F447BD18F}" type="sibTrans" cxnId="{0412E9BE-26AE-4E20-8B36-8B79800821FB}">
      <dgm:prSet/>
      <dgm:spPr/>
      <dgm:t>
        <a:bodyPr/>
        <a:lstStyle/>
        <a:p>
          <a:endParaRPr lang="en-US" sz="1600"/>
        </a:p>
      </dgm:t>
    </dgm:pt>
    <dgm:pt modelId="{86C00544-02C2-42B0-B491-F9D7FB271116}">
      <dgm:prSet phldrT="[Text]" custT="1"/>
      <dgm:spPr>
        <a:solidFill>
          <a:srgbClr val="001642"/>
        </a:solidFill>
      </dgm:spPr>
      <dgm:t>
        <a:bodyPr/>
        <a:lstStyle/>
        <a:p>
          <a:r>
            <a:rPr lang="en-US" sz="1050">
              <a:latin typeface="Arial" panose="020B0604020202020204" pitchFamily="34" charset="0"/>
              <a:cs typeface="Arial" panose="020B0604020202020204" pitchFamily="34" charset="0"/>
            </a:rPr>
            <a:t>2. Time duration of the transmission</a:t>
          </a:r>
        </a:p>
      </dgm:t>
    </dgm:pt>
    <dgm:pt modelId="{A1FE6104-2CBD-418C-AE15-2207996CFED4}" type="parTrans" cxnId="{A34468E1-5263-495E-83C6-23AB9BD97B3A}">
      <dgm:prSet/>
      <dgm:spPr/>
      <dgm:t>
        <a:bodyPr/>
        <a:lstStyle/>
        <a:p>
          <a:endParaRPr lang="en-US" sz="1600"/>
        </a:p>
      </dgm:t>
    </dgm:pt>
    <dgm:pt modelId="{FD39A263-A228-4E22-A0EF-F9F643491AEF}" type="sibTrans" cxnId="{A34468E1-5263-495E-83C6-23AB9BD97B3A}">
      <dgm:prSet/>
      <dgm:spPr/>
      <dgm:t>
        <a:bodyPr/>
        <a:lstStyle/>
        <a:p>
          <a:endParaRPr lang="en-US" sz="1600"/>
        </a:p>
      </dgm:t>
    </dgm:pt>
    <dgm:pt modelId="{214F4670-89BA-46D7-8749-D71C17D03CB8}">
      <dgm:prSet phldrT="[Text]" custT="1"/>
      <dgm:spPr>
        <a:solidFill>
          <a:srgbClr val="001642"/>
        </a:solidFill>
      </dgm:spPr>
      <dgm:t>
        <a:bodyPr/>
        <a:lstStyle/>
        <a:p>
          <a:r>
            <a:rPr lang="en-US" sz="1050">
              <a:latin typeface="Arial" panose="020B0604020202020204" pitchFamily="34" charset="0"/>
              <a:cs typeface="Arial" panose="020B0604020202020204" pitchFamily="34" charset="0"/>
            </a:rPr>
            <a:t>3. Grid or country entry and exit points</a:t>
          </a:r>
        </a:p>
      </dgm:t>
    </dgm:pt>
    <dgm:pt modelId="{1AE81DC7-6E8D-433C-9E5F-BADD5FA4A077}" type="parTrans" cxnId="{474438A2-A518-4F10-BB4B-F53C72AC8D9A}">
      <dgm:prSet/>
      <dgm:spPr/>
      <dgm:t>
        <a:bodyPr/>
        <a:lstStyle/>
        <a:p>
          <a:endParaRPr lang="en-US" sz="1600"/>
        </a:p>
      </dgm:t>
    </dgm:pt>
    <dgm:pt modelId="{D212E5E9-0E61-42BB-91BE-FF5667FE0C7C}" type="sibTrans" cxnId="{474438A2-A518-4F10-BB4B-F53C72AC8D9A}">
      <dgm:prSet/>
      <dgm:spPr/>
      <dgm:t>
        <a:bodyPr/>
        <a:lstStyle/>
        <a:p>
          <a:endParaRPr lang="en-US" sz="1600"/>
        </a:p>
      </dgm:t>
    </dgm:pt>
    <dgm:pt modelId="{0BCE39C1-30CA-4289-83B9-5ECCB0FB75C0}">
      <dgm:prSet phldrT="[Text]" custT="1"/>
      <dgm:spPr>
        <a:solidFill>
          <a:srgbClr val="001642"/>
        </a:solidFill>
      </dgm:spPr>
      <dgm:t>
        <a:bodyPr/>
        <a:lstStyle/>
        <a:p>
          <a:r>
            <a:rPr lang="en-US" sz="1050">
              <a:latin typeface="Arial" panose="020B0604020202020204" pitchFamily="34" charset="0"/>
              <a:cs typeface="Arial" panose="020B0604020202020204" pitchFamily="34" charset="0"/>
            </a:rPr>
            <a:t>4. Metering of actual flows</a:t>
          </a:r>
        </a:p>
      </dgm:t>
    </dgm:pt>
    <dgm:pt modelId="{4A9FC940-1106-41A8-90FA-D301869D9B7E}" type="parTrans" cxnId="{369DDD7C-4A56-4262-A545-BAAA5DC5C668}">
      <dgm:prSet/>
      <dgm:spPr/>
      <dgm:t>
        <a:bodyPr/>
        <a:lstStyle/>
        <a:p>
          <a:endParaRPr lang="en-US" sz="1600"/>
        </a:p>
      </dgm:t>
    </dgm:pt>
    <dgm:pt modelId="{8623BAD3-DD7C-4B05-BA65-5F22F7085631}" type="sibTrans" cxnId="{369DDD7C-4A56-4262-A545-BAAA5DC5C668}">
      <dgm:prSet/>
      <dgm:spPr/>
      <dgm:t>
        <a:bodyPr/>
        <a:lstStyle/>
        <a:p>
          <a:endParaRPr lang="en-US" sz="1600"/>
        </a:p>
      </dgm:t>
    </dgm:pt>
    <dgm:pt modelId="{95C1EF19-EC91-425A-ADD4-8309E5721C7A}">
      <dgm:prSet phldrT="[Text]" custT="1"/>
      <dgm:spPr>
        <a:solidFill>
          <a:srgbClr val="001642"/>
        </a:solidFill>
      </dgm:spPr>
      <dgm:t>
        <a:bodyPr/>
        <a:lstStyle/>
        <a:p>
          <a:r>
            <a:rPr lang="en-US" sz="1050">
              <a:latin typeface="Arial" panose="020B0604020202020204" pitchFamily="34" charset="0"/>
              <a:cs typeface="Arial" panose="020B0604020202020204" pitchFamily="34" charset="0"/>
            </a:rPr>
            <a:t>5. Agreed balancing procedures (if a counterparty fails to honour the agreed transaction volumes)</a:t>
          </a:r>
        </a:p>
      </dgm:t>
    </dgm:pt>
    <dgm:pt modelId="{56E63A6A-781B-4F5E-80CF-CF7648B9BF50}" type="parTrans" cxnId="{B0B50520-65AF-4F17-A8E0-AB473DFE3A25}">
      <dgm:prSet/>
      <dgm:spPr/>
      <dgm:t>
        <a:bodyPr/>
        <a:lstStyle/>
        <a:p>
          <a:endParaRPr lang="en-US" sz="1600"/>
        </a:p>
      </dgm:t>
    </dgm:pt>
    <dgm:pt modelId="{8D381EE3-70F1-481C-843C-298088D85D2A}" type="sibTrans" cxnId="{B0B50520-65AF-4F17-A8E0-AB473DFE3A25}">
      <dgm:prSet/>
      <dgm:spPr/>
      <dgm:t>
        <a:bodyPr/>
        <a:lstStyle/>
        <a:p>
          <a:endParaRPr lang="en-US" sz="1600"/>
        </a:p>
      </dgm:t>
    </dgm:pt>
    <dgm:pt modelId="{04E0AA03-09F9-468A-8B26-D0A5E3301C05}">
      <dgm:prSet phldrT="[Text]" custT="1"/>
      <dgm:spPr>
        <a:solidFill>
          <a:srgbClr val="001642"/>
        </a:solidFill>
      </dgm:spPr>
      <dgm:t>
        <a:bodyPr/>
        <a:lstStyle/>
        <a:p>
          <a:r>
            <a:rPr lang="en-US" sz="1050">
              <a:latin typeface="Arial" panose="020B0604020202020204" pitchFamily="34" charset="0"/>
              <a:cs typeface="Arial" panose="020B0604020202020204" pitchFamily="34" charset="0"/>
            </a:rPr>
            <a:t>6. How to handle transmission losses</a:t>
          </a:r>
        </a:p>
      </dgm:t>
    </dgm:pt>
    <dgm:pt modelId="{AE60CE2A-4FAB-4D86-99B7-E74FA2705D23}" type="parTrans" cxnId="{6611CFAB-992F-4710-8139-22C8985A801A}">
      <dgm:prSet/>
      <dgm:spPr/>
      <dgm:t>
        <a:bodyPr/>
        <a:lstStyle/>
        <a:p>
          <a:endParaRPr lang="en-US" sz="1600"/>
        </a:p>
      </dgm:t>
    </dgm:pt>
    <dgm:pt modelId="{2D5299B0-5C86-4854-8A17-1E01D5107FAB}" type="sibTrans" cxnId="{6611CFAB-992F-4710-8139-22C8985A801A}">
      <dgm:prSet/>
      <dgm:spPr/>
      <dgm:t>
        <a:bodyPr/>
        <a:lstStyle/>
        <a:p>
          <a:endParaRPr lang="en-US" sz="1600"/>
        </a:p>
      </dgm:t>
    </dgm:pt>
    <dgm:pt modelId="{86E33D89-C99F-42D1-80F5-7BA1D88194F9}">
      <dgm:prSet phldrT="[Text]" custT="1"/>
      <dgm:spPr>
        <a:solidFill>
          <a:srgbClr val="001642"/>
        </a:solidFill>
      </dgm:spPr>
      <dgm:t>
        <a:bodyPr/>
        <a:lstStyle/>
        <a:p>
          <a:r>
            <a:rPr lang="en-US" sz="1050">
              <a:latin typeface="Arial" panose="020B0604020202020204" pitchFamily="34" charset="0"/>
              <a:cs typeface="Arial" panose="020B0604020202020204" pitchFamily="34" charset="0"/>
            </a:rPr>
            <a:t>7. An agreement on handling taxation of cross-border trades</a:t>
          </a:r>
        </a:p>
      </dgm:t>
    </dgm:pt>
    <dgm:pt modelId="{F185A3B2-4CD2-449E-AC57-C07CF0592FD8}" type="parTrans" cxnId="{A2D69EA7-3A46-4C1C-AD72-FE654DA9934F}">
      <dgm:prSet/>
      <dgm:spPr/>
      <dgm:t>
        <a:bodyPr/>
        <a:lstStyle/>
        <a:p>
          <a:endParaRPr lang="en-US" sz="1600"/>
        </a:p>
      </dgm:t>
    </dgm:pt>
    <dgm:pt modelId="{D62DB562-F473-459B-A778-96F7F3A4D583}" type="sibTrans" cxnId="{A2D69EA7-3A46-4C1C-AD72-FE654DA9934F}">
      <dgm:prSet/>
      <dgm:spPr/>
      <dgm:t>
        <a:bodyPr/>
        <a:lstStyle/>
        <a:p>
          <a:endParaRPr lang="en-US" sz="1600"/>
        </a:p>
      </dgm:t>
    </dgm:pt>
    <dgm:pt modelId="{CD4348BA-534B-4DF1-9D2F-550AC6732E54}" type="pres">
      <dgm:prSet presAssocID="{1A687D8E-32FA-4808-8120-DB2BF923DEBC}" presName="linear" presStyleCnt="0">
        <dgm:presLayoutVars>
          <dgm:animLvl val="lvl"/>
          <dgm:resizeHandles val="exact"/>
        </dgm:presLayoutVars>
      </dgm:prSet>
      <dgm:spPr/>
    </dgm:pt>
    <dgm:pt modelId="{4F8DC7DB-48F0-43E1-A7B9-1C467BF2377E}" type="pres">
      <dgm:prSet presAssocID="{F6B9CC4D-003C-467F-8C1F-62223E463FF6}" presName="parentText" presStyleLbl="node1" presStyleIdx="0" presStyleCnt="7">
        <dgm:presLayoutVars>
          <dgm:chMax val="0"/>
          <dgm:bulletEnabled val="1"/>
        </dgm:presLayoutVars>
      </dgm:prSet>
      <dgm:spPr/>
    </dgm:pt>
    <dgm:pt modelId="{62C69A8D-4124-47CC-B914-D9BC276700A6}" type="pres">
      <dgm:prSet presAssocID="{4941B539-E60E-4B99-BB50-D78F447BD18F}" presName="spacer" presStyleCnt="0"/>
      <dgm:spPr/>
    </dgm:pt>
    <dgm:pt modelId="{80CE02BA-E92C-4126-9FE7-F910DD4E8A91}" type="pres">
      <dgm:prSet presAssocID="{86C00544-02C2-42B0-B491-F9D7FB271116}" presName="parentText" presStyleLbl="node1" presStyleIdx="1" presStyleCnt="7">
        <dgm:presLayoutVars>
          <dgm:chMax val="0"/>
          <dgm:bulletEnabled val="1"/>
        </dgm:presLayoutVars>
      </dgm:prSet>
      <dgm:spPr/>
    </dgm:pt>
    <dgm:pt modelId="{2AD3843B-C21F-4FD3-B5AC-019963A1A798}" type="pres">
      <dgm:prSet presAssocID="{FD39A263-A228-4E22-A0EF-F9F643491AEF}" presName="spacer" presStyleCnt="0"/>
      <dgm:spPr/>
    </dgm:pt>
    <dgm:pt modelId="{651E78DA-348C-46EC-8EC1-E9913277E71E}" type="pres">
      <dgm:prSet presAssocID="{214F4670-89BA-46D7-8749-D71C17D03CB8}" presName="parentText" presStyleLbl="node1" presStyleIdx="2" presStyleCnt="7">
        <dgm:presLayoutVars>
          <dgm:chMax val="0"/>
          <dgm:bulletEnabled val="1"/>
        </dgm:presLayoutVars>
      </dgm:prSet>
      <dgm:spPr/>
    </dgm:pt>
    <dgm:pt modelId="{25D75229-5941-4F5E-9AB5-F8E71A3FCFA5}" type="pres">
      <dgm:prSet presAssocID="{D212E5E9-0E61-42BB-91BE-FF5667FE0C7C}" presName="spacer" presStyleCnt="0"/>
      <dgm:spPr/>
    </dgm:pt>
    <dgm:pt modelId="{106C8058-6A73-4E4D-99B5-42E2AF5EC4B9}" type="pres">
      <dgm:prSet presAssocID="{0BCE39C1-30CA-4289-83B9-5ECCB0FB75C0}" presName="parentText" presStyleLbl="node1" presStyleIdx="3" presStyleCnt="7" custLinFactNeighborX="-187">
        <dgm:presLayoutVars>
          <dgm:chMax val="0"/>
          <dgm:bulletEnabled val="1"/>
        </dgm:presLayoutVars>
      </dgm:prSet>
      <dgm:spPr/>
    </dgm:pt>
    <dgm:pt modelId="{70C1CA35-7E24-4891-A502-B137311920B5}" type="pres">
      <dgm:prSet presAssocID="{8623BAD3-DD7C-4B05-BA65-5F22F7085631}" presName="spacer" presStyleCnt="0"/>
      <dgm:spPr/>
    </dgm:pt>
    <dgm:pt modelId="{7DB16D58-3265-41A6-B2A3-9A1B1609AD9C}" type="pres">
      <dgm:prSet presAssocID="{95C1EF19-EC91-425A-ADD4-8309E5721C7A}" presName="parentText" presStyleLbl="node1" presStyleIdx="4" presStyleCnt="7">
        <dgm:presLayoutVars>
          <dgm:chMax val="0"/>
          <dgm:bulletEnabled val="1"/>
        </dgm:presLayoutVars>
      </dgm:prSet>
      <dgm:spPr/>
    </dgm:pt>
    <dgm:pt modelId="{3F054D59-46F6-4A0D-BE1F-D962160B92CE}" type="pres">
      <dgm:prSet presAssocID="{8D381EE3-70F1-481C-843C-298088D85D2A}" presName="spacer" presStyleCnt="0"/>
      <dgm:spPr/>
    </dgm:pt>
    <dgm:pt modelId="{B736EDD4-6EFD-4E0C-B990-F54DD035594A}" type="pres">
      <dgm:prSet presAssocID="{04E0AA03-09F9-468A-8B26-D0A5E3301C05}" presName="parentText" presStyleLbl="node1" presStyleIdx="5" presStyleCnt="7">
        <dgm:presLayoutVars>
          <dgm:chMax val="0"/>
          <dgm:bulletEnabled val="1"/>
        </dgm:presLayoutVars>
      </dgm:prSet>
      <dgm:spPr/>
    </dgm:pt>
    <dgm:pt modelId="{F3F0FE5F-E920-48DD-90C8-9BA460280830}" type="pres">
      <dgm:prSet presAssocID="{2D5299B0-5C86-4854-8A17-1E01D5107FAB}" presName="spacer" presStyleCnt="0"/>
      <dgm:spPr/>
    </dgm:pt>
    <dgm:pt modelId="{4902B911-78E1-4DE3-B124-FD9D15A62F0D}" type="pres">
      <dgm:prSet presAssocID="{86E33D89-C99F-42D1-80F5-7BA1D88194F9}" presName="parentText" presStyleLbl="node1" presStyleIdx="6" presStyleCnt="7">
        <dgm:presLayoutVars>
          <dgm:chMax val="0"/>
          <dgm:bulletEnabled val="1"/>
        </dgm:presLayoutVars>
      </dgm:prSet>
      <dgm:spPr/>
    </dgm:pt>
  </dgm:ptLst>
  <dgm:cxnLst>
    <dgm:cxn modelId="{3454560A-744E-414D-8F8E-7FD723D8E3F5}" type="presOf" srcId="{0BCE39C1-30CA-4289-83B9-5ECCB0FB75C0}" destId="{106C8058-6A73-4E4D-99B5-42E2AF5EC4B9}" srcOrd="0" destOrd="0" presId="urn:microsoft.com/office/officeart/2005/8/layout/vList2"/>
    <dgm:cxn modelId="{82672215-BF1A-4C8B-9FB4-1F026C187F35}" type="presOf" srcId="{214F4670-89BA-46D7-8749-D71C17D03CB8}" destId="{651E78DA-348C-46EC-8EC1-E9913277E71E}" srcOrd="0" destOrd="0" presId="urn:microsoft.com/office/officeart/2005/8/layout/vList2"/>
    <dgm:cxn modelId="{3B86191E-DC7C-4E26-82B8-CB72BB7A3BAC}" type="presOf" srcId="{86E33D89-C99F-42D1-80F5-7BA1D88194F9}" destId="{4902B911-78E1-4DE3-B124-FD9D15A62F0D}" srcOrd="0" destOrd="0" presId="urn:microsoft.com/office/officeart/2005/8/layout/vList2"/>
    <dgm:cxn modelId="{B0B50520-65AF-4F17-A8E0-AB473DFE3A25}" srcId="{1A687D8E-32FA-4808-8120-DB2BF923DEBC}" destId="{95C1EF19-EC91-425A-ADD4-8309E5721C7A}" srcOrd="4" destOrd="0" parTransId="{56E63A6A-781B-4F5E-80CF-CF7648B9BF50}" sibTransId="{8D381EE3-70F1-481C-843C-298088D85D2A}"/>
    <dgm:cxn modelId="{369DDD7C-4A56-4262-A545-BAAA5DC5C668}" srcId="{1A687D8E-32FA-4808-8120-DB2BF923DEBC}" destId="{0BCE39C1-30CA-4289-83B9-5ECCB0FB75C0}" srcOrd="3" destOrd="0" parTransId="{4A9FC940-1106-41A8-90FA-D301869D9B7E}" sibTransId="{8623BAD3-DD7C-4B05-BA65-5F22F7085631}"/>
    <dgm:cxn modelId="{B7182892-A7E8-4C4A-A6FA-3626B93D5C00}" type="presOf" srcId="{95C1EF19-EC91-425A-ADD4-8309E5721C7A}" destId="{7DB16D58-3265-41A6-B2A3-9A1B1609AD9C}" srcOrd="0" destOrd="0" presId="urn:microsoft.com/office/officeart/2005/8/layout/vList2"/>
    <dgm:cxn modelId="{1C312098-DD03-4198-9AD7-6AD47D4D44DA}" type="presOf" srcId="{04E0AA03-09F9-468A-8B26-D0A5E3301C05}" destId="{B736EDD4-6EFD-4E0C-B990-F54DD035594A}" srcOrd="0" destOrd="0" presId="urn:microsoft.com/office/officeart/2005/8/layout/vList2"/>
    <dgm:cxn modelId="{F7A1B19B-7CDE-4810-9414-594B740E4920}" type="presOf" srcId="{86C00544-02C2-42B0-B491-F9D7FB271116}" destId="{80CE02BA-E92C-4126-9FE7-F910DD4E8A91}" srcOrd="0" destOrd="0" presId="urn:microsoft.com/office/officeart/2005/8/layout/vList2"/>
    <dgm:cxn modelId="{474438A2-A518-4F10-BB4B-F53C72AC8D9A}" srcId="{1A687D8E-32FA-4808-8120-DB2BF923DEBC}" destId="{214F4670-89BA-46D7-8749-D71C17D03CB8}" srcOrd="2" destOrd="0" parTransId="{1AE81DC7-6E8D-433C-9E5F-BADD5FA4A077}" sibTransId="{D212E5E9-0E61-42BB-91BE-FF5667FE0C7C}"/>
    <dgm:cxn modelId="{A2D69EA7-3A46-4C1C-AD72-FE654DA9934F}" srcId="{1A687D8E-32FA-4808-8120-DB2BF923DEBC}" destId="{86E33D89-C99F-42D1-80F5-7BA1D88194F9}" srcOrd="6" destOrd="0" parTransId="{F185A3B2-4CD2-449E-AC57-C07CF0592FD8}" sibTransId="{D62DB562-F473-459B-A778-96F7F3A4D583}"/>
    <dgm:cxn modelId="{6611CFAB-992F-4710-8139-22C8985A801A}" srcId="{1A687D8E-32FA-4808-8120-DB2BF923DEBC}" destId="{04E0AA03-09F9-468A-8B26-D0A5E3301C05}" srcOrd="5" destOrd="0" parTransId="{AE60CE2A-4FAB-4D86-99B7-E74FA2705D23}" sibTransId="{2D5299B0-5C86-4854-8A17-1E01D5107FAB}"/>
    <dgm:cxn modelId="{0412E9BE-26AE-4E20-8B36-8B79800821FB}" srcId="{1A687D8E-32FA-4808-8120-DB2BF923DEBC}" destId="{F6B9CC4D-003C-467F-8C1F-62223E463FF6}" srcOrd="0" destOrd="0" parTransId="{94AAAE05-34F9-43AD-BBAE-331D41EE531A}" sibTransId="{4941B539-E60E-4B99-BB50-D78F447BD18F}"/>
    <dgm:cxn modelId="{43222DC9-BE75-460D-8E57-F15C69521134}" type="presOf" srcId="{F6B9CC4D-003C-467F-8C1F-62223E463FF6}" destId="{4F8DC7DB-48F0-43E1-A7B9-1C467BF2377E}" srcOrd="0" destOrd="0" presId="urn:microsoft.com/office/officeart/2005/8/layout/vList2"/>
    <dgm:cxn modelId="{86BEBECF-E780-42A3-BA35-EC687732C81B}" type="presOf" srcId="{1A687D8E-32FA-4808-8120-DB2BF923DEBC}" destId="{CD4348BA-534B-4DF1-9D2F-550AC6732E54}" srcOrd="0" destOrd="0" presId="urn:microsoft.com/office/officeart/2005/8/layout/vList2"/>
    <dgm:cxn modelId="{A34468E1-5263-495E-83C6-23AB9BD97B3A}" srcId="{1A687D8E-32FA-4808-8120-DB2BF923DEBC}" destId="{86C00544-02C2-42B0-B491-F9D7FB271116}" srcOrd="1" destOrd="0" parTransId="{A1FE6104-2CBD-418C-AE15-2207996CFED4}" sibTransId="{FD39A263-A228-4E22-A0EF-F9F643491AEF}"/>
    <dgm:cxn modelId="{0516EA75-DDA3-433D-A7D1-D22F5DE66F99}" type="presParOf" srcId="{CD4348BA-534B-4DF1-9D2F-550AC6732E54}" destId="{4F8DC7DB-48F0-43E1-A7B9-1C467BF2377E}" srcOrd="0" destOrd="0" presId="urn:microsoft.com/office/officeart/2005/8/layout/vList2"/>
    <dgm:cxn modelId="{009E7EBD-72E0-434E-A6AF-4E86C3408C17}" type="presParOf" srcId="{CD4348BA-534B-4DF1-9D2F-550AC6732E54}" destId="{62C69A8D-4124-47CC-B914-D9BC276700A6}" srcOrd="1" destOrd="0" presId="urn:microsoft.com/office/officeart/2005/8/layout/vList2"/>
    <dgm:cxn modelId="{2F6CD805-525E-47AF-9A73-45EB8942E5EA}" type="presParOf" srcId="{CD4348BA-534B-4DF1-9D2F-550AC6732E54}" destId="{80CE02BA-E92C-4126-9FE7-F910DD4E8A91}" srcOrd="2" destOrd="0" presId="urn:microsoft.com/office/officeart/2005/8/layout/vList2"/>
    <dgm:cxn modelId="{83D02F12-F917-4802-80E1-9E805EAA1B73}" type="presParOf" srcId="{CD4348BA-534B-4DF1-9D2F-550AC6732E54}" destId="{2AD3843B-C21F-4FD3-B5AC-019963A1A798}" srcOrd="3" destOrd="0" presId="urn:microsoft.com/office/officeart/2005/8/layout/vList2"/>
    <dgm:cxn modelId="{52A42414-3409-45D5-A021-E0D24A0BDA3F}" type="presParOf" srcId="{CD4348BA-534B-4DF1-9D2F-550AC6732E54}" destId="{651E78DA-348C-46EC-8EC1-E9913277E71E}" srcOrd="4" destOrd="0" presId="urn:microsoft.com/office/officeart/2005/8/layout/vList2"/>
    <dgm:cxn modelId="{E6A8CFA1-47E3-48F8-AC54-2AE267BF5958}" type="presParOf" srcId="{CD4348BA-534B-4DF1-9D2F-550AC6732E54}" destId="{25D75229-5941-4F5E-9AB5-F8E71A3FCFA5}" srcOrd="5" destOrd="0" presId="urn:microsoft.com/office/officeart/2005/8/layout/vList2"/>
    <dgm:cxn modelId="{10BF3E12-F011-41AD-ADB5-F55925BD728D}" type="presParOf" srcId="{CD4348BA-534B-4DF1-9D2F-550AC6732E54}" destId="{106C8058-6A73-4E4D-99B5-42E2AF5EC4B9}" srcOrd="6" destOrd="0" presId="urn:microsoft.com/office/officeart/2005/8/layout/vList2"/>
    <dgm:cxn modelId="{A912B9D6-5118-4A84-ADA6-6DE64F7DDC78}" type="presParOf" srcId="{CD4348BA-534B-4DF1-9D2F-550AC6732E54}" destId="{70C1CA35-7E24-4891-A502-B137311920B5}" srcOrd="7" destOrd="0" presId="urn:microsoft.com/office/officeart/2005/8/layout/vList2"/>
    <dgm:cxn modelId="{00BE1382-89F5-4E61-BF1C-205FB5F95A4A}" type="presParOf" srcId="{CD4348BA-534B-4DF1-9D2F-550AC6732E54}" destId="{7DB16D58-3265-41A6-B2A3-9A1B1609AD9C}" srcOrd="8" destOrd="0" presId="urn:microsoft.com/office/officeart/2005/8/layout/vList2"/>
    <dgm:cxn modelId="{912E429B-F59A-43A4-826F-5D87D1F2E98E}" type="presParOf" srcId="{CD4348BA-534B-4DF1-9D2F-550AC6732E54}" destId="{3F054D59-46F6-4A0D-BE1F-D962160B92CE}" srcOrd="9" destOrd="0" presId="urn:microsoft.com/office/officeart/2005/8/layout/vList2"/>
    <dgm:cxn modelId="{59EFDC04-293D-4149-B4A3-C8EC48CF594F}" type="presParOf" srcId="{CD4348BA-534B-4DF1-9D2F-550AC6732E54}" destId="{B736EDD4-6EFD-4E0C-B990-F54DD035594A}" srcOrd="10" destOrd="0" presId="urn:microsoft.com/office/officeart/2005/8/layout/vList2"/>
    <dgm:cxn modelId="{89834168-8D34-4BB1-A71D-F5C35A2CA3C2}" type="presParOf" srcId="{CD4348BA-534B-4DF1-9D2F-550AC6732E54}" destId="{F3F0FE5F-E920-48DD-90C8-9BA460280830}" srcOrd="11" destOrd="0" presId="urn:microsoft.com/office/officeart/2005/8/layout/vList2"/>
    <dgm:cxn modelId="{0C30B739-A139-4AB3-BB88-98BF16C4EB62}" type="presParOf" srcId="{CD4348BA-534B-4DF1-9D2F-550AC6732E54}" destId="{4902B911-78E1-4DE3-B124-FD9D15A62F0D}" srcOrd="12" destOrd="0" presId="urn:microsoft.com/office/officeart/2005/8/layout/vList2"/>
  </dgm:cxnLst>
  <dgm:bg>
    <a:solidFill>
      <a:schemeClr val="bg1"/>
    </a:solidFill>
  </dgm:bg>
  <dgm:whole/>
  <dgm:extLst>
    <a:ext uri="http://schemas.microsoft.com/office/drawing/2008/diagram">
      <dsp:dataModelExt xmlns:dsp="http://schemas.microsoft.com/office/drawing/2008/diagram" relId="rId49"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0E79F8-5A2F-4B0D-9A54-C385A28025D0}">
      <dsp:nvSpPr>
        <dsp:cNvPr id="0" name=""/>
        <dsp:cNvSpPr/>
      </dsp:nvSpPr>
      <dsp:spPr>
        <a:xfrm rot="16200000">
          <a:off x="-99763" y="100433"/>
          <a:ext cx="1942156" cy="1741289"/>
        </a:xfrm>
        <a:prstGeom prst="flowChartManualOperation">
          <a:avLst/>
        </a:prstGeom>
        <a:solidFill>
          <a:schemeClr val="accent1">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3500" bIns="0" numCol="1" spcCol="1270" anchor="t" anchorCtr="0">
          <a:noAutofit/>
        </a:bodyPr>
        <a:lstStyle/>
        <a:p>
          <a:pPr marL="0" lvl="0" indent="0" algn="l" defTabSz="444500">
            <a:lnSpc>
              <a:spcPct val="90000"/>
            </a:lnSpc>
            <a:spcBef>
              <a:spcPct val="0"/>
            </a:spcBef>
            <a:spcAft>
              <a:spcPct val="35000"/>
            </a:spcAft>
            <a:buNone/>
          </a:pPr>
          <a:r>
            <a:rPr lang="en-US" sz="1000" b="1" kern="1200">
              <a:latin typeface="Arial" panose="020B0604020202020204" pitchFamily="34" charset="0"/>
              <a:cs typeface="Arial" panose="020B0604020202020204" pitchFamily="34" charset="0"/>
            </a:rPr>
            <a:t>Standardized Bilateral Contract Templates:</a:t>
          </a:r>
        </a:p>
        <a:p>
          <a:pPr marL="57150" lvl="1" indent="-57150" algn="l" defTabSz="444500">
            <a:lnSpc>
              <a:spcPct val="90000"/>
            </a:lnSpc>
            <a:spcBef>
              <a:spcPct val="0"/>
            </a:spcBef>
            <a:spcAft>
              <a:spcPct val="15000"/>
            </a:spcAft>
            <a:buChar char="•"/>
          </a:pPr>
          <a:r>
            <a:rPr lang="en-US" sz="1000" kern="1200">
              <a:latin typeface="Arial" panose="020B0604020202020204" pitchFamily="34" charset="0"/>
              <a:cs typeface="Arial" panose="020B0604020202020204" pitchFamily="34" charset="0"/>
            </a:rPr>
            <a:t>Flexible templates serve as a common framework for market participants to initiate bilateral agreements, ensuring consistency and efficiency.</a:t>
          </a:r>
        </a:p>
      </dsp:txBody>
      <dsp:txXfrm rot="5400000">
        <a:off x="671" y="388430"/>
        <a:ext cx="1741289" cy="1165294"/>
      </dsp:txXfrm>
    </dsp:sp>
    <dsp:sp modelId="{8AD52A6D-9541-41B6-82ED-0B6B2A1C4BF4}">
      <dsp:nvSpPr>
        <dsp:cNvPr id="0" name=""/>
        <dsp:cNvSpPr/>
      </dsp:nvSpPr>
      <dsp:spPr>
        <a:xfrm rot="16200000">
          <a:off x="1772122" y="100433"/>
          <a:ext cx="1942156" cy="1741289"/>
        </a:xfrm>
        <a:prstGeom prst="flowChartManualOperation">
          <a:avLst/>
        </a:prstGeom>
        <a:solidFill>
          <a:schemeClr val="accent1">
            <a:shade val="80000"/>
            <a:hueOff val="359456"/>
            <a:satOff val="-43088"/>
            <a:lumOff val="2129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3500" bIns="0" numCol="1" spcCol="1270" anchor="t" anchorCtr="0">
          <a:noAutofit/>
        </a:bodyPr>
        <a:lstStyle/>
        <a:p>
          <a:pPr marL="0" lvl="0" indent="0" algn="l" defTabSz="444500">
            <a:lnSpc>
              <a:spcPct val="90000"/>
            </a:lnSpc>
            <a:spcBef>
              <a:spcPct val="0"/>
            </a:spcBef>
            <a:spcAft>
              <a:spcPct val="35000"/>
            </a:spcAft>
            <a:buNone/>
          </a:pPr>
          <a:r>
            <a:rPr lang="en-US" sz="1000" b="1" kern="1200">
              <a:latin typeface="Arial" panose="020B0604020202020204" pitchFamily="34" charset="0"/>
              <a:cs typeface="Arial" panose="020B0604020202020204" pitchFamily="34" charset="0"/>
            </a:rPr>
            <a:t>Wheeling Methodology Guidelines</a:t>
          </a:r>
        </a:p>
        <a:p>
          <a:pPr marL="57150" lvl="1" indent="-57150" algn="l" defTabSz="444500">
            <a:lnSpc>
              <a:spcPct val="90000"/>
            </a:lnSpc>
            <a:spcBef>
              <a:spcPct val="0"/>
            </a:spcBef>
            <a:spcAft>
              <a:spcPct val="15000"/>
            </a:spcAft>
            <a:buChar char="•"/>
          </a:pPr>
          <a:r>
            <a:rPr lang="en-US" sz="1000" kern="1200">
              <a:latin typeface="Arial" panose="020B0604020202020204" pitchFamily="34" charset="0"/>
              <a:cs typeface="Arial" panose="020B0604020202020204" pitchFamily="34" charset="0"/>
            </a:rPr>
            <a:t>Establishes guidelines to ensure fair compensation for transit countries using their grid, making cross-border electricity trade feasible and equitable.</a:t>
          </a:r>
        </a:p>
      </dsp:txBody>
      <dsp:txXfrm rot="5400000">
        <a:off x="1872556" y="388430"/>
        <a:ext cx="1741289" cy="1165294"/>
      </dsp:txXfrm>
    </dsp:sp>
    <dsp:sp modelId="{45DE07A7-B6C6-4D19-9BFF-B224D95EAF85}">
      <dsp:nvSpPr>
        <dsp:cNvPr id="0" name=""/>
        <dsp:cNvSpPr/>
      </dsp:nvSpPr>
      <dsp:spPr>
        <a:xfrm rot="16200000">
          <a:off x="3644007" y="100433"/>
          <a:ext cx="1942156" cy="1741289"/>
        </a:xfrm>
        <a:prstGeom prst="flowChartManualOperation">
          <a:avLst/>
        </a:prstGeom>
        <a:solidFill>
          <a:schemeClr val="accent1">
            <a:shade val="80000"/>
            <a:hueOff val="718911"/>
            <a:satOff val="-86176"/>
            <a:lumOff val="425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3500" bIns="0" numCol="1" spcCol="1270" anchor="t" anchorCtr="0">
          <a:noAutofit/>
        </a:bodyPr>
        <a:lstStyle/>
        <a:p>
          <a:pPr marL="0" lvl="0" indent="0" algn="l" defTabSz="444500">
            <a:lnSpc>
              <a:spcPct val="90000"/>
            </a:lnSpc>
            <a:spcBef>
              <a:spcPct val="0"/>
            </a:spcBef>
            <a:spcAft>
              <a:spcPct val="35000"/>
            </a:spcAft>
            <a:buNone/>
          </a:pPr>
          <a:r>
            <a:rPr lang="en-US" sz="1000" b="1" kern="1200">
              <a:latin typeface="Arial" panose="020B0604020202020204" pitchFamily="34" charset="0"/>
              <a:cs typeface="Arial" panose="020B0604020202020204" pitchFamily="34" charset="0"/>
            </a:rPr>
            <a:t>Regional Coordinator Institution:</a:t>
          </a:r>
        </a:p>
        <a:p>
          <a:pPr marL="57150" lvl="1" indent="-57150" algn="l" defTabSz="444500">
            <a:lnSpc>
              <a:spcPct val="90000"/>
            </a:lnSpc>
            <a:spcBef>
              <a:spcPct val="0"/>
            </a:spcBef>
            <a:spcAft>
              <a:spcPct val="15000"/>
            </a:spcAft>
            <a:buChar char="•"/>
          </a:pPr>
          <a:r>
            <a:rPr lang="en-US" sz="1000" kern="1200">
              <a:latin typeface="Arial" panose="020B0604020202020204" pitchFamily="34" charset="0"/>
              <a:cs typeface="Arial" panose="020B0604020202020204" pitchFamily="34" charset="0"/>
            </a:rPr>
            <a:t>Facilitates trade by sharing key information like transmission capacity, trade willingness, and signed contracts, without managing transactions.</a:t>
          </a:r>
        </a:p>
      </dsp:txBody>
      <dsp:txXfrm rot="5400000">
        <a:off x="3744441" y="388430"/>
        <a:ext cx="1741289" cy="11652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DC7DB-48F0-43E1-A7B9-1C467BF2377E}">
      <dsp:nvSpPr>
        <dsp:cNvPr id="0" name=""/>
        <dsp:cNvSpPr/>
      </dsp:nvSpPr>
      <dsp:spPr>
        <a:xfrm>
          <a:off x="0" y="46929"/>
          <a:ext cx="5902325" cy="280800"/>
        </a:xfrm>
        <a:prstGeom prst="roundRect">
          <a:avLst/>
        </a:prstGeom>
        <a:solidFill>
          <a:srgbClr val="00164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latin typeface="Arial" panose="020B0604020202020204" pitchFamily="34" charset="0"/>
              <a:cs typeface="Arial" panose="020B0604020202020204" pitchFamily="34" charset="0"/>
            </a:rPr>
            <a:t>1. Amount of wheeling capacity</a:t>
          </a:r>
        </a:p>
      </dsp:txBody>
      <dsp:txXfrm>
        <a:off x="13708" y="60637"/>
        <a:ext cx="5874909" cy="253384"/>
      </dsp:txXfrm>
    </dsp:sp>
    <dsp:sp modelId="{80CE02BA-E92C-4126-9FE7-F910DD4E8A91}">
      <dsp:nvSpPr>
        <dsp:cNvPr id="0" name=""/>
        <dsp:cNvSpPr/>
      </dsp:nvSpPr>
      <dsp:spPr>
        <a:xfrm>
          <a:off x="0" y="370929"/>
          <a:ext cx="5902325" cy="280800"/>
        </a:xfrm>
        <a:prstGeom prst="roundRect">
          <a:avLst/>
        </a:prstGeom>
        <a:solidFill>
          <a:srgbClr val="00164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latin typeface="Arial" panose="020B0604020202020204" pitchFamily="34" charset="0"/>
              <a:cs typeface="Arial" panose="020B0604020202020204" pitchFamily="34" charset="0"/>
            </a:rPr>
            <a:t>2. Time duration of the transmission</a:t>
          </a:r>
        </a:p>
      </dsp:txBody>
      <dsp:txXfrm>
        <a:off x="13708" y="384637"/>
        <a:ext cx="5874909" cy="253384"/>
      </dsp:txXfrm>
    </dsp:sp>
    <dsp:sp modelId="{651E78DA-348C-46EC-8EC1-E9913277E71E}">
      <dsp:nvSpPr>
        <dsp:cNvPr id="0" name=""/>
        <dsp:cNvSpPr/>
      </dsp:nvSpPr>
      <dsp:spPr>
        <a:xfrm>
          <a:off x="0" y="694929"/>
          <a:ext cx="5902325" cy="280800"/>
        </a:xfrm>
        <a:prstGeom prst="roundRect">
          <a:avLst/>
        </a:prstGeom>
        <a:solidFill>
          <a:srgbClr val="00164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latin typeface="Arial" panose="020B0604020202020204" pitchFamily="34" charset="0"/>
              <a:cs typeface="Arial" panose="020B0604020202020204" pitchFamily="34" charset="0"/>
            </a:rPr>
            <a:t>3. Grid or country entry and exit points</a:t>
          </a:r>
        </a:p>
      </dsp:txBody>
      <dsp:txXfrm>
        <a:off x="13708" y="708637"/>
        <a:ext cx="5874909" cy="253384"/>
      </dsp:txXfrm>
    </dsp:sp>
    <dsp:sp modelId="{106C8058-6A73-4E4D-99B5-42E2AF5EC4B9}">
      <dsp:nvSpPr>
        <dsp:cNvPr id="0" name=""/>
        <dsp:cNvSpPr/>
      </dsp:nvSpPr>
      <dsp:spPr>
        <a:xfrm>
          <a:off x="0" y="1018929"/>
          <a:ext cx="5902325" cy="280800"/>
        </a:xfrm>
        <a:prstGeom prst="roundRect">
          <a:avLst/>
        </a:prstGeom>
        <a:solidFill>
          <a:srgbClr val="00164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latin typeface="Arial" panose="020B0604020202020204" pitchFamily="34" charset="0"/>
              <a:cs typeface="Arial" panose="020B0604020202020204" pitchFamily="34" charset="0"/>
            </a:rPr>
            <a:t>4. Metering of actual flows</a:t>
          </a:r>
        </a:p>
      </dsp:txBody>
      <dsp:txXfrm>
        <a:off x="13708" y="1032637"/>
        <a:ext cx="5874909" cy="253384"/>
      </dsp:txXfrm>
    </dsp:sp>
    <dsp:sp modelId="{7DB16D58-3265-41A6-B2A3-9A1B1609AD9C}">
      <dsp:nvSpPr>
        <dsp:cNvPr id="0" name=""/>
        <dsp:cNvSpPr/>
      </dsp:nvSpPr>
      <dsp:spPr>
        <a:xfrm>
          <a:off x="0" y="1342929"/>
          <a:ext cx="5902325" cy="280800"/>
        </a:xfrm>
        <a:prstGeom prst="roundRect">
          <a:avLst/>
        </a:prstGeom>
        <a:solidFill>
          <a:srgbClr val="00164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latin typeface="Arial" panose="020B0604020202020204" pitchFamily="34" charset="0"/>
              <a:cs typeface="Arial" panose="020B0604020202020204" pitchFamily="34" charset="0"/>
            </a:rPr>
            <a:t>5. Agreed balancing procedures (if a counterparty fails to honour the agreed transaction volumes)</a:t>
          </a:r>
        </a:p>
      </dsp:txBody>
      <dsp:txXfrm>
        <a:off x="13708" y="1356637"/>
        <a:ext cx="5874909" cy="253384"/>
      </dsp:txXfrm>
    </dsp:sp>
    <dsp:sp modelId="{B736EDD4-6EFD-4E0C-B990-F54DD035594A}">
      <dsp:nvSpPr>
        <dsp:cNvPr id="0" name=""/>
        <dsp:cNvSpPr/>
      </dsp:nvSpPr>
      <dsp:spPr>
        <a:xfrm>
          <a:off x="0" y="1666929"/>
          <a:ext cx="5902325" cy="280800"/>
        </a:xfrm>
        <a:prstGeom prst="roundRect">
          <a:avLst/>
        </a:prstGeom>
        <a:solidFill>
          <a:srgbClr val="00164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latin typeface="Arial" panose="020B0604020202020204" pitchFamily="34" charset="0"/>
              <a:cs typeface="Arial" panose="020B0604020202020204" pitchFamily="34" charset="0"/>
            </a:rPr>
            <a:t>6. How to handle transmission losses</a:t>
          </a:r>
        </a:p>
      </dsp:txBody>
      <dsp:txXfrm>
        <a:off x="13708" y="1680637"/>
        <a:ext cx="5874909" cy="253384"/>
      </dsp:txXfrm>
    </dsp:sp>
    <dsp:sp modelId="{4902B911-78E1-4DE3-B124-FD9D15A62F0D}">
      <dsp:nvSpPr>
        <dsp:cNvPr id="0" name=""/>
        <dsp:cNvSpPr/>
      </dsp:nvSpPr>
      <dsp:spPr>
        <a:xfrm>
          <a:off x="0" y="1990929"/>
          <a:ext cx="5902325" cy="280800"/>
        </a:xfrm>
        <a:prstGeom prst="roundRect">
          <a:avLst/>
        </a:prstGeom>
        <a:solidFill>
          <a:srgbClr val="00164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latin typeface="Arial" panose="020B0604020202020204" pitchFamily="34" charset="0"/>
              <a:cs typeface="Arial" panose="020B0604020202020204" pitchFamily="34" charset="0"/>
            </a:rPr>
            <a:t>7. An agreement on handling taxation of cross-border trades</a:t>
          </a:r>
        </a:p>
      </dsp:txBody>
      <dsp:txXfrm>
        <a:off x="13708" y="2004637"/>
        <a:ext cx="5874909" cy="253384"/>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0.85583</cdr:x>
      <cdr:y>0.06565</cdr:y>
    </cdr:from>
    <cdr:to>
      <cdr:x>0.98639</cdr:x>
      <cdr:y>0.27129</cdr:y>
    </cdr:to>
    <cdr:sp macro="" textlink="">
      <cdr:nvSpPr>
        <cdr:cNvPr id="11" name="Rectangle 10">
          <a:extLst xmlns:a="http://schemas.openxmlformats.org/drawingml/2006/main">
            <a:ext uri="{FF2B5EF4-FFF2-40B4-BE49-F238E27FC236}">
              <a16:creationId xmlns:a16="http://schemas.microsoft.com/office/drawing/2014/main" id="{8D663275-D617-4DC1-9098-51AC655D63EB}"/>
            </a:ext>
          </a:extLst>
        </cdr:cNvPr>
        <cdr:cNvSpPr/>
      </cdr:nvSpPr>
      <cdr:spPr bwMode="gray">
        <a:xfrm xmlns:a="http://schemas.openxmlformats.org/drawingml/2006/main">
          <a:off x="4695444" y="103378"/>
          <a:ext cx="716280" cy="323850"/>
        </a:xfrm>
        <a:prstGeom xmlns:a="http://schemas.openxmlformats.org/drawingml/2006/main" prst="rect">
          <a:avLst/>
        </a:prstGeom>
        <a:noFill xmlns:a="http://schemas.openxmlformats.org/drawingml/2006/main"/>
        <a:ln xmlns:a="http://schemas.openxmlformats.org/drawingml/2006/main" w="19050" algn="ctr">
          <a:noFill/>
          <a:miter lim="800000"/>
          <a:headEnd/>
          <a:tailEnd/>
        </a:ln>
      </cdr:spPr>
      <cdr:txBody>
        <a:bodyPr xmlns:a="http://schemas.openxmlformats.org/drawingml/2006/main" wrap="square" lIns="88900" tIns="88900" rIns="88900" bIns="88900" rtlCol="0" anchor="ctr"/>
        <a:lstStyle xmlns:a="http://schemas.openxmlformats.org/drawingml/2006/main">
          <a:defPPr>
            <a:defRPr lang="en-US"/>
          </a:defPPr>
          <a:lvl1pPr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5pPr>
          <a:lvl6pPr marL="2286000" algn="l" defTabSz="914400" rtl="0" eaLnBrk="1" latinLnBrk="0" hangingPunct="1">
            <a:defRPr sz="2800" kern="1200">
              <a:solidFill>
                <a:schemeClr val="tx1"/>
              </a:solidFill>
              <a:latin typeface="Arial" panose="020B0604020202020204" pitchFamily="34" charset="0"/>
              <a:ea typeface="+mn-ea"/>
              <a:cs typeface="+mn-cs"/>
            </a:defRPr>
          </a:lvl6pPr>
          <a:lvl7pPr marL="2743200" algn="l" defTabSz="914400" rtl="0" eaLnBrk="1" latinLnBrk="0" hangingPunct="1">
            <a:defRPr sz="2800" kern="1200">
              <a:solidFill>
                <a:schemeClr val="tx1"/>
              </a:solidFill>
              <a:latin typeface="Arial" panose="020B0604020202020204" pitchFamily="34" charset="0"/>
              <a:ea typeface="+mn-ea"/>
              <a:cs typeface="+mn-cs"/>
            </a:defRPr>
          </a:lvl7pPr>
          <a:lvl8pPr marL="3200400" algn="l" defTabSz="914400" rtl="0" eaLnBrk="1" latinLnBrk="0" hangingPunct="1">
            <a:defRPr sz="2800" kern="1200">
              <a:solidFill>
                <a:schemeClr val="tx1"/>
              </a:solidFill>
              <a:latin typeface="Arial" panose="020B0604020202020204" pitchFamily="34" charset="0"/>
              <a:ea typeface="+mn-ea"/>
              <a:cs typeface="+mn-cs"/>
            </a:defRPr>
          </a:lvl8pPr>
          <a:lvl9pPr marL="3657600" algn="l" defTabSz="914400" rtl="0" eaLnBrk="1" latinLnBrk="0" hangingPunct="1">
            <a:defRPr sz="2800" kern="1200">
              <a:solidFill>
                <a:schemeClr val="tx1"/>
              </a:solidFill>
              <a:latin typeface="Arial" panose="020B0604020202020204" pitchFamily="34" charset="0"/>
              <a:ea typeface="+mn-ea"/>
              <a:cs typeface="+mn-cs"/>
            </a:defRPr>
          </a:lvl9pPr>
        </a:lstStyle>
        <a:p xmlns:a="http://schemas.openxmlformats.org/drawingml/2006/main">
          <a:pPr marL="0" marR="0" lvl="0" indent="0" algn="ctr" defTabSz="787481" rtl="0" eaLnBrk="1" fontAlgn="auto" latinLnBrk="0" hangingPunct="1">
            <a:lnSpc>
              <a:spcPct val="106000"/>
            </a:lnSpc>
            <a:spcBef>
              <a:spcPts val="0"/>
            </a:spcBef>
            <a:spcAft>
              <a:spcPts val="0"/>
            </a:spcAft>
            <a:buClrTx/>
            <a:buSzTx/>
            <a:buFont typeface="Wingdings 2" pitchFamily="18" charset="2"/>
            <a:buNone/>
            <a:tabLst/>
            <a:defRPr/>
          </a:pPr>
          <a:r>
            <a:rPr kumimoji="0" lang="en-US" sz="900" b="1" i="1" u="none" strike="noStrike" kern="1200" cap="none" spc="0" normalizeH="0" baseline="0" noProof="0" dirty="0">
              <a:ln>
                <a:noFill/>
              </a:ln>
              <a:solidFill>
                <a:prstClr val="black"/>
              </a:solidFill>
              <a:effectLst/>
              <a:uLnTx/>
              <a:uFillTx/>
              <a:latin typeface="Gill Sans MT" panose="020B0502020104020203" pitchFamily="34" charset="0"/>
              <a:ea typeface="+mn-ea"/>
              <a:cs typeface="+mn-cs"/>
            </a:rPr>
            <a:t>CAGR</a:t>
          </a:r>
          <a:endParaRPr kumimoji="0" lang="en-IN" sz="900" b="1" i="1" u="none" strike="noStrike" kern="1200" cap="none" spc="0" normalizeH="0" baseline="0" noProof="0" dirty="0">
            <a:ln>
              <a:noFill/>
            </a:ln>
            <a:solidFill>
              <a:prstClr val="black"/>
            </a:solidFill>
            <a:effectLst/>
            <a:uLnTx/>
            <a:uFillTx/>
            <a:latin typeface="Gill Sans MT" panose="020B0502020104020203" pitchFamily="34" charset="0"/>
            <a:ea typeface="+mn-ea"/>
            <a:cs typeface="+mn-cs"/>
          </a:endParaRPr>
        </a:p>
      </cdr:txBody>
    </cdr:sp>
  </cdr:relSizeAnchor>
  <cdr:relSizeAnchor xmlns:cdr="http://schemas.openxmlformats.org/drawingml/2006/chartDrawing">
    <cdr:from>
      <cdr:x>0.87944</cdr:x>
      <cdr:y>0.23072</cdr:y>
    </cdr:from>
    <cdr:to>
      <cdr:x>0.96944</cdr:x>
      <cdr:y>0.35645</cdr:y>
    </cdr:to>
    <cdr:sp macro="" textlink="">
      <cdr:nvSpPr>
        <cdr:cNvPr id="12" name="Rectangle 11">
          <a:extLst xmlns:a="http://schemas.openxmlformats.org/drawingml/2006/main">
            <a:ext uri="{FF2B5EF4-FFF2-40B4-BE49-F238E27FC236}">
              <a16:creationId xmlns:a16="http://schemas.microsoft.com/office/drawing/2014/main" id="{C54525C3-72FF-4A4E-9899-4998D013B452}"/>
            </a:ext>
          </a:extLst>
        </cdr:cNvPr>
        <cdr:cNvSpPr/>
      </cdr:nvSpPr>
      <cdr:spPr bwMode="gray">
        <a:xfrm xmlns:a="http://schemas.openxmlformats.org/drawingml/2006/main">
          <a:off x="4824966" y="363340"/>
          <a:ext cx="493793" cy="198000"/>
        </a:xfrm>
        <a:prstGeom xmlns:a="http://schemas.openxmlformats.org/drawingml/2006/main" prst="rect">
          <a:avLst/>
        </a:prstGeom>
        <a:solidFill xmlns:a="http://schemas.openxmlformats.org/drawingml/2006/main">
          <a:srgbClr val="BBE0E3"/>
        </a:solidFill>
        <a:ln xmlns:a="http://schemas.openxmlformats.org/drawingml/2006/main" w="19050" algn="ctr">
          <a:noFill/>
          <a:miter lim="800000"/>
          <a:headEnd/>
          <a:tailEnd/>
        </a:ln>
      </cdr:spPr>
      <cdr:txBody>
        <a:bodyPr xmlns:a="http://schemas.openxmlformats.org/drawingml/2006/main" wrap="square" lIns="88900" tIns="88900" rIns="88900" bIns="88900" rtlCol="0" anchor="ctr"/>
        <a:lstStyle xmlns:a="http://schemas.openxmlformats.org/drawingml/2006/main">
          <a:defPPr>
            <a:defRPr lang="en-US"/>
          </a:defPPr>
          <a:lvl1pPr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1pPr>
          <a:lvl2pPr marL="4572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2pPr>
          <a:lvl3pPr marL="9144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3pPr>
          <a:lvl4pPr marL="13716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4pPr>
          <a:lvl5pPr marL="1828800" algn="l" rtl="0" eaLnBrk="0" fontAlgn="base" hangingPunct="0">
            <a:spcBef>
              <a:spcPct val="0"/>
            </a:spcBef>
            <a:spcAft>
              <a:spcPct val="0"/>
            </a:spcAft>
            <a:defRPr sz="2800" kern="1200">
              <a:solidFill>
                <a:schemeClr val="tx1"/>
              </a:solidFill>
              <a:latin typeface="Arial" panose="020B0604020202020204" pitchFamily="34" charset="0"/>
              <a:ea typeface="+mn-ea"/>
              <a:cs typeface="+mn-cs"/>
            </a:defRPr>
          </a:lvl5pPr>
          <a:lvl6pPr marL="2286000" algn="l" defTabSz="914400" rtl="0" eaLnBrk="1" latinLnBrk="0" hangingPunct="1">
            <a:defRPr sz="2800" kern="1200">
              <a:solidFill>
                <a:schemeClr val="tx1"/>
              </a:solidFill>
              <a:latin typeface="Arial" panose="020B0604020202020204" pitchFamily="34" charset="0"/>
              <a:ea typeface="+mn-ea"/>
              <a:cs typeface="+mn-cs"/>
            </a:defRPr>
          </a:lvl6pPr>
          <a:lvl7pPr marL="2743200" algn="l" defTabSz="914400" rtl="0" eaLnBrk="1" latinLnBrk="0" hangingPunct="1">
            <a:defRPr sz="2800" kern="1200">
              <a:solidFill>
                <a:schemeClr val="tx1"/>
              </a:solidFill>
              <a:latin typeface="Arial" panose="020B0604020202020204" pitchFamily="34" charset="0"/>
              <a:ea typeface="+mn-ea"/>
              <a:cs typeface="+mn-cs"/>
            </a:defRPr>
          </a:lvl7pPr>
          <a:lvl8pPr marL="3200400" algn="l" defTabSz="914400" rtl="0" eaLnBrk="1" latinLnBrk="0" hangingPunct="1">
            <a:defRPr sz="2800" kern="1200">
              <a:solidFill>
                <a:schemeClr val="tx1"/>
              </a:solidFill>
              <a:latin typeface="Arial" panose="020B0604020202020204" pitchFamily="34" charset="0"/>
              <a:ea typeface="+mn-ea"/>
              <a:cs typeface="+mn-cs"/>
            </a:defRPr>
          </a:lvl8pPr>
          <a:lvl9pPr marL="3657600" algn="l" defTabSz="914400" rtl="0" eaLnBrk="1" latinLnBrk="0" hangingPunct="1">
            <a:defRPr sz="2800" kern="1200">
              <a:solidFill>
                <a:schemeClr val="tx1"/>
              </a:solidFill>
              <a:latin typeface="Arial" panose="020B0604020202020204" pitchFamily="34" charset="0"/>
              <a:ea typeface="+mn-ea"/>
              <a:cs typeface="+mn-cs"/>
            </a:defRPr>
          </a:lvl9pPr>
        </a:lstStyle>
        <a:p xmlns:a="http://schemas.openxmlformats.org/drawingml/2006/main">
          <a:pPr marL="0" marR="0" lvl="0" indent="0" algn="ctr" defTabSz="787481" rtl="0" eaLnBrk="1" fontAlgn="auto" latinLnBrk="0" hangingPunct="1">
            <a:lnSpc>
              <a:spcPct val="106000"/>
            </a:lnSpc>
            <a:spcBef>
              <a:spcPts val="0"/>
            </a:spcBef>
            <a:spcAft>
              <a:spcPts val="0"/>
            </a:spcAft>
            <a:buClrTx/>
            <a:buSzTx/>
            <a:buFont typeface="Wingdings 2" pitchFamily="18" charset="2"/>
            <a:buNone/>
            <a:tabLst/>
            <a:defRPr/>
          </a:pPr>
          <a:r>
            <a:rPr kumimoji="0" lang="en-US" sz="800" b="1" i="0" u="none" strike="noStrike" kern="1200" cap="none" spc="0" normalizeH="0" baseline="0" noProof="0" dirty="0">
              <a:ln>
                <a:noFill/>
              </a:ln>
              <a:solidFill>
                <a:srgbClr val="000000"/>
              </a:solidFill>
              <a:effectLst/>
              <a:uLnTx/>
              <a:uFillTx/>
              <a:latin typeface="Gill Sans MT" panose="020B0502020104020203" pitchFamily="34" charset="0"/>
              <a:ea typeface="+mn-ea"/>
              <a:cs typeface="+mn-cs"/>
            </a:rPr>
            <a:t>12%</a:t>
          </a:r>
          <a:endParaRPr kumimoji="0" lang="en-IN" sz="800" b="1" i="0" u="none" strike="noStrike" kern="1200" cap="none" spc="0" normalizeH="0" baseline="0" noProof="0" dirty="0">
            <a:ln>
              <a:noFill/>
            </a:ln>
            <a:solidFill>
              <a:srgbClr val="000000"/>
            </a:solidFill>
            <a:effectLst/>
            <a:uLnTx/>
            <a:uFillTx/>
            <a:latin typeface="Gill Sans MT" panose="020B0502020104020203" pitchFamily="34" charset="0"/>
            <a:ea typeface="+mn-ea"/>
            <a:cs typeface="+mn-cs"/>
          </a:endParaRPr>
        </a:p>
      </cdr:txBody>
    </cdr:sp>
  </cdr:relSizeAnchor>
</c:userShapes>
</file>

<file path=word/theme/theme1.xml><?xml version="1.0" encoding="utf-8"?>
<a:theme xmlns:a="http://schemas.openxmlformats.org/drawingml/2006/main" name="Office Theme">
  <a:themeElements>
    <a:clrScheme name="Deloitte Colors">
      <a:dk1>
        <a:srgbClr val="000000"/>
      </a:dk1>
      <a:lt1>
        <a:srgbClr val="FFFFFF"/>
      </a:lt1>
      <a:dk2>
        <a:srgbClr val="C9DD03"/>
      </a:dk2>
      <a:lt2>
        <a:srgbClr val="72C7E7"/>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3C8A2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Blank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fontScheme name="Blan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2DC734-4237-4B62-8B90-7FDED3E6D206}">
  <ds:schemaRefs>
    <ds:schemaRef ds:uri="http://schemas.microsoft.com/office/2006/metadata/properties"/>
    <ds:schemaRef ds:uri="http://schemas.microsoft.com/office/infopath/2007/PartnerControls"/>
    <ds:schemaRef ds:uri="c9286996-694e-477d-a7aa-46f8b2667f29"/>
    <ds:schemaRef ds:uri="85509309-b833-4aa2-87f6-6adf118ac530"/>
  </ds:schemaRefs>
</ds:datastoreItem>
</file>

<file path=customXml/itemProps2.xml><?xml version="1.0" encoding="utf-8"?>
<ds:datastoreItem xmlns:ds="http://schemas.openxmlformats.org/officeDocument/2006/customXml" ds:itemID="{F2F86F77-ADAC-4801-AC60-109E3150A28D}">
  <ds:schemaRefs>
    <ds:schemaRef ds:uri="http://schemas.microsoft.com/sharepoint/v3/contenttype/forms"/>
  </ds:schemaRefs>
</ds:datastoreItem>
</file>

<file path=customXml/itemProps3.xml><?xml version="1.0" encoding="utf-8"?>
<ds:datastoreItem xmlns:ds="http://schemas.openxmlformats.org/officeDocument/2006/customXml" ds:itemID="{B923DE46-FF6A-445F-AC0E-DA8152E11016}">
  <ds:schemaRefs>
    <ds:schemaRef ds:uri="http://schemas.openxmlformats.org/officeDocument/2006/bibliography"/>
  </ds:schemaRefs>
</ds:datastoreItem>
</file>

<file path=customXml/itemProps4.xml><?xml version="1.0" encoding="utf-8"?>
<ds:datastoreItem xmlns:ds="http://schemas.openxmlformats.org/officeDocument/2006/customXml" ds:itemID="{9BDA5E43-09D9-4184-ADDE-8C6F0FC934EC}">
  <ds:schemaRefs>
    <ds:schemaRef ds:uri="http://schemas.openxmlformats.org/officeDocument/2006/bibliography"/>
  </ds:schemaRefs>
</ds:datastoreItem>
</file>

<file path=customXml/itemProps5.xml><?xml version="1.0" encoding="utf-8"?>
<ds:datastoreItem xmlns:ds="http://schemas.openxmlformats.org/officeDocument/2006/customXml" ds:itemID="{2633D664-4590-4A43-8008-35B165991966}">
  <ds:schemaRefs>
    <ds:schemaRef ds:uri="http://schemas.openxmlformats.org/officeDocument/2006/bibliography"/>
  </ds:schemaRefs>
</ds:datastoreItem>
</file>

<file path=customXml/itemProps6.xml><?xml version="1.0" encoding="utf-8"?>
<ds:datastoreItem xmlns:ds="http://schemas.openxmlformats.org/officeDocument/2006/customXml" ds:itemID="{8B01AE15-00BB-48E6-8771-5E3A90ADC0CF}">
  <ds:schemaRefs>
    <ds:schemaRef ds:uri="http://schemas.openxmlformats.org/officeDocument/2006/bibliography"/>
  </ds:schemaRefs>
</ds:datastoreItem>
</file>

<file path=customXml/itemProps7.xml><?xml version="1.0" encoding="utf-8"?>
<ds:datastoreItem xmlns:ds="http://schemas.openxmlformats.org/officeDocument/2006/customXml" ds:itemID="{B43AE459-4D86-44A6-BBF1-18D262CB0EE5}"/>
</file>

<file path=docProps/app.xml><?xml version="1.0" encoding="utf-8"?>
<Properties xmlns="http://schemas.openxmlformats.org/officeDocument/2006/extended-properties" xmlns:vt="http://schemas.openxmlformats.org/officeDocument/2006/docPropsVTypes">
  <Template>Normal.dotm</Template>
  <TotalTime>0</TotalTime>
  <Pages>1</Pages>
  <Words>23656</Words>
  <Characters>134845</Characters>
  <Application>Microsoft Office Word</Application>
  <DocSecurity>0</DocSecurity>
  <Lines>1123</Lines>
  <Paragraphs>316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Regional Ov</vt:lpstr>
      <vt:lpstr>Regional Ov</vt:lpstr>
    </vt:vector>
  </TitlesOfParts>
  <Company>Deloitte</Company>
  <LinksUpToDate>false</LinksUpToDate>
  <CharactersWithSpaces>158185</CharactersWithSpaces>
  <SharedDoc>false</SharedDoc>
  <HLinks>
    <vt:vector size="144" baseType="variant">
      <vt:variant>
        <vt:i4>1048630</vt:i4>
      </vt:variant>
      <vt:variant>
        <vt:i4>146</vt:i4>
      </vt:variant>
      <vt:variant>
        <vt:i4>0</vt:i4>
      </vt:variant>
      <vt:variant>
        <vt:i4>5</vt:i4>
      </vt:variant>
      <vt:variant>
        <vt:lpwstr/>
      </vt:variant>
      <vt:variant>
        <vt:lpwstr>_Toc146034272</vt:lpwstr>
      </vt:variant>
      <vt:variant>
        <vt:i4>1048630</vt:i4>
      </vt:variant>
      <vt:variant>
        <vt:i4>140</vt:i4>
      </vt:variant>
      <vt:variant>
        <vt:i4>0</vt:i4>
      </vt:variant>
      <vt:variant>
        <vt:i4>5</vt:i4>
      </vt:variant>
      <vt:variant>
        <vt:lpwstr/>
      </vt:variant>
      <vt:variant>
        <vt:lpwstr>_Toc146034271</vt:lpwstr>
      </vt:variant>
      <vt:variant>
        <vt:i4>1048630</vt:i4>
      </vt:variant>
      <vt:variant>
        <vt:i4>134</vt:i4>
      </vt:variant>
      <vt:variant>
        <vt:i4>0</vt:i4>
      </vt:variant>
      <vt:variant>
        <vt:i4>5</vt:i4>
      </vt:variant>
      <vt:variant>
        <vt:lpwstr/>
      </vt:variant>
      <vt:variant>
        <vt:lpwstr>_Toc146034270</vt:lpwstr>
      </vt:variant>
      <vt:variant>
        <vt:i4>1114166</vt:i4>
      </vt:variant>
      <vt:variant>
        <vt:i4>128</vt:i4>
      </vt:variant>
      <vt:variant>
        <vt:i4>0</vt:i4>
      </vt:variant>
      <vt:variant>
        <vt:i4>5</vt:i4>
      </vt:variant>
      <vt:variant>
        <vt:lpwstr/>
      </vt:variant>
      <vt:variant>
        <vt:lpwstr>_Toc146034269</vt:lpwstr>
      </vt:variant>
      <vt:variant>
        <vt:i4>1114166</vt:i4>
      </vt:variant>
      <vt:variant>
        <vt:i4>122</vt:i4>
      </vt:variant>
      <vt:variant>
        <vt:i4>0</vt:i4>
      </vt:variant>
      <vt:variant>
        <vt:i4>5</vt:i4>
      </vt:variant>
      <vt:variant>
        <vt:lpwstr/>
      </vt:variant>
      <vt:variant>
        <vt:lpwstr>_Toc146034268</vt:lpwstr>
      </vt:variant>
      <vt:variant>
        <vt:i4>1114166</vt:i4>
      </vt:variant>
      <vt:variant>
        <vt:i4>116</vt:i4>
      </vt:variant>
      <vt:variant>
        <vt:i4>0</vt:i4>
      </vt:variant>
      <vt:variant>
        <vt:i4>5</vt:i4>
      </vt:variant>
      <vt:variant>
        <vt:lpwstr/>
      </vt:variant>
      <vt:variant>
        <vt:lpwstr>_Toc146034267</vt:lpwstr>
      </vt:variant>
      <vt:variant>
        <vt:i4>1114166</vt:i4>
      </vt:variant>
      <vt:variant>
        <vt:i4>110</vt:i4>
      </vt:variant>
      <vt:variant>
        <vt:i4>0</vt:i4>
      </vt:variant>
      <vt:variant>
        <vt:i4>5</vt:i4>
      </vt:variant>
      <vt:variant>
        <vt:lpwstr/>
      </vt:variant>
      <vt:variant>
        <vt:lpwstr>_Toc146034266</vt:lpwstr>
      </vt:variant>
      <vt:variant>
        <vt:i4>1114166</vt:i4>
      </vt:variant>
      <vt:variant>
        <vt:i4>104</vt:i4>
      </vt:variant>
      <vt:variant>
        <vt:i4>0</vt:i4>
      </vt:variant>
      <vt:variant>
        <vt:i4>5</vt:i4>
      </vt:variant>
      <vt:variant>
        <vt:lpwstr/>
      </vt:variant>
      <vt:variant>
        <vt:lpwstr>_Toc146034265</vt:lpwstr>
      </vt:variant>
      <vt:variant>
        <vt:i4>1245232</vt:i4>
      </vt:variant>
      <vt:variant>
        <vt:i4>95</vt:i4>
      </vt:variant>
      <vt:variant>
        <vt:i4>0</vt:i4>
      </vt:variant>
      <vt:variant>
        <vt:i4>5</vt:i4>
      </vt:variant>
      <vt:variant>
        <vt:lpwstr/>
      </vt:variant>
      <vt:variant>
        <vt:lpwstr>_Toc126847396</vt:lpwstr>
      </vt:variant>
      <vt:variant>
        <vt:i4>1179702</vt:i4>
      </vt:variant>
      <vt:variant>
        <vt:i4>86</vt:i4>
      </vt:variant>
      <vt:variant>
        <vt:i4>0</vt:i4>
      </vt:variant>
      <vt:variant>
        <vt:i4>5</vt:i4>
      </vt:variant>
      <vt:variant>
        <vt:lpwstr/>
      </vt:variant>
      <vt:variant>
        <vt:lpwstr>_Toc146034255</vt:lpwstr>
      </vt:variant>
      <vt:variant>
        <vt:i4>1179702</vt:i4>
      </vt:variant>
      <vt:variant>
        <vt:i4>80</vt:i4>
      </vt:variant>
      <vt:variant>
        <vt:i4>0</vt:i4>
      </vt:variant>
      <vt:variant>
        <vt:i4>5</vt:i4>
      </vt:variant>
      <vt:variant>
        <vt:lpwstr/>
      </vt:variant>
      <vt:variant>
        <vt:lpwstr>_Toc146034254</vt:lpwstr>
      </vt:variant>
      <vt:variant>
        <vt:i4>1179702</vt:i4>
      </vt:variant>
      <vt:variant>
        <vt:i4>74</vt:i4>
      </vt:variant>
      <vt:variant>
        <vt:i4>0</vt:i4>
      </vt:variant>
      <vt:variant>
        <vt:i4>5</vt:i4>
      </vt:variant>
      <vt:variant>
        <vt:lpwstr/>
      </vt:variant>
      <vt:variant>
        <vt:lpwstr>_Toc146034253</vt:lpwstr>
      </vt:variant>
      <vt:variant>
        <vt:i4>1179702</vt:i4>
      </vt:variant>
      <vt:variant>
        <vt:i4>68</vt:i4>
      </vt:variant>
      <vt:variant>
        <vt:i4>0</vt:i4>
      </vt:variant>
      <vt:variant>
        <vt:i4>5</vt:i4>
      </vt:variant>
      <vt:variant>
        <vt:lpwstr/>
      </vt:variant>
      <vt:variant>
        <vt:lpwstr>_Toc146034252</vt:lpwstr>
      </vt:variant>
      <vt:variant>
        <vt:i4>1179702</vt:i4>
      </vt:variant>
      <vt:variant>
        <vt:i4>62</vt:i4>
      </vt:variant>
      <vt:variant>
        <vt:i4>0</vt:i4>
      </vt:variant>
      <vt:variant>
        <vt:i4>5</vt:i4>
      </vt:variant>
      <vt:variant>
        <vt:lpwstr/>
      </vt:variant>
      <vt:variant>
        <vt:lpwstr>_Toc146034251</vt:lpwstr>
      </vt:variant>
      <vt:variant>
        <vt:i4>1179702</vt:i4>
      </vt:variant>
      <vt:variant>
        <vt:i4>56</vt:i4>
      </vt:variant>
      <vt:variant>
        <vt:i4>0</vt:i4>
      </vt:variant>
      <vt:variant>
        <vt:i4>5</vt:i4>
      </vt:variant>
      <vt:variant>
        <vt:lpwstr/>
      </vt:variant>
      <vt:variant>
        <vt:lpwstr>_Toc146034250</vt:lpwstr>
      </vt:variant>
      <vt:variant>
        <vt:i4>1245238</vt:i4>
      </vt:variant>
      <vt:variant>
        <vt:i4>50</vt:i4>
      </vt:variant>
      <vt:variant>
        <vt:i4>0</vt:i4>
      </vt:variant>
      <vt:variant>
        <vt:i4>5</vt:i4>
      </vt:variant>
      <vt:variant>
        <vt:lpwstr/>
      </vt:variant>
      <vt:variant>
        <vt:lpwstr>_Toc146034249</vt:lpwstr>
      </vt:variant>
      <vt:variant>
        <vt:i4>1245238</vt:i4>
      </vt:variant>
      <vt:variant>
        <vt:i4>44</vt:i4>
      </vt:variant>
      <vt:variant>
        <vt:i4>0</vt:i4>
      </vt:variant>
      <vt:variant>
        <vt:i4>5</vt:i4>
      </vt:variant>
      <vt:variant>
        <vt:lpwstr/>
      </vt:variant>
      <vt:variant>
        <vt:lpwstr>_Toc146034248</vt:lpwstr>
      </vt:variant>
      <vt:variant>
        <vt:i4>1245238</vt:i4>
      </vt:variant>
      <vt:variant>
        <vt:i4>38</vt:i4>
      </vt:variant>
      <vt:variant>
        <vt:i4>0</vt:i4>
      </vt:variant>
      <vt:variant>
        <vt:i4>5</vt:i4>
      </vt:variant>
      <vt:variant>
        <vt:lpwstr/>
      </vt:variant>
      <vt:variant>
        <vt:lpwstr>_Toc146034247</vt:lpwstr>
      </vt:variant>
      <vt:variant>
        <vt:i4>1245238</vt:i4>
      </vt:variant>
      <vt:variant>
        <vt:i4>32</vt:i4>
      </vt:variant>
      <vt:variant>
        <vt:i4>0</vt:i4>
      </vt:variant>
      <vt:variant>
        <vt:i4>5</vt:i4>
      </vt:variant>
      <vt:variant>
        <vt:lpwstr/>
      </vt:variant>
      <vt:variant>
        <vt:lpwstr>_Toc146034246</vt:lpwstr>
      </vt:variant>
      <vt:variant>
        <vt:i4>1245238</vt:i4>
      </vt:variant>
      <vt:variant>
        <vt:i4>26</vt:i4>
      </vt:variant>
      <vt:variant>
        <vt:i4>0</vt:i4>
      </vt:variant>
      <vt:variant>
        <vt:i4>5</vt:i4>
      </vt:variant>
      <vt:variant>
        <vt:lpwstr/>
      </vt:variant>
      <vt:variant>
        <vt:lpwstr>_Toc146034245</vt:lpwstr>
      </vt:variant>
      <vt:variant>
        <vt:i4>1245238</vt:i4>
      </vt:variant>
      <vt:variant>
        <vt:i4>20</vt:i4>
      </vt:variant>
      <vt:variant>
        <vt:i4>0</vt:i4>
      </vt:variant>
      <vt:variant>
        <vt:i4>5</vt:i4>
      </vt:variant>
      <vt:variant>
        <vt:lpwstr/>
      </vt:variant>
      <vt:variant>
        <vt:lpwstr>_Toc146034244</vt:lpwstr>
      </vt:variant>
      <vt:variant>
        <vt:i4>1245238</vt:i4>
      </vt:variant>
      <vt:variant>
        <vt:i4>14</vt:i4>
      </vt:variant>
      <vt:variant>
        <vt:i4>0</vt:i4>
      </vt:variant>
      <vt:variant>
        <vt:i4>5</vt:i4>
      </vt:variant>
      <vt:variant>
        <vt:lpwstr/>
      </vt:variant>
      <vt:variant>
        <vt:lpwstr>_Toc146034243</vt:lpwstr>
      </vt:variant>
      <vt:variant>
        <vt:i4>1245238</vt:i4>
      </vt:variant>
      <vt:variant>
        <vt:i4>8</vt:i4>
      </vt:variant>
      <vt:variant>
        <vt:i4>0</vt:i4>
      </vt:variant>
      <vt:variant>
        <vt:i4>5</vt:i4>
      </vt:variant>
      <vt:variant>
        <vt:lpwstr/>
      </vt:variant>
      <vt:variant>
        <vt:lpwstr>_Toc146034242</vt:lpwstr>
      </vt:variant>
      <vt:variant>
        <vt:i4>1245238</vt:i4>
      </vt:variant>
      <vt:variant>
        <vt:i4>2</vt:i4>
      </vt:variant>
      <vt:variant>
        <vt:i4>0</vt:i4>
      </vt:variant>
      <vt:variant>
        <vt:i4>5</vt:i4>
      </vt:variant>
      <vt:variant>
        <vt:lpwstr/>
      </vt:variant>
      <vt:variant>
        <vt:lpwstr>_Toc146034241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Ov</dc:title>
  <dc:subject/>
  <dc:creator>ibeerli@deloitte.com</dc:creator>
  <cp:keywords/>
  <cp:lastModifiedBy>Banerjee, Rajeswar</cp:lastModifiedBy>
  <cp:revision>2</cp:revision>
  <cp:lastPrinted>2022-01-04T06:13:00Z</cp:lastPrinted>
  <dcterms:created xsi:type="dcterms:W3CDTF">2024-12-20T02:55:00Z</dcterms:created>
  <dcterms:modified xsi:type="dcterms:W3CDTF">2024-12-20T02:55:00Z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0x01010046EABACCD3B39C49923CC76F9A3899B0</vt:lpwstr>
  </property>
  <property fmtid="{D5CDD505-2E9C-101B-9397-08002B2CF9AE}" pid="3" name="MSIP_Label_ea60d57e-af5b-4752-ac57-3e4f28ca11dc_Enabled">
    <vt:lpwstr>true</vt:lpwstr>
  </property>
  <property fmtid="{D5CDD505-2E9C-101B-9397-08002B2CF9AE}" pid="4" name="MSIP_Label_ea60d57e-af5b-4752-ac57-3e4f28ca11dc_SetDate">
    <vt:lpwstr>2021-08-09T14:12:09Z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f0001a9f-bd6c-4307-8ce1-9287cb06f6a1</vt:lpwstr>
  </property>
  <property fmtid="{D5CDD505-2E9C-101B-9397-08002B2CF9AE}" pid="9" name="MSIP_Label_ea60d57e-af5b-4752-ac57-3e4f28ca11dc_ContentBits">
    <vt:lpwstr>0</vt:lpwstr>
  </property>
  <property fmtid="{D5CDD505-2E9C-101B-9397-08002B2CF9AE}" pid="10" name="MSIP_Label_1665d9ee-429a-4d5f-97cc-cfb56e044a6e_Enabled">
    <vt:lpwstr>true</vt:lpwstr>
  </property>
  <property fmtid="{D5CDD505-2E9C-101B-9397-08002B2CF9AE}" pid="11" name="MSIP_Label_1665d9ee-429a-4d5f-97cc-cfb56e044a6e_SetDate">
    <vt:lpwstr>2023-02-02T13:04:20Z</vt:lpwstr>
  </property>
  <property fmtid="{D5CDD505-2E9C-101B-9397-08002B2CF9AE}" pid="12" name="MSIP_Label_1665d9ee-429a-4d5f-97cc-cfb56e044a6e_Method">
    <vt:lpwstr>Privileged</vt:lpwstr>
  </property>
  <property fmtid="{D5CDD505-2E9C-101B-9397-08002B2CF9AE}" pid="13" name="MSIP_Label_1665d9ee-429a-4d5f-97cc-cfb56e044a6e_Name">
    <vt:lpwstr>1665d9ee-429a-4d5f-97cc-cfb56e044a6e</vt:lpwstr>
  </property>
  <property fmtid="{D5CDD505-2E9C-101B-9397-08002B2CF9AE}" pid="14" name="MSIP_Label_1665d9ee-429a-4d5f-97cc-cfb56e044a6e_SiteId">
    <vt:lpwstr>66cf5074-5afe-48d1-a691-a12b2121f44b</vt:lpwstr>
  </property>
  <property fmtid="{D5CDD505-2E9C-101B-9397-08002B2CF9AE}" pid="15" name="MSIP_Label_1665d9ee-429a-4d5f-97cc-cfb56e044a6e_ActionId">
    <vt:lpwstr>e5ecf41e-9984-42a1-b143-c9704c99b280</vt:lpwstr>
  </property>
  <property fmtid="{D5CDD505-2E9C-101B-9397-08002B2CF9AE}" pid="16" name="MSIP_Label_1665d9ee-429a-4d5f-97cc-cfb56e044a6e_ContentBits">
    <vt:lpwstr>0</vt:lpwstr>
  </property>
  <property fmtid="{D5CDD505-2E9C-101B-9397-08002B2CF9AE}" pid="17" name="Order">
    <vt:r8>34800</vt:r8>
  </property>
  <property fmtid="{D5CDD505-2E9C-101B-9397-08002B2CF9AE}" pid="18" name="xd_Signature">
    <vt:bool>false</vt:bool>
  </property>
  <property fmtid="{D5CDD505-2E9C-101B-9397-08002B2CF9AE}" pid="19" name="xd_ProgID">
    <vt:lpwstr/>
  </property>
  <property fmtid="{D5CDD505-2E9C-101B-9397-08002B2CF9AE}" pid="20" name="ComplianceAssetId">
    <vt:lpwstr/>
  </property>
  <property fmtid="{D5CDD505-2E9C-101B-9397-08002B2CF9AE}" pid="21" name="TemplateUrl">
    <vt:lpwstr/>
  </property>
  <property fmtid="{D5CDD505-2E9C-101B-9397-08002B2CF9AE}" pid="22" name="_ExtendedDescription">
    <vt:lpwstr/>
  </property>
  <property fmtid="{D5CDD505-2E9C-101B-9397-08002B2CF9AE}" pid="23" name="TriggerFlowInfo">
    <vt:lpwstr/>
  </property>
</Properties>
</file>