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0"/>
        <w:jc w:val="center"/>
      </w:pPr>
      <w:r>
        <w:rPr>
          <w:rFonts w:ascii="黑体" w:hAnsi="黑体" w:eastAsia="黑体"/>
          <w:b/>
          <w:sz w:val="44"/>
        </w:rPr>
        <w:t>基于微服务架构的实验室管理系统</w:t>
      </w:r>
    </w:p>
    <w:p>
      <w:pPr>
        <w:spacing w:before="1000"/>
        <w:jc w:val="center"/>
      </w:pPr>
      <w:r>
        <w:rPr>
          <w:rFonts w:ascii="黑体" w:hAnsi="黑体" w:eastAsia="黑体"/>
          <w:b/>
          <w:sz w:val="36"/>
        </w:rPr>
        <w:t>详细设计说明书</w:t>
      </w:r>
    </w:p>
    <w:p>
      <w:pPr>
        <w:spacing w:before="6000"/>
        <w:jc w:val="center"/>
      </w:pPr>
      <w:r>
        <w:rPr>
          <w:rFonts w:ascii="宋体" w:hAnsi="宋体" w:eastAsia="宋体"/>
          <w:b w:val="0"/>
          <w:sz w:val="24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日期：2025年2月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目录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1. 引言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2. 用户服务详细设计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3. 标本服务详细设计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4. 检验服务详细设计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5. 设备服务详细设计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6. 接口服务详细设计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7. 前端详细设计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 引言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编写目的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本文档在概要设计的基础上，对各模块进行详细设计，包括类设计、方法设计、流程设计等，为编码实现提供详细指导。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设计原则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单一职责原则：每个类只负责一项职责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开闭原则：对扩展开放，对修改关闭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依赖倒置原则：依赖于抽象，不依赖于具体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接口隔离原则：使用多个专门的接口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2. 用户服务详细设计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类设计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2.1.1 UserController（控制层）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路径：com.lis.user.controller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职责：处理用户相关的HTTP请求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主要方法：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login(LoginDTO dto)：用户登录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register(RegisterDTO dto)：用户注册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getUserInfo()：获取用户信息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updateUserInfo(UserDTO dto)：更新用户信息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getUserList(PageParam param)：获取用户列表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deleteUser(Long id)：删除用户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2.1.2 UserService（服务层）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路径：com.lis.user.service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职责：处理用户业务逻辑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主要方法：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login(String username, String password)：登录验证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createUser(User user)：创建用户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getUserById(Long id)：根据ID获取用户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updateUser(User user)：更新用户信息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deleteUser(Long id)：删除用户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getUserList(PageParam param)：分页查询用户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2.1.3 UserMapper（数据访问层）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路径：com.lis.user.mapper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职责：用户数据的CRUD操作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继承：BaseMapper&lt;User&gt;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2.2 登录流程设计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1. 用户输入用户名和密码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2. 校验用户名和密码是否为空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 根据用户名查询用户信息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4. 校验用户是否存在且状态正常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 校验密码是否正确（BCrypt加密比对）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6. 生成JWT Token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7. 将Token返回给前端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8. 前端存储Token，后续请求携带Token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2.3 JWT认证设计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Token组成：Header.Payload.Signature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Payload包含：userId, username, role, exp（过期时间）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Token有效期：2小时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刷新机制：Token过期前30分钟可刷新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3. 标本服务详细设计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类设计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3.1.1 SampleController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主要方法：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createSample(SampleDTO dto)：创建标本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getSampleById(Long id)：获取标本详情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receiveSample(Long id, ReceiveDTO dto)：接收标本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updateStatus(Long id, Integer status)：更新状态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getSampleList(QueryParam param)：查询标本列表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getSampleTrace(Long id)：获取流转轨迹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3.1.2 SampleService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主要方法：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generateBarcode()：生成条码号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createSample(Sample sample)：创建标本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receiveSample(Long id, String receiver)：接收标本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updateStatus(Long id, Integer status, String remark)：更新状态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getSampleTrace(Long id)：获取流转轨迹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标本状态机设计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状态码</w:t>
            </w:r>
          </w:p>
        </w:tc>
        <w:tc>
          <w:tcPr>
            <w:tcW w:type="dxa" w:w="2880"/>
          </w:tcPr>
          <w:p>
            <w:r>
              <w:t>状态名称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待采集</w:t>
            </w:r>
          </w:p>
        </w:tc>
        <w:tc>
          <w:tcPr>
            <w:tcW w:type="dxa" w:w="2880"/>
          </w:tcPr>
          <w:p>
            <w:r>
              <w:t>初始状态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已采集</w:t>
            </w:r>
          </w:p>
        </w:tc>
        <w:tc>
          <w:tcPr>
            <w:tcW w:type="dxa" w:w="2880"/>
          </w:tcPr>
          <w:p>
            <w:r>
              <w:t>采集完成后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运送中</w:t>
            </w:r>
          </w:p>
        </w:tc>
        <w:tc>
          <w:tcPr>
            <w:tcW w:type="dxa" w:w="2880"/>
          </w:tcPr>
          <w:p>
            <w:r>
              <w:t>标本运送中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待接收</w:t>
            </w:r>
          </w:p>
        </w:tc>
        <w:tc>
          <w:tcPr>
            <w:tcW w:type="dxa" w:w="2880"/>
          </w:tcPr>
          <w:p>
            <w:r>
              <w:t>到达检验科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已接收</w:t>
            </w:r>
          </w:p>
        </w:tc>
        <w:tc>
          <w:tcPr>
            <w:tcW w:type="dxa" w:w="2880"/>
          </w:tcPr>
          <w:p>
            <w:r>
              <w:t>检验科接收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检验中</w:t>
            </w:r>
          </w:p>
        </w:tc>
        <w:tc>
          <w:tcPr>
            <w:tcW w:type="dxa" w:w="2880"/>
          </w:tcPr>
          <w:p>
            <w:r>
              <w:t>开始检验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检验完成</w:t>
            </w:r>
          </w:p>
        </w:tc>
        <w:tc>
          <w:tcPr>
            <w:tcW w:type="dxa" w:w="2880"/>
          </w:tcPr>
          <w:p>
            <w:r>
              <w:t>检验完成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已审核</w:t>
            </w:r>
          </w:p>
        </w:tc>
        <w:tc>
          <w:tcPr>
            <w:tcW w:type="dxa" w:w="2880"/>
          </w:tcPr>
          <w:p>
            <w:r>
              <w:t>报告审核通过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已发布</w:t>
            </w:r>
          </w:p>
        </w:tc>
        <w:tc>
          <w:tcPr>
            <w:tcW w:type="dxa" w:w="2880"/>
          </w:tcPr>
          <w:p>
            <w:r>
              <w:t>报告已发布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已归档</w:t>
            </w:r>
          </w:p>
        </w:tc>
        <w:tc>
          <w:tcPr>
            <w:tcW w:type="dxa" w:w="2880"/>
          </w:tcPr>
          <w:p>
            <w:r>
              <w:t>标本已归档</w:t>
            </w:r>
          </w:p>
        </w:tc>
      </w:tr>
      <w:tr>
        <w:tc>
          <w:tcPr>
            <w:tcW w:type="dxa" w:w="2880"/>
          </w:tcPr>
          <w:p>
            <w:r>
              <w:t>-1</w:t>
            </w:r>
          </w:p>
        </w:tc>
        <w:tc>
          <w:tcPr>
            <w:tcW w:type="dxa" w:w="2880"/>
          </w:tcPr>
          <w:p>
            <w:r>
              <w:t>异常</w:t>
            </w:r>
          </w:p>
        </w:tc>
        <w:tc>
          <w:tcPr>
            <w:tcW w:type="dxa" w:w="2880"/>
          </w:tcPr>
          <w:p>
            <w:r>
              <w:t>标本异常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3.3 条码生成规则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格式：yyMMdd + 4位流水号（共10位）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示例：2502240001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生成方式：Redis自增，保证唯一性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 检验服务详细设计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类设计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4.1.1 ExamController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主要方法：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createApply(ApplyDTO dto)：提交检验申请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getApplyById(Long id)：获取申请单详情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inputResult(ResultDTO dto)：录入检验结果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auditReport(Long id, AuditDTO dto)：审核报告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getReport(Long id)：获取检验报告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printReport(Long id)：打印报告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4.1.2 ExamService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主要方法：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createApply(Apply apply)：创建申请单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inputResult(Result result)：录入结果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calculateResult(Long sampleId)：计算项目结果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auditReport(Long id, Integer status, String remark)：审核报告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generateReport(Long sampleId)：生成报告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结果异常判断逻辑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偏高（H）：结果 &gt; 参考范围上限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偏低（L）：结果 &lt; 参考范围下限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阳性（P）：定性结果为阳性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危急值：结果超出危急值范围，触发告警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报告审核流程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1. 检验医师录入结果完成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2. 系统自动判断结果是否异常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 检验医师初审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4. 主管医师终审（可选）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 审核通过后发布报告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6. 通过HL7接口回传HIS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5. 设备服务详细设计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类设计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5.1.1 DeviceController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主要方法：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createDevice(DeviceDTO dto)：创建设备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getDeviceById(Long id)：获取设备详情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updateDevice(DeviceDTO dto)：更新设备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updateStatus(Long id, Integer status)：更新状态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getDeviceList(QueryParam param)：查询设备列表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addMaintain(MaintainDTO dto)：添加维护记录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5.1.2 DeviceService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主要方法：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createDevice(Device device)：创建设备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updateDevice(Device device)：更新设备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updateStatus(Long id, Integer status)：更新状态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addMaintain(Maintain maintain)：添加维护记录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getMaintainList(Long deviceId)：获取维护记录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5.2 设备状态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状态码</w:t>
            </w:r>
          </w:p>
        </w:tc>
        <w:tc>
          <w:tcPr>
            <w:tcW w:type="dxa" w:w="2880"/>
          </w:tcPr>
          <w:p>
            <w:r>
              <w:t>状态名称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>
              <w:t>设备正常运行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维修中</w:t>
            </w:r>
          </w:p>
        </w:tc>
        <w:tc>
          <w:tcPr>
            <w:tcW w:type="dxa" w:w="2880"/>
          </w:tcPr>
          <w:p>
            <w:r>
              <w:t>设备正在维修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停用</w:t>
            </w:r>
          </w:p>
        </w:tc>
        <w:tc>
          <w:tcPr>
            <w:tcW w:type="dxa" w:w="2880"/>
          </w:tcPr>
          <w:p>
            <w:r>
              <w:t>设备已停用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报废</w:t>
            </w:r>
          </w:p>
        </w:tc>
        <w:tc>
          <w:tcPr>
            <w:tcW w:type="dxa" w:w="2880"/>
          </w:tcPr>
          <w:p>
            <w:r>
              <w:t>设备已报废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6. 接口服务详细设计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6.1 类设计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6.1.1 HL7Controller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主要方法：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receiveORM(String hl7Message)：接收ORM消息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sendORU(Long reportId)：发送ORU消息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getMessageStatus(String msgId)：获取消息状态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6.1.2 HL7Service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主要方法：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parseORM(String hl7Message)：解析ORM消息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createApplyFromORM(ORMMessage msg)：从ORM创建申请单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buildORU(Long reportId)：构建ORU消息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sendMessage(String message, String targetUrl)：发送消息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handleAck(String ackMessage)：处理ACK响应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6.1.3 AIController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主要方法：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diagnose(DiagnoseDTO dto)：AI辅助诊断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getDiagnoseHistory(Long sampleId)：获取诊断历史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6.1.4 AIService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主要方法：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callAIDiagnose(List&lt;Result&gt; results)：调用AI接口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formatResults(List&lt;Result&gt; results)：格式化检验结果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parseDiagnoseResult(String result)：解析诊断结果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6.2 HL7消息处理流程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6.2.1 ORM消息接收流程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1. 接收HL7 ORM消息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2. 使用HAPI库解析消息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 提取患者信息（PID段）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4. 提取检验项目信息（OBR段、OBX段）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 创建或更新患者信息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6. 创建检验申请单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7. 生成ACK确认消息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8. 返回ACK消息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6.2.2 ORU消息发送流程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1. 检验报告审核通过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2. 查询报告详情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 构建HL7 ORU消息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4. 发送消息至HIS系统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 接收ACK确认消息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6. 更新消息发送状态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6.3 AI诊断流程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1. 检验结果录入完成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2. 格式化检验结果为AI接口输入格式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 调用AI诊断接口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4. 接收AI诊断结果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 解析并存储诊断意见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6. 展示给检验医师参考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7. 前端详细设计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 项目结构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src/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├── api/          # API接口封装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├── assets/       # 静态资源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├── components/   # 公共组件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├── router/       # 路由配置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├── store/        # Pinia状态管理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├── utils/        # 工具函数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└── views/        # 页面视图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├── login/    # 登录页面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├── doctor/   # 临床医生端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├── lab/      # 检验医师端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└── admin/    # 管理员端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7.2 路由设计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路由路径</w:t>
            </w:r>
          </w:p>
        </w:tc>
        <w:tc>
          <w:tcPr>
            <w:tcW w:type="dxa" w:w="4320"/>
          </w:tcPr>
          <w:p>
            <w:r>
              <w:t>页面说明</w:t>
            </w:r>
          </w:p>
        </w:tc>
      </w:tr>
      <w:tr>
        <w:tc>
          <w:tcPr>
            <w:tcW w:type="dxa" w:w="4320"/>
          </w:tcPr>
          <w:p>
            <w:r>
              <w:t>/login</w:t>
            </w:r>
          </w:p>
        </w:tc>
        <w:tc>
          <w:tcPr>
            <w:tcW w:type="dxa" w:w="4320"/>
          </w:tcPr>
          <w:p>
            <w:r>
              <w:t>登录页面</w:t>
            </w:r>
          </w:p>
        </w:tc>
      </w:tr>
      <w:tr>
        <w:tc>
          <w:tcPr>
            <w:tcW w:type="dxa" w:w="4320"/>
          </w:tcPr>
          <w:p>
            <w:r>
              <w:t>/doctor</w:t>
            </w:r>
          </w:p>
        </w:tc>
        <w:tc>
          <w:tcPr>
            <w:tcW w:type="dxa" w:w="4320"/>
          </w:tcPr>
          <w:p>
            <w:r>
              <w:t>医生首页</w:t>
            </w:r>
          </w:p>
        </w:tc>
      </w:tr>
      <w:tr>
        <w:tc>
          <w:tcPr>
            <w:tcW w:type="dxa" w:w="4320"/>
          </w:tcPr>
          <w:p>
            <w:r>
              <w:t>/doctor/patient</w:t>
            </w:r>
          </w:p>
        </w:tc>
        <w:tc>
          <w:tcPr>
            <w:tcW w:type="dxa" w:w="4320"/>
          </w:tcPr>
          <w:p>
            <w:r>
              <w:t>患者管理</w:t>
            </w:r>
          </w:p>
        </w:tc>
      </w:tr>
      <w:tr>
        <w:tc>
          <w:tcPr>
            <w:tcW w:type="dxa" w:w="4320"/>
          </w:tcPr>
          <w:p>
            <w:r>
              <w:t>/doctor/apply</w:t>
            </w:r>
          </w:p>
        </w:tc>
        <w:tc>
          <w:tcPr>
            <w:tcW w:type="dxa" w:w="4320"/>
          </w:tcPr>
          <w:p>
            <w:r>
              <w:t>检验申请</w:t>
            </w:r>
          </w:p>
        </w:tc>
      </w:tr>
      <w:tr>
        <w:tc>
          <w:tcPr>
            <w:tcW w:type="dxa" w:w="4320"/>
          </w:tcPr>
          <w:p>
            <w:r>
              <w:t>/doctor/report</w:t>
            </w:r>
          </w:p>
        </w:tc>
        <w:tc>
          <w:tcPr>
            <w:tcW w:type="dxa" w:w="4320"/>
          </w:tcPr>
          <w:p>
            <w:r>
              <w:t>报告查询</w:t>
            </w:r>
          </w:p>
        </w:tc>
      </w:tr>
      <w:tr>
        <w:tc>
          <w:tcPr>
            <w:tcW w:type="dxa" w:w="4320"/>
          </w:tcPr>
          <w:p>
            <w:r>
              <w:t>/lab</w:t>
            </w:r>
          </w:p>
        </w:tc>
        <w:tc>
          <w:tcPr>
            <w:tcW w:type="dxa" w:w="4320"/>
          </w:tcPr>
          <w:p>
            <w:r>
              <w:t>检验首页</w:t>
            </w:r>
          </w:p>
        </w:tc>
      </w:tr>
      <w:tr>
        <w:tc>
          <w:tcPr>
            <w:tcW w:type="dxa" w:w="4320"/>
          </w:tcPr>
          <w:p>
            <w:r>
              <w:t>/lab/sample</w:t>
            </w:r>
          </w:p>
        </w:tc>
        <w:tc>
          <w:tcPr>
            <w:tcW w:type="dxa" w:w="4320"/>
          </w:tcPr>
          <w:p>
            <w:r>
              <w:t>标本管理</w:t>
            </w:r>
          </w:p>
        </w:tc>
      </w:tr>
      <w:tr>
        <w:tc>
          <w:tcPr>
            <w:tcW w:type="dxa" w:w="4320"/>
          </w:tcPr>
          <w:p>
            <w:r>
              <w:t>/lab/exam</w:t>
            </w:r>
          </w:p>
        </w:tc>
        <w:tc>
          <w:tcPr>
            <w:tcW w:type="dxa" w:w="4320"/>
          </w:tcPr>
          <w:p>
            <w:r>
              <w:t>检验录入</w:t>
            </w:r>
          </w:p>
        </w:tc>
      </w:tr>
      <w:tr>
        <w:tc>
          <w:tcPr>
            <w:tcW w:type="dxa" w:w="4320"/>
          </w:tcPr>
          <w:p>
            <w:r>
              <w:t>/lab/report</w:t>
            </w:r>
          </w:p>
        </w:tc>
        <w:tc>
          <w:tcPr>
            <w:tcW w:type="dxa" w:w="4320"/>
          </w:tcPr>
          <w:p>
            <w:r>
              <w:t>报告审核</w:t>
            </w:r>
          </w:p>
        </w:tc>
      </w:tr>
      <w:tr>
        <w:tc>
          <w:tcPr>
            <w:tcW w:type="dxa" w:w="4320"/>
          </w:tcPr>
          <w:p>
            <w:r>
              <w:t>/admin</w:t>
            </w:r>
          </w:p>
        </w:tc>
        <w:tc>
          <w:tcPr>
            <w:tcW w:type="dxa" w:w="4320"/>
          </w:tcPr>
          <w:p>
            <w:r>
              <w:t>管理首页</w:t>
            </w:r>
          </w:p>
        </w:tc>
      </w:tr>
      <w:tr>
        <w:tc>
          <w:tcPr>
            <w:tcW w:type="dxa" w:w="4320"/>
          </w:tcPr>
          <w:p>
            <w:r>
              <w:t>/admin/user</w:t>
            </w:r>
          </w:p>
        </w:tc>
        <w:tc>
          <w:tcPr>
            <w:tcW w:type="dxa" w:w="4320"/>
          </w:tcPr>
          <w:p>
            <w:r>
              <w:t>用户管理</w:t>
            </w:r>
          </w:p>
        </w:tc>
      </w:tr>
      <w:tr>
        <w:tc>
          <w:tcPr>
            <w:tcW w:type="dxa" w:w="4320"/>
          </w:tcPr>
          <w:p>
            <w:r>
              <w:t>/admin/device</w:t>
            </w:r>
          </w:p>
        </w:tc>
        <w:tc>
          <w:tcPr>
            <w:tcW w:type="dxa" w:w="4320"/>
          </w:tcPr>
          <w:p>
            <w:r>
              <w:t>设备管理</w:t>
            </w:r>
          </w:p>
        </w:tc>
      </w:tr>
      <w:tr>
        <w:tc>
          <w:tcPr>
            <w:tcW w:type="dxa" w:w="4320"/>
          </w:tcPr>
          <w:p>
            <w:r>
              <w:t>/admin/statistics</w:t>
            </w:r>
          </w:p>
        </w:tc>
        <w:tc>
          <w:tcPr>
            <w:tcW w:type="dxa" w:w="4320"/>
          </w:tcPr>
          <w:p>
            <w:r>
              <w:t>数据统计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7.3 组件设计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7.3.1 公共组件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Layout：页面布局组件（侧边栏+头部+内容区）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Sidebar：侧边栏导航组件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Header：页面头部组件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Pagination：分页组件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SearchForm：搜索表单组件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DataTable：数据表格组件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7.3.2 业务组件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PatientForm：患者信息表单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ApplyForm：检验申请表单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ResultInput：结果录入组件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ReportViewer：报告查看组件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SampleTrace：标本轨迹组件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DiagnosePanel：AI诊断面板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7.4 状态管理设计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7.4.1 User Store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state：token, userInfo, permissions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actions：login, logout, getUserInfo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getters：isLoggedIn, userRole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7.4.2 App Store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state：sidebarCollapsed, currentRoute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actions：toggleSidebar, setCurrentRoute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7.5 API封装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使用Axios封装HTTP请求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统一处理请求拦截（添加Token）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统一处理响应拦截（错误处理）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按模块封装API：userApi, sampleApi, examApi等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