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32167">
      <w:pPr>
        <w:widowControl w:val="0"/>
        <w:jc w:val="center"/>
        <w:rPr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华北水利水电大学本科生毕业设计（论文）开题报告</w:t>
      </w:r>
    </w:p>
    <w:tbl>
      <w:tblPr>
        <w:tblStyle w:val="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12"/>
        <w:gridCol w:w="1042"/>
        <w:gridCol w:w="1536"/>
        <w:gridCol w:w="873"/>
        <w:gridCol w:w="2875"/>
      </w:tblGrid>
      <w:tr w14:paraId="6C8E62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1440" w:type="dxa"/>
            <w:tcBorders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9053579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学生姓名</w:t>
            </w:r>
          </w:p>
        </w:tc>
        <w:tc>
          <w:tcPr>
            <w:tcW w:w="141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E1409F">
            <w:pPr>
              <w:widowControl w:val="0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孙亚鑫</w:t>
            </w:r>
          </w:p>
        </w:tc>
        <w:tc>
          <w:tcPr>
            <w:tcW w:w="104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78C930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学号</w:t>
            </w:r>
          </w:p>
        </w:tc>
        <w:tc>
          <w:tcPr>
            <w:tcW w:w="153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CAFD79">
            <w:pPr>
              <w:widowControl w:val="0"/>
              <w:jc w:val="center"/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202218506</w:t>
            </w:r>
          </w:p>
        </w:tc>
        <w:tc>
          <w:tcPr>
            <w:tcW w:w="873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AC5EE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专业</w:t>
            </w:r>
          </w:p>
        </w:tc>
        <w:tc>
          <w:tcPr>
            <w:tcW w:w="2875" w:type="dxa"/>
            <w:tcBorders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037ED11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软件工程</w:t>
            </w:r>
          </w:p>
        </w:tc>
      </w:tr>
      <w:tr w14:paraId="2F6BE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D56000C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题目名称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4C9138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基于微服务架构的实验室管理系统设计与实现</w:t>
            </w:r>
          </w:p>
        </w:tc>
      </w:tr>
      <w:tr w14:paraId="7584C8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9BFE088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研究或设计概述</w:t>
            </w:r>
          </w:p>
          <w:p w14:paraId="311599D3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color w:val="000000"/>
              </w:rPr>
              <w:t>500</w:t>
            </w:r>
            <w:r>
              <w:rPr>
                <w:rFonts w:ascii="宋体" w:hAnsi="宋体" w:eastAsia="宋体" w:cs="宋体"/>
                <w:color w:val="000000"/>
              </w:rPr>
              <w:t>字左右）</w:t>
            </w:r>
          </w:p>
          <w:p w14:paraId="24BAF405">
            <w:pPr>
              <w:widowControl w:val="0"/>
              <w:jc w:val="center"/>
              <w:rPr>
                <w:color w:val="000000"/>
              </w:rPr>
            </w:pPr>
          </w:p>
          <w:p w14:paraId="3330186B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510DC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随着新一轮医疗改革与数字化转型的深入推进，智慧医院建设已成为医疗行业高质量发展的核心方向，而医疗实验室作为疾病诊断、治疗监测与科研创新的关键支撑部门，其管理效率与服务质量直接影响临床诊疗的时效性与准确性。</w:t>
            </w:r>
          </w:p>
          <w:p w14:paraId="0D943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根据《中国医疗信息化发展报告（2024）》数据显示，我国中小型医院占比超过 80%，这类医院的实验室普遍面临管理模式滞后、技术装备老旧、数据协同能力薄弱等问题，传统管理模式已难以适应现代医疗的发展需求。传统实验室管理主要依赖人工记录或单体架构系统，存在诸多突出痛点。在标本管理方面，标本从采集、运输、接收、检验到归档的全流程缺乏有效追踪机制，常出现标本混淆、丢失或延误的情况，据调研数据显示，约 30% 的中小型医院实验室曾发生过标本追溯失败的案例，直接影响诊断结果的准确性与诊疗效率。</w:t>
            </w:r>
          </w:p>
          <w:p w14:paraId="779BF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数据交互方面，实验室系统与医院信息系统（HIS）、电子病历系统（EMR）之间缺乏统一的接口标准，数据格式不兼容，导致检验数据无法实时共享，临床医生需手动录入或查询数据，不仅增加了工作负担，还易引发数据录入错误，据统计，人工数据传输的误差率高达 5%-8%。</w:t>
            </w:r>
          </w:p>
          <w:p w14:paraId="04DD3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在流程管理方面，检验流程繁琐且缺乏标准化规范，从申请单提交、标本接收、检验操作到报告审核的每个环节均依赖人工衔接，流程冗长且易出现遗漏，平均一份检验报告的周转时间长达 2-3 小时，难以满足临床急症诊疗的时效性要求。</w:t>
            </w:r>
          </w:p>
          <w:p w14:paraId="4D7EC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此外，传统单体系统扩展性差，当实验室新增检验项目、扩大业务规模或对接新的医疗系统时，需对整个系统进行重构，维护成本高且风险大。微服务架构作为一种分布式架构模式，将应用程序拆分为多个相互独立、高内聚、低耦合的微服务模块，每个模块可独立开发、部署与扩展，完美契合了医疗实验室管理系统的模块化升级需求。</w:t>
            </w:r>
          </w:p>
          <w:p w14:paraId="2FC2A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同时，HL7（Health Level Seven）标准作为医疗信息交换的国际标准，为不同医疗系统间的数据互通提供了统一规范，有效解决了数据格式不兼容的问题。</w:t>
            </w:r>
          </w:p>
          <w:p w14:paraId="23F76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近年来，微服务架构与 HL7 标准在医疗信息化领域的应用逐渐普及，为实验室管理系统的智能化转型提供了成熟的技术支撑。</w:t>
            </w:r>
          </w:p>
          <w:p w14:paraId="2B851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t>聚焦中小型医院实验室 “轻量化、实用化、易维护” 的核心需求，兼顾本科生的开发能力与技术储备，设计并实现基于微服务架构的实验室管理系统。系统以 “解决核心痛点、降低开发难度、保障实用价值” 为设计原则，在技术选型上选用成熟、易上手的技术框架，在功能设计上聚焦核心需求，简化复杂功能模块。</w:t>
            </w:r>
          </w:p>
          <w:p w14:paraId="31C9F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系统的核心设计目标包括：</w:t>
            </w:r>
          </w:p>
          <w:p w14:paraId="736C7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一是实现标本全生命周期追溯，通过 “唯一编号 + 扫码追踪” 机制，实时记录标本从采集到归档的每个节点信息，确保标本可追溯、防混淆；</w:t>
            </w:r>
          </w:p>
          <w:p w14:paraId="29CAF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二是实现跨系统数据协同，基于 HL7 标准对接 HIS 系统，实现患者信息、检验申请、检验结果等数据的实时交互，减少人工操作与数据误差；</w:t>
            </w:r>
          </w:p>
          <w:p w14:paraId="35B95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三是优化检验业务流程，通过标准化、自动化的流程设计，缩短检验报告周转时间，提升实验室运营效率；</w:t>
            </w:r>
          </w:p>
          <w:p w14:paraId="4FD27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四是构建轻量化微服务架构，确保系统具备良好的扩展性与可维护性，满足实验室未来业务扩展的需求；</w:t>
            </w:r>
          </w:p>
          <w:p w14:paraId="41591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五是简化 AI 辅助诊断模块，不自主开发复杂 AI 模型，而是集成第三方成熟的 AI 接口，为血常规、尿常规等常见检验项目提供基础的辅助诊断提示，降低开发难度。</w:t>
            </w:r>
          </w:p>
          <w:p w14:paraId="49AA8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t>的理论意义在于：丰富微服务架构在中小型医疗场景的应用研究，探索轻量化微服务方案在医疗信息化领域的实施路径，为同类系统的设计与开发提供理论参考。实践意义在于：开发的系统能够有效解决传统实验室管理的突出痛点，提升检验效率与数据准确性，降低人力与运维成本，助力中小型医院实验室实现数字化、智能化转型；同时，通过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，可深入掌握微服务架构、HL7 接口对接、前后端分离开发等核心技术，积累医疗信息化系统开发的实践经验，提升专业技能与工程实践能力。</w:t>
            </w:r>
          </w:p>
        </w:tc>
      </w:tr>
      <w:tr w14:paraId="4DAA9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5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0C1E88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主要内容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07B8F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118C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F0A43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需求分析</w:t>
            </w:r>
          </w:p>
          <w:p w14:paraId="05981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调研方法：采用 “文献调研 + 实地访谈 + 问卷调查” 相结合的方式开展需求调研。通过文献调研梳理医疗实验室管理系统的发展现状、技术趋势与行业标准，重点研究微服务架构、HL7 接口对接的相关技术文献与案例；选取 3-5 家中小型医院的实验室进行实地访谈，与临床医生、检验医师、实验室管理员各 2-3 名进行面对面交流，梳理核心业务流程与实际痛点；设计简易调查问卷，面向 100 名相关从业人员收集对系统功能、操作便捷性、性能要求等方面的意见，回收有效问卷后进行统计分析。</w:t>
            </w:r>
          </w:p>
          <w:p w14:paraId="3C4EB9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功能性需求：</w:t>
            </w:r>
          </w:p>
          <w:p w14:paraId="3C16E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用户管理模块：支持三类角色（临床医生、检验医师、管理员）的注册、登录、权限分配与个人信息管理。临床医生可提交检验申请、查询检验报告；检验医师可接收标本、录入检验数据、审核报告；管理员可管理用户账号、配置系统参数、维护基础数据。</w:t>
            </w:r>
          </w:p>
          <w:p w14:paraId="399C0B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标本管理模块：实现标本采集、接收、检验、归档的全流程管理。支持标本唯一编号生成、扫码登记、状态实时更新（待接收、检验中、已完成、已归档），可查询标本的全生命周期轨迹，支持标本异常情况（如标本损坏、信息不全）的登记与处理。</w:t>
            </w:r>
          </w:p>
          <w:p w14:paraId="23039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3）检验管理模块：支持检验项目的维护与分类管理，临床医生可根据患者病情选择检验项目提交申请；检验医师可接收检验任务，录入检验数据，系统自动生成标准化检验报告，支持报告的修改、审核与打印。</w:t>
            </w:r>
          </w:p>
          <w:p w14:paraId="20666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（4）设备管理模块：实现实验室设备的基础信息管理（名称、型号、购置日期、维护记录等）与状态监控，支持设备故障登记、维修申请与维护记录查询，为设备维护计划的制定提供数据支持。</w:t>
            </w:r>
          </w:p>
          <w:p w14:paraId="325CC2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（5）HL7 接口对接模块：基于 HAPI-HL7 框架，实现与 HIS 系统的基础数据交互，包括患者基本信息、检验申请单信息的导入，以及检验报告的导出，确保数据格式符合 HL7 标准，交互准确无误。</w:t>
            </w:r>
          </w:p>
          <w:p w14:paraId="4E946E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（6）数据统计模块：支持基础的运营数据统计，包括每日 / 每周检验量、检验报告周转时间、设备使用率等，生成简易统计报表，为实验室管理决策提供数据参考。</w:t>
            </w:r>
          </w:p>
          <w:p w14:paraId="6EF68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（7）AI 辅助诊断模块：集成第三方 AI 诊断接口，针对血常规、尿常规、肝功能三类常见检验项目，自动识别异常指标，生成辅助诊断提示，标注 “仅供参考”，需经检验医师审核后生效。</w:t>
            </w:r>
          </w:p>
          <w:p w14:paraId="13E54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非功能性需求：</w:t>
            </w:r>
          </w:p>
          <w:p w14:paraId="22E004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（1）性能要求：日常并发用户数≤30 人时，核心功能响应时间≤3 秒；系统稳定运行时间≥99%，无频繁卡顿或崩溃现象；单份检验报告的生成时间≤10 秒。（2）安全要求：采用 JWT 身份认证机制，保障用户账号安全；对患者信息、检验数据等敏感数据进行加密存储与传输，符合医疗数据安全规范；支持操作日志记录，便于追溯异常操作。</w:t>
            </w:r>
          </w:p>
          <w:p w14:paraId="00A90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（3）易用性要求：界面设计简洁直观，操作流程清晰，符合医疗从业人员的使用习惯；支持主流浏览器（Chrome、Edge、Firefox）访问，无需安装专用客户端；提供简单的操作指引，降低学习成本。</w:t>
            </w:r>
          </w:p>
          <w:p w14:paraId="7CB565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（4）兼容性要求：兼容中小型医院常用的 HIS 系统版本，支持数据格式的灵活适配；前端页面支持响应式布局，适配不同尺寸的电脑屏幕。</w:t>
            </w:r>
          </w:p>
          <w:p w14:paraId="3DF78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二、系统设计</w:t>
            </w:r>
          </w:p>
          <w:p w14:paraId="32612E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架构设计：采用 “轻量化微服务 + BS 架构”，基于 Spring Cloud Alibaba 与 Vue.js 技术栈构建系统。后端拆分为 5 个核心微服务模块：用户服务（负责用户注册、登录、权限管理）、标本服务（负责标本全流程管理）、检验服务（负责检验申请、报告生成）、设备服务（负责设备管理与状态监控）、接口服务（负责 HL7 接口对接与 AI 接口调用）。采用 Nacos 实现服务注册与发现，Sentinel 实现基础的限流熔断，确保系统稳定运行；前端采用 Vue.js+Element UI 构建交互页面，实现多角色的个性化操作界面。</w:t>
            </w:r>
          </w:p>
          <w:p w14:paraId="437F09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数据库设计：选用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MYSQL</w:t>
            </w:r>
            <w:r>
              <w:rPr>
                <w:rFonts w:ascii="宋体" w:hAnsi="宋体" w:eastAsia="宋体" w:cs="宋体"/>
                <w:sz w:val="24"/>
                <w:szCs w:val="24"/>
              </w:rPr>
              <w:t>作为数据库，设计核心数据表包括：用户表（存储用户账号、密码、角色、个人信息等）、患者表（存储患者基本信息）、标本表（存储标本编号、患者 ID、采集时间、状态等）、检验申请单表（存储申请单号、患者 ID、申请项目、申请医生等）、检验项目表（存储检验项目名称、代码、参考范围等）、检验结果表（存储标本 ID、检验项目 ID、检验数据、异常标识等）、设备表（存储设备基础信息）、维护记录表（存储设备维护与故障记录）、操作日志表（存储用户操作记录）。绘制 E-R 图明确数据表之间的关联关系，确保数据结构合理、冗余度低。</w:t>
            </w:r>
          </w:p>
          <w:p w14:paraId="4F907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前端原型设计：使用 Axure 绘制前端原型，遵循 “简洁、高效、易用” 的设计原则。针对不同角色设计个性化首页，展示核心功能入口与常用数据；标本管理页面采用扫码录入功能，简化登记操作；检验报告页面采用标准化模板，支持数据的批量录入与自动计算；数据统计页面采用图表化展示，直观呈现统计结果。</w:t>
            </w:r>
          </w:p>
          <w:p w14:paraId="587B66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三、系统实现</w:t>
            </w:r>
          </w:p>
          <w:p w14:paraId="52458B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前端实现：基于 Vue.js+Element UI 框架开发前端页面，采用组件化开发模式，拆分通用组件（如导航栏、表单组件、表格组件），提高开发效率与代码复用性。实现用户登录、角色权限控制、菜单动态渲染等基础功能；开发标本登记页面，集成扫码插件，支持摄像头扫码或图片上传扫码；开发检验报告生成页面，实现检验数据的录入、保存、修改与审核功能，支持参考范围自动比对与异常指标标注；开发数据统计页面，使用 ECharts 插件绘制折线图、柱状图，展示核心统计数据。前端通过 Axios 与后端微服务进行数据交互，处理跨域问题，确保数据传输的顺畅性。</w:t>
            </w:r>
          </w:p>
          <w:p w14:paraId="42158C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后端实现：基于 Spring Boot 与 Spring Cloud Alibaba 框架开发后端微服务，每个微服务独立部署，通过 RESTful API 提供服务接口。</w:t>
            </w:r>
          </w:p>
          <w:p w14:paraId="4E2617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（1）用户服务：实现用户注册时的信息校验与密码加密存储，登录时的身份认证与 JWT 令牌生成，以及基于角色的权限控制逻辑。</w:t>
            </w:r>
          </w:p>
          <w:p w14:paraId="23650C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（2）标本服务：实现标本唯一编号的生成规则（日期 + 随机数），扫码登记功能的实现，标本状态的流转逻辑（通过状态机控制），以及标本轨迹的查询功能。</w:t>
            </w:r>
          </w:p>
          <w:p w14:paraId="20234E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（3）检验服务：实现检验申请单的接收与解析，检验数据的录入与存储，检验报告的自动生成与审核流程控制，支持报告的打印与导出（PDF 格式）。</w:t>
            </w:r>
          </w:p>
          <w:p w14:paraId="3ED70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（4）设备服务：实现设备基础信息的 CRUD 操作，设备故障登记与维修记录的管理，以及设备状态的实时更新与查询。</w:t>
            </w:r>
          </w:p>
          <w:p w14:paraId="30B65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（5）接口服务：基于 HAPI-HL7 框架，实现 HL7 消息的解析与封装，完成与 HIS 系统的基础数据交互；集成第三方 AI 诊断接口，实现检验数据的格式转换与接口调用，接收 AI 辅助诊断结果并返回给检验服务。</w:t>
            </w:r>
          </w:p>
          <w:p w14:paraId="509E32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接口联调：完成前后端接口的联调测试，解决数据格式不匹配、跨域访问、接口调用失败等问题；进行微服务之间的服务调用测试，确保服务注册、发现与通信正常；开展与 HIS 系统的对接测试（采用模拟 HIS 系统环境，避免直接对接医院生产系统的风险），验证数据交互的准确性；进行 AI 接口调用测试，确保辅助诊断提示的生成逻辑正常。</w:t>
            </w:r>
          </w:p>
          <w:p w14:paraId="4A7DD7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测试与部署</w:t>
            </w:r>
          </w:p>
          <w:p w14:paraId="724AEF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测试方案：采用 “单元测试 + 功能测试 + 接口测试” 的组合测试方式，简化性能测试与压力测试。</w:t>
            </w:r>
          </w:p>
          <w:p w14:paraId="31E41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单元测试：使用 JUnit 框架对后端核心业务逻辑（如标本编号生成、权限校验、HL7 消息解析）进行单元测试，确保核心代码的正确性。</w:t>
            </w:r>
          </w:p>
          <w:p w14:paraId="59B73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功能测试：采用人工测试方式，针对每个功能模块设计测试用例，覆盖正常场景与异常场景（如必填项为空、输入非法数据、重复提交等），验证功能是否符合需求规格。</w:t>
            </w:r>
          </w:p>
          <w:p w14:paraId="64B456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接口测试：使用 Postman 工具对后端所有 API 接口进行测试，验证接口的响应速度、返回格式、错误处理是否符合要求；测试 HL7 接口与 AI 接口的调用成功率与数据准确性。</w:t>
            </w:r>
          </w:p>
          <w:p w14:paraId="57944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缺陷修复：对测试过程中发现的 bug 进行分类记录，优先修复影响核心流程的严重缺陷，逐步优化次要缺陷，确保系统核心功能正常可用。</w:t>
            </w:r>
          </w:p>
          <w:p w14:paraId="126228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部署方案：采用 Docker 容器化部署方式，降低部署难度与环境配置复杂度。</w:t>
            </w:r>
          </w:p>
          <w:p w14:paraId="405D18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环境准备：搭建本地 Docker 环境，或选用阿里云轻量应用服务器（配置适中，成本较低），安装 Docker、MySQL、Nginx 等基础软件。</w:t>
            </w:r>
          </w:p>
          <w:p w14:paraId="6A257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容器化打包：将每个微服务、前端项目分别打包为 Docker 镜像，配置镜像的启动参数与依赖关系。</w:t>
            </w:r>
          </w:p>
          <w:p w14:paraId="5FCA8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部署配置：使用 Docker Compose 编排容器，实现微服务、数据库、前端项目的一键启动；配置 Nginx 作为反向代理，实现前端页面的访问与后端接口的转发；设置数据库定时备份策略，保障数据安全。</w:t>
            </w:r>
          </w:p>
          <w:p w14:paraId="02D80D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（4）运维机制：建立简单的运维日志记录，监控系统运行状态；制定基础的故障处理预案，如数据库连接失败、服务无法启动等常见问题的排查方法。</w:t>
            </w:r>
          </w:p>
        </w:tc>
      </w:tr>
      <w:tr w14:paraId="31020A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2FA5C3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主要参考文献（不少于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篇</w:t>
            </w:r>
            <w:r>
              <w:rPr>
                <w:rFonts w:hint="eastAsia" w:ascii="宋体" w:hAnsi="宋体" w:eastAsia="宋体" w:cs="宋体"/>
                <w:color w:val="000000"/>
              </w:rPr>
              <w:t>，至少一篇外文文献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1C18375F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[1]杨昆,李华昌,史烨弘.微服务架构在LIMS设计中的应用[J].宇航计测技术,2022,42(06):84-87.</w:t>
            </w:r>
          </w:p>
          <w:p w14:paraId="3D9FB3D3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[2]李祥,金安安.基于Spring Cloud微服务架构的开放实验室管理系统构建研究与实践[J].中国教育信息化,2021,(01):55-59.</w:t>
            </w:r>
          </w:p>
          <w:p w14:paraId="709CE79C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[3]张洋,章鲁瑶,樊金宇,等.基于大数据的医院检验信息管理系统的设计与构建[J].电子元器件与信息技术,2021,5(03):38-39.DOI:10.19772/j.cnki.2096-4455.2021.3.019.</w:t>
            </w:r>
          </w:p>
          <w:p w14:paraId="069D2622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[4]王永平.中医院检验信息系统（LIS）的分析与开发[D].兰州大学,2011.</w:t>
            </w:r>
          </w:p>
          <w:p w14:paraId="7D453101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[5]欧阳辉.医院实验室信息管理系统的设计与应用[J].电脑知识与技术,2024,20(35):56-58.DOI:10.14004/j.cnki.ckt.2024.1801.</w:t>
            </w:r>
          </w:p>
          <w:p w14:paraId="65EB04F2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[6]郭天伟.医院实验室信息系统数据传输技术分析探讨[J].实验室检测,2024,2(03):72-75.</w:t>
            </w:r>
          </w:p>
          <w:p w14:paraId="520BFF90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[7]辛园园,钮俊,谢志军,等.微服务体系结构实现框架综述[J].计算机工程与应用,2018,54(19):10-17.</w:t>
            </w:r>
          </w:p>
          <w:p w14:paraId="508FB506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[8]冯志勇,徐砚伟,薛霄,等.微服务技术发展的现状与展望[J].计算机研究与发展,2020,57(05):1103-1122.</w:t>
            </w:r>
          </w:p>
          <w:p w14:paraId="33271AF8">
            <w:pPr>
              <w:widowControl w:val="0"/>
              <w:ind w:firstLine="48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[9]王方旭.基于Spring Cloud实现业务系统微服务化的设计与实现[J].电子技术与软件工程,2018,(08):60-61.DOI:10.20109/j.cnki.etse.2018.08.046. </w:t>
            </w:r>
          </w:p>
          <w:p w14:paraId="5311DE0D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[10]张雷,王悦.基于SpringBoot微服务架构下的MVC模型研究[J].安徽电子信息职业技术学院学报,2018,17(04):1-9. </w:t>
            </w:r>
            <w:r>
              <w:rPr>
                <w:rFonts w:ascii="宋体" w:hAnsi="宋体" w:eastAsia="宋体" w:cs="宋体"/>
                <w:color w:val="000000"/>
              </w:rPr>
              <w:t>讯</w:t>
            </w:r>
            <w:r>
              <w:rPr>
                <w:color w:val="000000"/>
              </w:rPr>
              <w:t>,2025,23(07):26-28.</w:t>
            </w:r>
          </w:p>
          <w:p w14:paraId="6F808883">
            <w:pPr>
              <w:widowControl w:val="0"/>
              <w:rPr>
                <w:color w:val="000000"/>
              </w:rPr>
            </w:pPr>
            <w:bookmarkStart w:id="0" w:name="_GoBack"/>
            <w:bookmarkEnd w:id="0"/>
          </w:p>
        </w:tc>
      </w:tr>
      <w:tr w14:paraId="2C2B3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3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4A01FA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采取的主要技术路线或方法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690A7A48">
            <w:pPr>
              <w:widowControl w:val="0"/>
              <w:ind w:firstLine="480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开发技术：前端采用 Vue.js、Element UI 构建响应式页面；后端基于 Spring Cloud Alibaba 框架实现微服务集群，集成 Nacos 服务注册发现、Sentinel 限流熔断；通过 HAPI-HL7 实现消息解析，调用 AI 诊断接口完成辅助诊断功能；采用 JWT 实现身份认证，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MYSQL</w:t>
            </w:r>
            <w:r>
              <w:rPr>
                <w:rFonts w:hint="eastAsia" w:ascii="宋体" w:hAnsi="宋体" w:eastAsia="宋体" w:cs="宋体"/>
                <w:color w:val="000000"/>
              </w:rPr>
              <w:t>存储业务数据。</w:t>
            </w:r>
          </w:p>
          <w:p w14:paraId="46F977E9">
            <w:pPr>
              <w:widowControl w:val="0"/>
              <w:ind w:firstLine="480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测试方法：实施单元测试（JUnit）、功能测试（Selenium）、性能测试（JMeter）及接口测试（Postman），覆盖核心模块与全流程业务。</w:t>
            </w:r>
          </w:p>
          <w:p w14:paraId="16A3FCF0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部署方法：采用 Docker 容器化技术打包微服务，基于阿里云 ECS 部署，配置 Nginx 反向代理与负载均衡，实现系统公网访问。</w:t>
            </w:r>
          </w:p>
        </w:tc>
      </w:tr>
      <w:tr w14:paraId="5F656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4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F413E9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时间安排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21AC7935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1 - 2 </w:t>
            </w:r>
            <w:r>
              <w:rPr>
                <w:rFonts w:ascii="宋体" w:hAnsi="宋体" w:eastAsia="宋体" w:cs="宋体"/>
                <w:color w:val="000000"/>
              </w:rPr>
              <w:t>周：全面熟悉共享自习室管理系统的设计资料与设计要求，深入分析研究后，撰写并完成开题报告，明确设计方向与目标。</w:t>
            </w:r>
          </w:p>
          <w:p w14:paraId="70B2BC7E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3 </w:t>
            </w:r>
            <w:r>
              <w:rPr>
                <w:rFonts w:ascii="宋体" w:hAnsi="宋体" w:eastAsia="宋体" w:cs="宋体"/>
                <w:color w:val="000000"/>
              </w:rPr>
              <w:t>周：开展详细设计工作，搭建应用开发环境，熟练掌握相关开发软件，为系统开发奠定坚实基础。</w:t>
            </w:r>
          </w:p>
          <w:p w14:paraId="13F6309A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4 - 5 </w:t>
            </w:r>
            <w:r>
              <w:rPr>
                <w:rFonts w:ascii="宋体" w:hAnsi="宋体" w:eastAsia="宋体" w:cs="宋体"/>
                <w:color w:val="000000"/>
              </w:rPr>
              <w:t>周：进行系统架构、功能模块等全方位的系统设计，构建系统整体框架。</w:t>
            </w:r>
          </w:p>
          <w:p w14:paraId="66B33D1D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6 - 7 </w:t>
            </w:r>
            <w:r>
              <w:rPr>
                <w:rFonts w:ascii="宋体" w:hAnsi="宋体" w:eastAsia="宋体" w:cs="宋体"/>
                <w:color w:val="000000"/>
              </w:rPr>
              <w:t>周：依据系统设计，编写可运行代码，逐步实现座位管理、用户管理等各项预定功能。</w:t>
            </w:r>
          </w:p>
          <w:p w14:paraId="053C7215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8 - 9 </w:t>
            </w:r>
            <w:r>
              <w:rPr>
                <w:rFonts w:ascii="宋体" w:hAnsi="宋体" w:eastAsia="宋体" w:cs="宋体"/>
                <w:color w:val="000000"/>
              </w:rPr>
              <w:t>周：对已编写的代码进行优化完善，提升代码质量与系统性能。</w:t>
            </w:r>
          </w:p>
          <w:p w14:paraId="7AF13C5C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10 </w:t>
            </w:r>
            <w:r>
              <w:rPr>
                <w:rFonts w:ascii="宋体" w:hAnsi="宋体" w:eastAsia="宋体" w:cs="宋体"/>
                <w:color w:val="000000"/>
              </w:rPr>
              <w:t>周：对系统进行全面测试，针对测试中发现的问题及时修改，不断完善系统，确保系统稳定可靠。</w:t>
            </w:r>
          </w:p>
          <w:p w14:paraId="13A5801F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11 </w:t>
            </w:r>
            <w:r>
              <w:rPr>
                <w:rFonts w:ascii="宋体" w:hAnsi="宋体" w:eastAsia="宋体" w:cs="宋体"/>
                <w:color w:val="000000"/>
              </w:rPr>
              <w:t>周：着手撰写毕业论文，精心构思论文框架，梳理研究思路与成果。</w:t>
            </w:r>
          </w:p>
          <w:p w14:paraId="4F30F1EA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12 </w:t>
            </w:r>
            <w:r>
              <w:rPr>
                <w:rFonts w:ascii="宋体" w:hAnsi="宋体" w:eastAsia="宋体" w:cs="宋体"/>
                <w:color w:val="000000"/>
              </w:rPr>
              <w:t>周：与导师积极交流，根据导师意见对论文进行修改，完善论文细节，提升论文质量。</w:t>
            </w:r>
          </w:p>
          <w:p w14:paraId="23BD70E1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13 </w:t>
            </w:r>
            <w:r>
              <w:rPr>
                <w:rFonts w:ascii="宋体" w:hAnsi="宋体" w:eastAsia="宋体" w:cs="宋体"/>
                <w:color w:val="000000"/>
              </w:rPr>
              <w:t>周：提交毕业论文进行评审，同时充分准备答辩相关事宜，梳理重点内容。</w:t>
            </w:r>
          </w:p>
          <w:p w14:paraId="35A03D88">
            <w:pPr>
              <w:widowControl w:val="0"/>
              <w:ind w:firstLine="480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color w:val="000000"/>
              </w:rPr>
              <w:t xml:space="preserve"> 14 </w:t>
            </w:r>
            <w:r>
              <w:rPr>
                <w:rFonts w:ascii="宋体" w:hAnsi="宋体" w:eastAsia="宋体" w:cs="宋体"/>
                <w:color w:val="000000"/>
              </w:rPr>
              <w:t>周：进行毕业设计答辩，展示毕业设计成果，回答提问</w:t>
            </w:r>
            <w:r>
              <w:rPr>
                <w:color w:val="000000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。</w:t>
            </w:r>
          </w:p>
        </w:tc>
      </w:tr>
      <w:tr w14:paraId="740469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  <w:jc w:val="center"/>
        </w:trPr>
        <w:tc>
          <w:tcPr>
            <w:tcW w:w="144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A3F7FB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指导教师意见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591EF699">
            <w:pPr>
              <w:widowControl w:val="0"/>
              <w:ind w:firstLine="480"/>
              <w:rPr>
                <w:color w:val="000000"/>
              </w:rPr>
            </w:pPr>
          </w:p>
          <w:p w14:paraId="13E73E13">
            <w:pPr>
              <w:widowControl w:val="0"/>
              <w:jc w:val="center"/>
              <w:rPr>
                <w:color w:val="000000"/>
              </w:rPr>
            </w:pPr>
          </w:p>
          <w:p w14:paraId="2CA3863D">
            <w:pPr>
              <w:widowControl w:val="0"/>
              <w:jc w:val="center"/>
              <w:rPr>
                <w:rFonts w:hint="eastAsia"/>
                <w:color w:val="000000"/>
              </w:rPr>
            </w:pPr>
          </w:p>
          <w:p w14:paraId="2945275C">
            <w:pPr>
              <w:widowControl w:val="0"/>
              <w:jc w:val="righ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签 名：</w:t>
            </w:r>
          </w:p>
          <w:p w14:paraId="5D03C0B3">
            <w:pPr>
              <w:widowControl w:val="0"/>
              <w:jc w:val="righ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 xml:space="preserve">  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日</w:t>
            </w:r>
          </w:p>
        </w:tc>
      </w:tr>
      <w:tr w14:paraId="1A9462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  <w:jc w:val="center"/>
        </w:trPr>
        <w:tc>
          <w:tcPr>
            <w:tcW w:w="1440" w:type="dxa"/>
            <w:tcBorders>
              <w:top w:val="single" w:color="000000" w:sz="6" w:space="0"/>
              <w:righ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84D1844">
            <w:pPr>
              <w:widowControl w:val="0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备注</w:t>
            </w:r>
          </w:p>
        </w:tc>
        <w:tc>
          <w:tcPr>
            <w:tcW w:w="7738" w:type="dxa"/>
            <w:gridSpan w:val="5"/>
            <w:tcBorders>
              <w:top w:val="single" w:color="000000" w:sz="6" w:space="0"/>
              <w:left w:val="single" w:color="000000" w:sz="6" w:space="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70A8E635">
            <w:pPr>
              <w:widowControl w:val="0"/>
              <w:ind w:firstLine="480"/>
              <w:rPr>
                <w:color w:val="000000"/>
              </w:rPr>
            </w:pPr>
          </w:p>
        </w:tc>
      </w:tr>
    </w:tbl>
    <w:p w14:paraId="4997CF1E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FE5D0"/>
    <w:multiLevelType w:val="singleLevel"/>
    <w:tmpl w:val="A08FE5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0FD868"/>
    <w:multiLevelType w:val="singleLevel"/>
    <w:tmpl w:val="AE0FD86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BB4DA4B"/>
    <w:multiLevelType w:val="singleLevel"/>
    <w:tmpl w:val="BBB4DA4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C5316DA"/>
    <w:multiLevelType w:val="singleLevel"/>
    <w:tmpl w:val="DC5316D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8AF8741"/>
    <w:multiLevelType w:val="singleLevel"/>
    <w:tmpl w:val="E8AF874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55DA87B"/>
    <w:multiLevelType w:val="singleLevel"/>
    <w:tmpl w:val="255DA87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3NTU5Y2I3NWVhYjZkNTZiOWI2ZTY4ODczZWQ0MTUifQ=="/>
  </w:docVars>
  <w:rsids>
    <w:rsidRoot w:val="00A77B3E"/>
    <w:rsid w:val="00313B97"/>
    <w:rsid w:val="0047234A"/>
    <w:rsid w:val="004A0DA2"/>
    <w:rsid w:val="005E086F"/>
    <w:rsid w:val="008B1F6E"/>
    <w:rsid w:val="00A77B3E"/>
    <w:rsid w:val="00B37322"/>
    <w:rsid w:val="00CA2A55"/>
    <w:rsid w:val="00DA7865"/>
    <w:rsid w:val="7D19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3571</Words>
  <Characters>4104</Characters>
  <Lines>129</Lines>
  <Paragraphs>113</Paragraphs>
  <TotalTime>7</TotalTime>
  <ScaleCrop>false</ScaleCrop>
  <LinksUpToDate>false</LinksUpToDate>
  <CharactersWithSpaces>4198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2026-01-05T11:30:00Z</dcterms:created>
  <dc:creator>86155</dc:creator>
  <cp:lastModifiedBy>亚キン</cp:lastModifiedBy>
  <dcterms:modified xsi:type="dcterms:W3CDTF">2026-01-24T15:19:22Z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C08ABFCE35F34D629BD4ED2438F9A350_12</vt:lpwstr>
  </property>
</Properties>
</file>