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C808E">
      <w:pPr>
        <w:widowControl w:val="0"/>
        <w:spacing w:before="0" w:after="0" w:line="580" w:lineRule="atLeast"/>
        <w:ind w:firstLine="800"/>
        <w:jc w:val="center"/>
        <w:rPr>
          <w:rFonts w:ascii="黑体" w:hAnsi="黑体" w:eastAsia="黑体" w:cs="黑体"/>
          <w:kern w:val="0"/>
          <w:sz w:val="40"/>
          <w:szCs w:val="40"/>
        </w:rPr>
      </w:pPr>
      <w:r>
        <w:rPr>
          <w:rFonts w:ascii="黑体" w:hAnsi="黑体" w:eastAsia="黑体" w:cs="黑体"/>
          <w:kern w:val="0"/>
          <w:sz w:val="40"/>
          <w:szCs w:val="40"/>
        </w:rPr>
        <w:t>毕业设计（论文）任务书</w:t>
      </w:r>
    </w:p>
    <w:p w14:paraId="3A337D7D">
      <w:pPr>
        <w:widowControl w:val="0"/>
        <w:spacing w:before="0" w:after="0" w:line="580" w:lineRule="atLeast"/>
        <w:ind w:firstLine="560"/>
        <w:jc w:val="center"/>
        <w:rPr>
          <w:rFonts w:ascii="仿宋_GB2312" w:hAnsi="仿宋_GB2312" w:eastAsia="仿宋_GB2312" w:cs="仿宋_GB2312"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kern w:val="0"/>
          <w:sz w:val="28"/>
          <w:szCs w:val="28"/>
        </w:rPr>
        <w:t>（基于微服务的实验室管理系统的设计与实现）</w:t>
      </w:r>
    </w:p>
    <w:p w14:paraId="26E22CCC">
      <w:pPr>
        <w:widowControl w:val="0"/>
        <w:spacing w:before="0" w:after="0" w:line="580" w:lineRule="atLeast"/>
        <w:ind w:firstLine="560"/>
        <w:jc w:val="both"/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  <w:t>一、毕业设计（论文）目的</w:t>
      </w:r>
    </w:p>
    <w:p w14:paraId="3F12EBDC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（一）背景</w:t>
      </w:r>
    </w:p>
    <w:p w14:paraId="6226AB47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医疗实验室管理痛点：传统医院实验室管理多依赖人工记录或单体系统，存在标本流转追踪困难、检验数据与HIS/LIS系统互通性差、HL7接口适配繁琐、报告审核流程冗长等问题，易导致检验效率低、数据误差风险高，难以满足临床诊断对时效性和准确性的要求。</w:t>
      </w:r>
    </w:p>
    <w:p w14:paraId="10E58A08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智慧医院建设趋势：随着医疗信息化进入深水区，智慧医院建设聚焦“全流程数字化、管理精细化”，医院实验室作为临床诊断的核心支撑部门，亟需通过技术升级实现标本、设备、报告、人员的一体化管理，打通医疗数据孤岛，助力诊疗流程优化。</w:t>
      </w:r>
    </w:p>
    <w:p w14:paraId="0E2A0AD8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技术赋能升级：微服务架构凭借“高内聚、低耦合、可独立扩展”的优势，适配医院实验室多模块协同管理需求；HL7医疗数据交互标准为跨系统数据互通提供规范；AI辅助诊断技术则能基于检验结果快速生成初步诊断参考，进一步提升检验报告的临床价值，三者结合为实验室管理系统升级提供核心技术支撑。</w:t>
      </w:r>
    </w:p>
    <w:p w14:paraId="19034E88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（二）目的</w:t>
      </w:r>
    </w:p>
    <w:p w14:paraId="236DCB2D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提升实验室运营效率：开发整合标本管理、设备管理、报告审核、HL7对接等功能的微服务系统，实现全流程自动化管理，减少人工录入、核对等重复工作，降低数据误差与管理成本。例如，标本全流程扫码追溯、检验结果自动封装HL7消息回传，大幅缩短流转周期。</w:t>
      </w:r>
    </w:p>
    <w:p w14:paraId="0BB3262F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优化医疗协作流程：为检验医师、临床医生、管理员提供高效协同工具，临床医生可通过模拟HIS快速开立检验申请，检验医师实时接收标本、录入结果并触发AI辅助诊断，管理员一站式管控设备与权限，打通“申请-检验-报告-反馈”闭环。</w:t>
      </w:r>
    </w:p>
    <w:p w14:paraId="77BC05EF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数据驱动精准管理：系统收集标本流转效率、设备使用率、检验项目热度、AI诊断参考准确率等数据，生成可视化报表。管理者据此优化资源配置（如调整设备布局、补充高频检验耗材），提升实验室服务质量与临床适配性。</w:t>
      </w:r>
    </w:p>
    <w:p w14:paraId="31BCB4B4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强化诊断辅助支撑：通过集成AI接口，基于标准化检验数据生成初步诊断意见，为临床医生提供参考，减少漏诊、误诊风险，同时减轻检验医师报告解读压力，提升诊疗协同效率。</w:t>
      </w:r>
    </w:p>
    <w:p w14:paraId="001BEB13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（三）意义</w:t>
      </w:r>
    </w:p>
    <w:p w14:paraId="72A55E1B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社会层面：助力智慧医院建设，推动医疗实验室管理数字化、智能化转型，提升医疗服务的精准度与时效性，缩短患者诊疗等待时间，改善就医体验；为基层医院实验室提供轻量化、易部署的管理方案，促进医疗资源均衡分配。</w:t>
      </w:r>
    </w:p>
    <w:p w14:paraId="4F1CBAF1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经济层面：通过流程自动化降低医院人力与运营成本，减少因数据误差导致的重复检验支出；微服务架构支持按需扩展，避免系统整体重构的高昂成本，同时带动医疗信息化相关技术研发与应用落地，拓展产业价值。</w:t>
      </w:r>
    </w:p>
    <w:p w14:paraId="040D8F9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学术层面：综合运用微服务架构、HL7医疗标准、AI接口集成、数据库设计等多学科知识，为计算机相关专业学生提供医疗信息化场景的实践机会，锻炼系统设计、跨标准对接、技术整合等核心能力；其成果可为后续微服务与AI在医疗场景的应用研究提供案例参考与技术借鉴。</w:t>
      </w:r>
    </w:p>
    <w:p w14:paraId="26753E5E">
      <w:pPr>
        <w:widowControl w:val="0"/>
        <w:spacing w:before="0" w:after="0" w:line="580" w:lineRule="atLeast"/>
        <w:ind w:firstLine="560"/>
        <w:jc w:val="both"/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  <w:t>二、主要内容</w:t>
      </w:r>
    </w:p>
    <w:p w14:paraId="5231C6EE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（一）前期调研与需求分析</w:t>
      </w:r>
    </w:p>
    <w:p w14:paraId="31222E79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1. 市场调研</w:t>
      </w:r>
    </w:p>
    <w:p w14:paraId="38155BA7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行业现状调研：通过文献检索、医院实地走访等方式，了解当前医院实验室管理系统的应用情况（如主流产品功能、部署模式），统计不同规模医院（三甲、社区医院）实验室的管理痛点，分析数字化转型需求与趋势。</w:t>
      </w:r>
    </w:p>
    <w:p w14:paraId="393381CF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竞争态势剖析：对比现有实验室管理系统的优势与不足，重点关注微服务架构应用、HL7对接兼容性、AI功能集成等核心维度，挖掘市场空白（如中小型医院轻量化微服务方案、检验结果AI辅助解读功能缺失等），明确系统设计的差异化需求。</w:t>
      </w:r>
    </w:p>
    <w:p w14:paraId="0DE10711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2. 用户需求收集</w:t>
      </w:r>
    </w:p>
    <w:p w14:paraId="575CCB85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问卷调查：设计针对检验医师、临床医生、实验室管理员的专项问卷，收集关于标本流转效率、报告审核流程、数据查询便捷性、AI诊断功能期望等方面的需求，统计高频检验项目、核心操作流程痛点等关键信息。</w:t>
      </w:r>
    </w:p>
    <w:p w14:paraId="087C6E32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用户访谈：选取代表性用户（如三甲医院检验科医师、社区医院实验室管理员）进行深度访谈，挖掘细节需求（如标本异常处理流程、HL7消息异常反馈机制、AI诊断意见修改权限等），补充完善需求资料。</w:t>
      </w:r>
    </w:p>
    <w:p w14:paraId="4429004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3. 需求整理与建模</w:t>
      </w:r>
    </w:p>
    <w:p w14:paraId="28D4FE14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功能性需求：梳理系统核心功能，包括用户端（临床医生：申请单开立、结果查询；检验医师：标本接收、结果录入、AI诊断辅助、报告审核；管理员：用户权限管理、设备管理、数据统计）、系统对接（HL7 v2.x接口适配、模拟HIS交互）、AI辅助诊断（检验数据标准化、接口调用、结果展示）等，用用例图、功能列表详细说明。</w:t>
      </w:r>
    </w:p>
    <w:p w14:paraId="4781F19B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非功能性需求：明确性能要求（并发用户50人以内响应时间≤3秒）、兼容性要求（适配主流浏览器及医疗专用终端）、安全性要求（医疗数据加密存储与传输）、易用性要求（界面简洁、操作流程≤3步完成核心操作）。</w:t>
      </w:r>
    </w:p>
    <w:p w14:paraId="634C654D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（二）系统设计</w:t>
      </w:r>
    </w:p>
    <w:p w14:paraId="134DF62A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1. 架构设计</w:t>
      </w:r>
    </w:p>
    <w:p w14:paraId="4033D137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微服务架构选型：采用“微服务+BS架构”模式，拆分核心服务（用户服务、标本服务、报告服务、设备服务、HL7接口服务、AI辅助诊断服务），阐述各服务职责边界与协作逻辑；明确技术栈选型（Spring Cloud Alibaba、Nacos、Spring Cloud Gateway、Vue.js）。</w:t>
      </w:r>
    </w:p>
    <w:p w14:paraId="226ACB87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架构图绘制：使用专业工具绘制系统架构图，清晰标注服务拆分、组件交互、数据流向（如模拟HIS→HL7接口服务→标本服务的数据流），直观呈现系统整体框架。</w:t>
      </w:r>
    </w:p>
    <w:p w14:paraId="638DC24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2. 数据库设计</w:t>
      </w:r>
    </w:p>
    <w:p w14:paraId="2D84CD8B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数据表规划：依据功能需求设计数据库表结构，包括用户表（存储角色、权限信息）、标本表（记录标本编号、状态、流转轨迹）、申请单表（关联患者信息、检验项目）、报告表（存储检验结果、AI诊断意见）、设备表（记录设备状态、维护信息）等，确定各表主键、外键及索引，保障数据完整性。</w:t>
      </w:r>
    </w:p>
    <w:p w14:paraId="45CD5B3D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关系建模：通过E-R图展示表间关系（如用户与申请单为一对多关系、标本与报告为一对一关系），精准描述数据关联逻辑。</w:t>
      </w:r>
    </w:p>
    <w:p w14:paraId="23E1381D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3. 界面设计</w:t>
      </w:r>
    </w:p>
    <w:p w14:paraId="7D27D4FE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原型制作：运用Axure、Sketch等工具制作前端界面原型，包括模拟HIS申请单开立页面、标本接收与处理页面、报告审核与AI意见展示页面、管理员数据统计页面等。突出医疗场景适配性，如标本状态可视化、检验指标标准化展示、AI诊断意见与原始数据关联呈现。</w:t>
      </w:r>
    </w:p>
    <w:p w14:paraId="1F0A62FC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设计原则遵循：秉持简洁、专业、易用原则，色彩搭配符合医疗行业规范（避免刺眼色彩），操作按钮布局合理，关键流程（如报告审核、AI意见修改）设置明确提示，降低用户学习成本。</w:t>
      </w:r>
    </w:p>
    <w:p w14:paraId="64912790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（三）系统开发</w:t>
      </w:r>
    </w:p>
    <w:p w14:paraId="6CD2DD9C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1. 前端开发</w:t>
      </w:r>
    </w:p>
    <w:p w14:paraId="6768BDA1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技术选型与搭建：选用Vue.js+Element UI构建前端页面，搭配Axios实现前后端数据交互，搭建响应式布局项目框架，配置开发依赖与工具链。</w:t>
      </w:r>
    </w:p>
    <w:p w14:paraId="7378F0D3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页面功能实现：按原型实现各角色页面交互功能，如临床医生端申请单开立（检验项目勾选、患者信息关联）、检验医师端标本状态更新（扫码录入、手动修改）、AI诊断意见展示与编辑、管理员端数据报表可视化（折线图、柱状图）等。</w:t>
      </w:r>
    </w:p>
    <w:p w14:paraId="3264BE0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2. 后端开发</w:t>
      </w:r>
    </w:p>
    <w:p w14:paraId="7B18C69D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技术框架选定：采用Spring Boot+Spring Cloud Alibaba构建微服务集群，搭建Nacos注册/配置中心、Spring Cloud Gateway网关，配置MySQL数据库连接，初始化各服务基础组件（控制器、服务层、数据访问层）。</w:t>
      </w:r>
    </w:p>
    <w:p w14:paraId="14FF2170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业务逻辑编码：编写核心业务逻辑代码，如标本流转状态机实现、HL7消息解析与封装、AI接口调用与结果处理、基于JWT的身份认证与权限控制等；开发模拟HIS核心功能（患者信息管理、申请单提交、结果接收）。</w:t>
      </w:r>
    </w:p>
    <w:p w14:paraId="6441A45E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3. 接口开发与集成</w:t>
      </w:r>
    </w:p>
    <w:p w14:paraId="7A15DDD9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API设计：设计RESTful API规范各微服务间交互接口，定义HL7 v2.x接口（ORM检验申请、ORU检验结果）与AI辅助诊断接口的请求/响应格式、认证方式。</w:t>
      </w:r>
    </w:p>
    <w:p w14:paraId="4E350465">
      <w:pPr>
        <w:widowControl w:val="0"/>
        <w:spacing w:before="0" w:after="0" w:line="580" w:lineRule="atLeast"/>
        <w:ind w:firstLine="480"/>
        <w:jc w:val="left"/>
      </w:pPr>
      <w:r>
        <w:rPr>
          <w:rFonts w:ascii="宋体" w:hAnsi="宋体" w:eastAsia="宋体" w:cs="宋体"/>
          <w:kern w:val="0"/>
          <w:sz w:val="24"/>
          <w:lang w:val="en-US" w:eastAsia="zh-CN"/>
        </w:rPr>
        <w:t>集成测试：完成前后端联调、微服务间协作测试、HL7接口对接测试、AI接口集成测试，解决跨域、数据格式不匹配、消息解析异常等问题，保障全流程业务通畅。</w:t>
      </w:r>
    </w:p>
    <w:p w14:paraId="1EF129E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（四）系统测试</w:t>
      </w:r>
    </w:p>
    <w:p w14:paraId="7C39831F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1. 测试方案制定</w:t>
      </w:r>
    </w:p>
    <w:p w14:paraId="02FFD8A7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单元测试：针对各微服务核心模块（如标本状态转换、HL7消息解析），使用JUnit编写单元测试用例，验证单个功能组件的正确性。</w:t>
      </w:r>
    </w:p>
    <w:p w14:paraId="3E210204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功能测试：模拟真实医疗场景，测试全流程功能（申请单开立→标本接收→结果录入→AI诊断→报告审核→结果回传），验证功能完整性与流程连贯性。</w:t>
      </w:r>
    </w:p>
    <w:p w14:paraId="47A6558F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性能测试：利用JMeter设定并发用户数（日常50人、高峰100人），测试系统响应时间、吞吐量、资源利用率，评估高负荷下的运行稳定性。</w:t>
      </w:r>
    </w:p>
    <w:p w14:paraId="1FE5AF5A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接口测试：专项测试HL7接口与AI接口的兼容性、数据传输准确性、异常处理能力（如网络超时、格式错误）。</w:t>
      </w:r>
    </w:p>
    <w:p w14:paraId="1D9CC5B8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2. 测试结果分析与优化</w:t>
      </w:r>
    </w:p>
    <w:p w14:paraId="5FAA5923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缺陷记录与分析：分类记录测试中发现的功能缺陷、性能问题、接口异常，分析成因（如代码逻辑错误、SQL查询优化不足、消息格式适配问题）。</w:t>
      </w:r>
    </w:p>
    <w:p w14:paraId="45C76F02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优化整改：针对问题根源进行优化，如修正业务逻辑、优化数据库索引、完善接口异常重试机制，再次测试验证优化效果，确保系统达标。</w:t>
      </w:r>
    </w:p>
    <w:p w14:paraId="35E7EA61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（五）系统部署与维护</w:t>
      </w:r>
    </w:p>
    <w:p w14:paraId="778F7301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部署方案：选择阿里云轻量应用服务器，配置CentOS操作系统、Nginx Web服务器、MySQL数据库环境，通过Docker容器化部署微服务集群，配置域名解析与端口映射，实现公网访问。</w:t>
      </w:r>
    </w:p>
    <w:p w14:paraId="54BEF07B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维护计划：制定长期维护计划，包括系统运行状态监控（CPU、内存、数据库负载）、用户反馈收集与功能迭代、安全漏洞修复、数据备份与恢复策略，保障系统持续稳定运行。</w:t>
      </w:r>
    </w:p>
    <w:p w14:paraId="29E1B729">
      <w:pPr>
        <w:widowControl w:val="0"/>
        <w:spacing w:before="0" w:after="0" w:line="580" w:lineRule="atLeast"/>
        <w:ind w:firstLine="560"/>
        <w:jc w:val="both"/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  <w:t>三、重点解决的问题</w:t>
      </w:r>
    </w:p>
    <w:p w14:paraId="7881B0BF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（一）标本全流程追溯与管理问题</w:t>
      </w:r>
    </w:p>
    <w:p w14:paraId="32EAB3A7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传统实验室标本流转易出现丢失、混淆、状态更新不及时等问题，系统需设计科学的追溯机制：采用“标本唯一编号+扫码追踪”模式，记录从申请开立到报告回传的全节点信息（接收人、处理时间、状态变更原因）；通过状态机严格控制标本流转逻辑（接收→检验中→检验完成→报告审核→归档），避免流程混乱，确保标本可追溯、可核查。</w:t>
      </w:r>
    </w:p>
    <w:p w14:paraId="18BE01EE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（二）HL7标准对接与数据适配问题</w:t>
      </w:r>
    </w:p>
    <w:p w14:paraId="08976AF8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HL7 v2.x标准消息格式复杂，不同系统间适配难度大，需重点解决：基于HAPI-HL7开源工具封装HL7消息解析与生成模块，标准化检验项目、患者信息等核心数据的字段映射规则；设计消息异常处理机制（格式校验、数据补全、重试策略），确保与模拟HIS的双向数据交互准确无误，同时预留与真实HIS/LIS系统对接的扩展接口。</w:t>
      </w:r>
    </w:p>
    <w:p w14:paraId="52C4C8B5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（三）AI辅助诊断数据适配与临床适配问题</w:t>
      </w:r>
    </w:p>
    <w:p w14:paraId="287A0BC8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AI接口对输入数据规范性要求高，且需符合医疗场景严谨性，需解决：制定检验数据标准化规则（统一指标名称、单位、参考范围），将系统内非结构化数据转换为AI接口可识别格式；明确AI诊断意见的“辅助定位”，设计医师审核、修改权限，标注“仅供参考”提示，避免医疗风险；优化AI结果展示逻辑，关联原始检验数据与诊断依据，提升临床实用性。</w:t>
      </w:r>
    </w:p>
    <w:p w14:paraId="1C48A1F0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（四）多角色权限与医疗数据安全问题</w:t>
      </w:r>
    </w:p>
    <w:p w14:paraId="41EBD694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系统涉及多角色协同与敏感医疗数据，需保障权限隔离与数据安全：采用“角色-权限”模型，严格区分临床医生、检验医师、管理员的操作权限（如管理员可配置权限，检验医师仅能处理标本与报告）；对患者信息、检验结果等敏感数据采用AES加密存储，通过SSL/TLS保障传输安全，防止数据泄露与非法篡改；记录关键操作日志（如报告修改、权限变更），支持溯源核查。</w:t>
      </w:r>
    </w:p>
    <w:p w14:paraId="7C945D20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（五）高并发场景下系统稳定性问题</w:t>
      </w:r>
    </w:p>
    <w:p w14:paraId="2E401AEC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高峰时段（如上午检验申请集中提交）易出现系统卡顿，需优化：采用Redis缓存热门数据（如检验项目列表、设备状态），减轻数据库查询压力；通过网关限流、服务降级机制应对高并发请求；优化数据库查询语句与索引设计，提升数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lang w:val="en-US" w:eastAsia="zh-CN"/>
        </w:rPr>
        <w:t>据读写效率，确保系统在并发100人场景下仍能稳定响应。</w:t>
      </w:r>
    </w:p>
    <w:p w14:paraId="0A6E4531">
      <w:pPr>
        <w:widowControl w:val="0"/>
        <w:spacing w:before="0" w:after="0" w:line="580" w:lineRule="atLeast"/>
        <w:ind w:firstLine="560"/>
        <w:jc w:val="both"/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  <w:t>四、主要技术指标或主要参数</w:t>
      </w:r>
    </w:p>
    <w:p w14:paraId="1376A08A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（一）性能指标</w:t>
      </w:r>
    </w:p>
    <w:p w14:paraId="20529E6A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响应时间：日常并发用户50人以内，核心功能（申请单提交、标本接收、结果查询）平均响应时间≤3秒；高峰并发用户100人时，关键功能响应时间≤5秒，无明显卡顿。</w:t>
      </w:r>
    </w:p>
    <w:p w14:paraId="52372424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吞吐量：系统每小时可处理至少800次有效业务请求（含申请单开立、标本状态更新、报告审核、数据查询等），满足中小型医院实验室日常运营需求。</w:t>
      </w:r>
    </w:p>
    <w:p w14:paraId="5868509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系统可用性：保障99%的可用性，即一年故障停机时间累计不超过3.65天，支持7×24小时稳定运行（核心服务）。</w:t>
      </w:r>
    </w:p>
    <w:p w14:paraId="41F96DA8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（二）功能完整性指标</w:t>
      </w:r>
    </w:p>
    <w:p w14:paraId="1275C994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用户端功能：覆盖临床医生（申请单开立/查询、结果查看）、检验医师（标本接收/处理、结果录入、AI诊断辅助、报告审核）、管理员（用户权限管理、设备管理、数据统计）全角色核心功能；HL7接口支持ORM/ORU消息双向交互，AI辅助诊断覆盖至少3类常见检验项目（血常规、尿常规、肝功能）。</w:t>
      </w:r>
    </w:p>
    <w:p w14:paraId="4EB2C88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系统对接功能：模拟HIS与实验室系统交互成功率≥98%，AI接口调用成功率≥95%，数据传输准确率≥99.9%。</w:t>
      </w:r>
    </w:p>
    <w:p w14:paraId="0657D115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（三）兼容性指标</w:t>
      </w:r>
    </w:p>
    <w:p w14:paraId="3024F522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浏览器兼容：适配Chrome、Firefox、Safari、Edge等主流浏览器及专用浏览器，页面显示正常、交互无异常。</w:t>
      </w:r>
    </w:p>
    <w:p w14:paraId="34A83453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设备兼容：支持桌面端（台式机、笔记本）访问，响应式布局适配不同屏幕尺寸。</w:t>
      </w:r>
    </w:p>
    <w:p w14:paraId="5FC09790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（四）数据准确性指标</w:t>
      </w:r>
    </w:p>
    <w:p w14:paraId="7F2C07C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数据存储准确性：用户信息、标本状态、检验结果、订单数据等关键数据存储准确率≥99.9%，无丢失、错存现象。</w:t>
      </w:r>
    </w:p>
    <w:p w14:paraId="188E31D8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数据统计准确性：各类报表相对误差≤±3%，为运营决策提供可靠依据。</w:t>
      </w:r>
    </w:p>
    <w:p w14:paraId="58C7014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数据交互准确性：HL7消息解析与封装准确率≥99.5%，AI辅助诊断数据转换准确率≥99%，确保跨系统数据与AI输入的可靠性。</w:t>
      </w:r>
    </w:p>
    <w:p w14:paraId="0949F259">
      <w:pPr>
        <w:widowControl w:val="0"/>
        <w:spacing w:before="0" w:after="0" w:line="580" w:lineRule="atLeast"/>
        <w:ind w:firstLine="560"/>
        <w:jc w:val="both"/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  <w:t>五、基本要求</w:t>
      </w:r>
    </w:p>
    <w:p w14:paraId="15434DA4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（一）功能需求</w:t>
      </w:r>
    </w:p>
    <w:p w14:paraId="381B6F11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1. 临床医生端（模拟HIS）</w:t>
      </w:r>
    </w:p>
    <w:p w14:paraId="1240CB6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患者管理：支持患者基础信息（姓名、性别、年龄、就诊号）的录入、查询与编辑，数据存储安全加密。</w:t>
      </w:r>
    </w:p>
    <w:p w14:paraId="328FD7E3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申请单管理：可按患者查询、勾选检验项目、设置检验优先级，提交申请单后实时获取状态反馈（待接收/检验中/已完成）。</w:t>
      </w:r>
    </w:p>
    <w:p w14:paraId="0CF8F798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结果查询：接收实验室回传的检验报告，查看原始检验数据与AI初步诊断意见，支持报告打印与导出。</w:t>
      </w:r>
    </w:p>
    <w:p w14:paraId="5539A00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2. 检验医师端</w:t>
      </w:r>
    </w:p>
    <w:p w14:paraId="35EE59AE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标本管理：通过扫码或手动输入接收标本，查看关联申请单信息，更新标本流转状态（接收、检验中、异常、完成），记录异常情况（溶血、凝血）。</w:t>
      </w:r>
    </w:p>
    <w:p w14:paraId="0E34F299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报告管理：录入检验指标结果，调用AI接口生成初步诊断意见，支持意见修改与审核操作，审核通过后自动回传至模拟HIS。</w:t>
      </w:r>
    </w:p>
    <w:p w14:paraId="3736F35A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数据查询：查询历史标本记录、报告记录，按日期、患者、检验项目筛选，支持数据导出。</w:t>
      </w:r>
    </w:p>
    <w:p w14:paraId="3E7A0183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3. 管理员端</w:t>
      </w:r>
    </w:p>
    <w:p w14:paraId="49FAD191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用户权限管理：添加、删除、修改用户账号，分配角色与操作权限，禁用违规账号，查询用户操作日志。</w:t>
      </w:r>
    </w:p>
    <w:p w14:paraId="3506162A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设备管理：维护实验室设备信息（名称、型号、状态、维护周期），更新设备状态（正常/维修/停用），记录维护记录。</w:t>
      </w:r>
    </w:p>
    <w:p w14:paraId="0F9BBC15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数据统计分析：生成标本流转效率、检验项目热度、AI诊断参考准确率等可视化报表，支持日/周/月数据筛选与导出。</w:t>
      </w:r>
    </w:p>
    <w:p w14:paraId="47629A09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4. AI辅助诊断模块</w:t>
      </w:r>
    </w:p>
    <w:p w14:paraId="5797BDF0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数据适配：自动将检验结果标准化处理，符合AI接口输入要求。</w:t>
      </w:r>
    </w:p>
    <w:p w14:paraId="5324E413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意见生成：调用AI接口快速生成初步诊断意见，标注诊断依据（如指标异常项关联疾病）。</w:t>
      </w:r>
    </w:p>
    <w:p w14:paraId="39B2D40F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医师干预：支持检验医师修改AI意见，记录修改痕迹，确保报告严谨性。</w:t>
      </w:r>
    </w:p>
    <w:p w14:paraId="329BCF23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5. HL7接口模块</w:t>
      </w:r>
    </w:p>
    <w:p w14:paraId="7029E305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消息接收与解析：接收模拟HIS推送的HL7 ORM消息，解析为系统结构化数据。</w:t>
      </w:r>
    </w:p>
    <w:p w14:paraId="66C54A69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消息封装与发送：将检验报告封装为HL7 ORU消息，推送至模拟HIS，支持消息重发与异常反馈。</w:t>
      </w:r>
    </w:p>
    <w:p w14:paraId="54735879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（二）性能要求</w:t>
      </w:r>
    </w:p>
    <w:p w14:paraId="4C920E8D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响应速度：日常并发50人以内，核心操作（申请单提交、标本接收、报告审核）响应时间≤3秒；高峰并发100人时，关键功能响应时间≤5秒，无超时或崩溃现象。</w:t>
      </w:r>
    </w:p>
    <w:p w14:paraId="4EA0A7D5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吞吐量：每小时处理有效业务请求≥800次，支持连续7×12小时稳定运行（实验室常规工作时长）。</w:t>
      </w:r>
    </w:p>
    <w:p w14:paraId="0025F7DB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系统可用性：可用性≥99%，故障恢复时间≤30分钟（如数据库异常、服务宕机）。</w:t>
      </w:r>
    </w:p>
    <w:p w14:paraId="496F5D77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（三）兼容性要求</w:t>
      </w:r>
    </w:p>
    <w:p w14:paraId="0D3CDB33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浏览器兼容：适配Chrome 80+、Firefox 75+、Safari 13+、Edge 80+等主流浏览器，页面布局、交互功能无差异。</w:t>
      </w:r>
    </w:p>
    <w:p w14:paraId="50C6E370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设备兼容：支持桌面端（Windows 10+、macOS 10.15+）与移动端（iOS 12+、Android 9+），响应式布局适配不同屏幕尺寸，移动端操作流畅。</w:t>
      </w:r>
    </w:p>
    <w:p w14:paraId="2DF37EAB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（四）安全性要求</w:t>
      </w:r>
    </w:p>
    <w:p w14:paraId="5CF68860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数据安全：用户敏感信息（身份证号、联系方式）、检验数据采用AES加密存储，网络传输采用SSL/TLS协议，防止数据泄露与篡改；数据库定期备份，支持数据恢复。</w:t>
      </w:r>
    </w:p>
    <w:p w14:paraId="41337E93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系统防护：具备抵御SQL注入、XSS跨站脚本、CSRF攻击的能力，通过输入验证、权限控制、防火墙配置等措施保障系统安全；关键操作（如报告修改、权限变更）留存日志，支持溯源。</w:t>
      </w:r>
    </w:p>
    <w:p w14:paraId="6AA37B26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（五）易用性要求</w:t>
      </w:r>
    </w:p>
    <w:p w14:paraId="5B917992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界面设计：遵循医疗行业设计规范，色彩搭配柔和、专业，图标表意清晰，操作按钮布局合理，导航栏层次分明，新手用户可在10分钟内掌握核心操作。</w:t>
      </w:r>
    </w:p>
    <w:p w14:paraId="6B01F901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操作流程：核心业务流程步骤精简（如标本接收→结果录入→报告审核≤3步），提供明确的操作提示与错误反馈，支持批量操作（如批量录入检验结果），降低用户操作成本。</w:t>
      </w:r>
    </w:p>
    <w:p w14:paraId="17871577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（六）系统扩展性要求</w:t>
      </w:r>
    </w:p>
    <w:p w14:paraId="6F1E2ABA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系统架构采用模块化、微服务设计，支持后续功能扩展（如新增试剂管理、智能设备联网监控）与技术升级（如切换AI接口、适配HL7 FHIR标准）；代码注释完整，文档规范，便于后续维护与二次开发。</w:t>
      </w:r>
    </w:p>
    <w:p w14:paraId="56742247">
      <w:pPr>
        <w:widowControl w:val="0"/>
        <w:spacing w:before="0" w:after="0" w:line="580" w:lineRule="atLeast"/>
        <w:ind w:firstLine="560"/>
        <w:jc w:val="both"/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kern w:val="0"/>
          <w:sz w:val="28"/>
          <w:szCs w:val="28"/>
        </w:rPr>
        <w:t>六、其它（包括选题来源）</w:t>
      </w:r>
    </w:p>
    <w:p w14:paraId="30724D87">
      <w:pPr>
        <w:widowControl w:val="0"/>
        <w:spacing w:before="0" w:after="0" w:line="580" w:lineRule="atLeast"/>
        <w:ind w:firstLine="48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选题来源：实践</w:t>
      </w:r>
    </w:p>
    <w:p w14:paraId="7AD8CC0D">
      <w:pPr>
        <w:widowControl w:val="0"/>
        <w:spacing w:before="0" w:after="0" w:line="580" w:lineRule="atLeast"/>
        <w:ind w:firstLine="560"/>
        <w:jc w:val="both"/>
        <w:rPr>
          <w:rFonts w:ascii="仿宋_GB2312" w:hAnsi="仿宋_GB2312" w:eastAsia="仿宋_GB2312" w:cs="仿宋_GB2312"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kern w:val="0"/>
          <w:sz w:val="28"/>
          <w:szCs w:val="28"/>
          <w:lang w:val="en-US" w:eastAsia="zh-CN"/>
        </w:rPr>
        <w:t>指导教师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 xml:space="preserve">：      </w:t>
      </w:r>
      <w:r>
        <w:rPr>
          <w:rFonts w:ascii="仿宋_GB2312" w:hAnsi="仿宋_GB2312" w:eastAsia="仿宋_GB2312" w:cs="仿宋_GB2312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 xml:space="preserve">     </w:t>
      </w:r>
      <w:r>
        <w:rPr>
          <w:rFonts w:ascii="仿宋_GB2312" w:hAnsi="仿宋_GB2312" w:eastAsia="仿宋_GB2312" w:cs="仿宋_GB2312"/>
          <w:kern w:val="0"/>
          <w:sz w:val="28"/>
          <w:szCs w:val="28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 xml:space="preserve">     </w:t>
      </w:r>
      <w:r>
        <w:rPr>
          <w:rFonts w:ascii="仿宋_GB2312" w:hAnsi="仿宋_GB2312" w:eastAsia="仿宋_GB2312" w:cs="仿宋_GB2312"/>
          <w:kern w:val="0"/>
          <w:sz w:val="28"/>
          <w:szCs w:val="28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 xml:space="preserve">     </w:t>
      </w:r>
      <w:r>
        <w:rPr>
          <w:rFonts w:ascii="仿宋_GB2312" w:hAnsi="仿宋_GB2312" w:eastAsia="仿宋_GB2312" w:cs="仿宋_GB2312"/>
          <w:kern w:val="0"/>
          <w:sz w:val="28"/>
          <w:szCs w:val="28"/>
          <w:lang w:val="en-US" w:eastAsia="zh-CN"/>
        </w:rPr>
        <w:t>日</w:t>
      </w:r>
    </w:p>
    <w:p w14:paraId="4AFD8F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FmNmQ2MWRmNmUyOTVjOGJiODRkYzUzZTE5MzgwY2YifQ=="/>
  </w:docVars>
  <w:rsids>
    <w:rsidRoot w:val="298D0571"/>
    <w:rsid w:val="1CD63A5F"/>
    <w:rsid w:val="298D0571"/>
    <w:rsid w:val="30F572C7"/>
    <w:rsid w:val="7400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6222</Words>
  <Characters>6704</Characters>
  <Lines>0</Lines>
  <Paragraphs>0</Paragraphs>
  <TotalTime>55</TotalTime>
  <ScaleCrop>false</ScaleCrop>
  <LinksUpToDate>false</LinksUpToDate>
  <CharactersWithSpaces>6768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2026-01-04T07:46:00Z</dcterms:created>
  <dc:creator>亚キン</dc:creator>
  <cp:lastModifiedBy>亚キン</cp:lastModifiedBy>
  <dcterms:modified xsi:type="dcterms:W3CDTF">2026-01-05T07:23:53Z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98F2F0A4B61D4590AB105066925D03FE_13</vt:lpwstr>
  </property>
</Properties>
</file>