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略无墓艳意，以中有足乐者——送东阳马生序（宋濂）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古之学者必有师。师者，所以传道受业解惑也。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人非生而知之者，孰能无惑？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吾师道也，夫庸知其年之先后生于吾乎？是故无贵无贱，无长无少，道之所存，师之所存也。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圣人无常师。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是故弟子不必不如师，师不必贤于弟子，闻道有先后，术业有专攻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  <w:r>
        <w:rPr>
          <w:rFonts w:hint="eastAsia"/>
          <w:lang w:val="en-US" w:eastAsia="zh-CN"/>
        </w:rPr>
        <w:t>——师说（韩愈）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E10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肖子遥</cp:lastModifiedBy>
  <dcterms:modified xsi:type="dcterms:W3CDTF">2019-05-21T06:19:50Z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