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6"/>
        <w:ind w:left="0" w:right="0"/>
      </w:pPr>
    </w:p>
    <w:p>
      <w:pPr>
        <w:autoSpaceDN w:val="0"/>
        <w:autoSpaceDE w:val="0"/>
        <w:widowControl/>
        <w:spacing w:line="616" w:lineRule="exact" w:before="0" w:after="0"/>
        <w:ind w:left="576" w:right="432" w:firstLine="0"/>
        <w:jc w:val="center"/>
      </w:pPr>
      <w:r>
        <w:rPr>
          <w:rFonts w:ascii="Helvetica" w:hAnsi="Helvetica" w:eastAsia="Helvetica"/>
          <w:b/>
          <w:i w:val="0"/>
          <w:color w:val="1F2937"/>
          <w:sz w:val="44"/>
        </w:rPr>
        <w:t xml:space="preserve">ULTIMATE CRYPTO GAMBLING ANALYSIS </w:t>
      </w:r>
      <w:r>
        <w:rPr>
          <w:rFonts w:ascii="Helvetica" w:hAnsi="Helvetica" w:eastAsia="Helvetica"/>
          <w:b w:val="0"/>
          <w:i/>
          <w:color w:val="374151"/>
          <w:sz w:val="28"/>
        </w:rPr>
        <w:t>Complete Technical &amp; Player Investigation of Proov Network</w:t>
      </w:r>
    </w:p>
    <w:p>
      <w:pPr>
        <w:autoSpaceDN w:val="0"/>
        <w:autoSpaceDE w:val="0"/>
        <w:widowControl/>
        <w:spacing w:line="440" w:lineRule="exact" w:before="1010" w:after="0"/>
        <w:ind w:left="14" w:right="0" w:firstLine="0"/>
        <w:jc w:val="left"/>
      </w:pPr>
      <w:r>
        <w:rPr>
          <w:rFonts w:ascii="ZapfDingbats" w:hAnsi="ZapfDingbats" w:eastAsia="ZapfDingbats"/>
          <w:b w:val="0"/>
          <w:i w:val="0"/>
          <w:color w:val="3B82F6"/>
          <w:sz w:val="32"/>
        </w:rPr>
        <w:t>I</w:t>
      </w:r>
      <w:r>
        <w:rPr>
          <w:rFonts w:ascii="Helvetica" w:hAnsi="Helvetica" w:eastAsia="Helvetica"/>
          <w:b/>
          <w:i w:val="0"/>
          <w:color w:val="3B82F6"/>
          <w:sz w:val="32"/>
        </w:rPr>
        <w:t xml:space="preserve"> EXECUTIVE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698"/>
        <w:gridCol w:w="1698"/>
        <w:gridCol w:w="1698"/>
        <w:gridCol w:w="1698"/>
        <w:gridCol w:w="1698"/>
        <w:gridCol w:w="1698"/>
      </w:tblGrid>
      <w:tr>
        <w:trPr>
          <w:trHeight w:hRule="exact" w:val="1360"/>
        </w:trPr>
        <w:tc>
          <w:tcPr>
            <w:tcW w:type="dxa" w:w="160"/>
            <w:tcBorders>
              <w:end w:sz="32.0" w:val="single" w:color="#DB2626"/>
              <w:bottom w:sz="12.0" w:val="single" w:color="#E4E6E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52"/>
            <w:gridSpan w:val="5"/>
            <w:tcBorders>
              <w:start w:sz="32.0" w:val="single" w:color="#DB2626"/>
              <w:top w:sz="32.0" w:val="single" w:color="#DB2626"/>
              <w:end w:sz="32.0" w:val="single" w:color="#DB2626"/>
              <w:bottom w:sz="12.0" w:val="single" w:color="#E4E6EB"/>
            </w:tcBorders>
            <w:shd w:fill="fdf2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4" w:after="0"/>
              <w:ind w:left="200" w:right="72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DC2626"/>
                <w:sz w:val="24"/>
              </w:rPr>
              <w:t xml:space="preserve">This comprehensive investigation reveals that while Proov Network uses </w:t>
            </w:r>
            <w:r>
              <w:rPr>
                <w:rFonts w:ascii="Helvetica" w:hAnsi="Helvetica" w:eastAsia="Helvetica"/>
                <w:b/>
                <w:i w:val="0"/>
                <w:color w:val="DC2626"/>
                <w:sz w:val="24"/>
              </w:rPr>
              <w:t xml:space="preserve">sophisticated cryptographic techniques (VRF proofs, Ed25519 signatures), the </w:t>
            </w:r>
            <w:r>
              <w:rPr>
                <w:rFonts w:ascii="Helvetica" w:hAnsi="Helvetica" w:eastAsia="Helvetica"/>
                <w:b/>
                <w:i w:val="0"/>
                <w:color w:val="DC2626"/>
                <w:sz w:val="24"/>
              </w:rPr>
              <w:t xml:space="preserve">fundamental trust model is centralized. All oracles are controlled by the same </w:t>
            </w:r>
            <w:r>
              <w:rPr>
                <w:rFonts w:ascii="Helvetica" w:hAnsi="Helvetica" w:eastAsia="Helvetica"/>
                <w:b/>
                <w:i w:val="0"/>
                <w:color w:val="DC2626"/>
                <w:sz w:val="24"/>
              </w:rPr>
              <w:t>entity, creating significant risks for players.</w:t>
            </w:r>
          </w:p>
        </w:tc>
      </w:tr>
      <w:tr>
        <w:trPr>
          <w:trHeight w:hRule="exact" w:val="80"/>
        </w:trPr>
        <w:tc>
          <w:tcPr>
            <w:tcW w:type="dxa" w:w="160"/>
            <w:vMerge w:val="restart"/>
            <w:tcBorders>
              <w:start w:sz="12.0" w:val="single" w:color="#E4E6EB"/>
              <w:top w:sz="12.0" w:val="single" w:color="#E4E6EB"/>
              <w:bottom w:sz="6.0" w:val="single" w:color="#E4E6EB"/>
            </w:tcBorders>
            <w:shd w:fill="3b82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12"/>
            <w:tcBorders>
              <w:top w:sz="12.0" w:val="single" w:color="#E4E6EB"/>
              <w:bottom w:sz="32.0" w:val="single" w:color="#DB2626"/>
            </w:tcBorders>
            <w:shd w:fill="fdf2f2"/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top w:sz="12.0" w:val="single" w:color="#E4E6EB"/>
              <w:bottom w:sz="32.0" w:val="single" w:color="#DB2626"/>
            </w:tcBorders>
            <w:shd w:fill="fdf2f2"/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top w:sz="12.0" w:val="single" w:color="#E4E6EB"/>
              <w:bottom w:sz="32.0" w:val="single" w:color="#DB2626"/>
            </w:tcBorders>
            <w:shd w:fill="fdf2f2"/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top w:sz="12.0" w:val="single" w:color="#E4E6EB"/>
              <w:bottom w:sz="32.0" w:val="single" w:color="#DB2626"/>
            </w:tcBorders>
            <w:shd w:fill="fdf2f2"/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698"/>
            <w:vMerge/>
            <w:tcBorders>
              <w:start w:sz="12.0" w:val="single" w:color="#E4E6EB"/>
              <w:top w:sz="12.0" w:val="single" w:color="#E4E6EB"/>
              <w:bottom w:sz="6.0" w:val="single" w:color="#E4E6EB"/>
            </w:tcBorders>
          </w:tcPr>
          <w:p/>
        </w:tc>
        <w:tc>
          <w:tcPr>
            <w:tcW w:type="dxa" w:w="169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start w:sz="6.0" w:val="single" w:color="#E4E6EB"/>
              <w:top w:sz="32.0" w:val="single" w:color="#DB2626"/>
              <w:end w:sz="6.0" w:val="single" w:color="#E4E6EB"/>
              <w:bottom w:sz="6.0" w:val="single" w:color="#E4E6EB"/>
            </w:tcBorders>
            <w:shd w:fill="3b82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Technical Detail</w:t>
            </w:r>
          </w:p>
        </w:tc>
        <w:tc>
          <w:tcPr>
            <w:tcW w:type="dxa" w:w="2160"/>
            <w:tcBorders>
              <w:start w:sz="6.0" w:val="single" w:color="#E4E6EB"/>
              <w:top w:sz="32.0" w:val="single" w:color="#DB2626"/>
              <w:end w:sz="6.0" w:val="single" w:color="#E4E6EB"/>
              <w:bottom w:sz="6.0" w:val="single" w:color="#E4E6EB"/>
            </w:tcBorders>
            <w:shd w:fill="3b82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Player Impact</w:t>
            </w:r>
          </w:p>
        </w:tc>
        <w:tc>
          <w:tcPr>
            <w:tcW w:type="dxa" w:w="1442"/>
            <w:tcBorders>
              <w:start w:sz="6.0" w:val="single" w:color="#E4E6EB"/>
              <w:top w:sz="32.0" w:val="single" w:color="#DB2626"/>
              <w:end w:sz="12.0" w:val="single" w:color="#E4E6EB"/>
              <w:bottom w:sz="6.0" w:val="single" w:color="#E4E6EB"/>
            </w:tcBorders>
            <w:shd w:fill="3b82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Risk Level</w:t>
            </w:r>
          </w:p>
        </w:tc>
        <w:tc>
          <w:tcPr>
            <w:tcW w:type="dxa" w:w="2478"/>
            <w:vMerge w:val="restart"/>
            <w:tcBorders>
              <w:start w:sz="12.0" w:val="single" w:color="#E4E6EB"/>
              <w:top w:sz="32.0" w:val="single" w:color="#DB262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872"/>
            <w:gridSpan w:val="2"/>
            <w:tcBorders>
              <w:start w:sz="12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Centralized Oracles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All VRF oracles control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led by Proov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Cannot verify true rand</w:t>
            </w:r>
          </w:p>
        </w:tc>
        <w:tc>
          <w:tcPr>
            <w:tcW w:type="dxa" w:w="1442"/>
            <w:tcBorders>
              <w:start w:sz="6.0" w:val="single" w:color="#E4E6EB"/>
              <w:top w:sz="6.0" w:val="single" w:color="#E4E6EB"/>
              <w:end w:sz="12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omness 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HIGH</w:t>
            </w:r>
          </w:p>
        </w:tc>
        <w:tc>
          <w:tcPr>
            <w:tcW w:type="dxa" w:w="1698"/>
            <w:vMerge/>
            <w:tcBorders>
              <w:start w:sz="12.0" w:val="single" w:color="#E4E6EB"/>
              <w:top w:sz="32.0" w:val="single" w:color="#DB2626"/>
            </w:tcBorders>
          </w:tcPr>
          <w:p/>
        </w:tc>
      </w:tr>
      <w:tr>
        <w:trPr>
          <w:trHeight w:hRule="exact" w:val="360"/>
        </w:trPr>
        <w:tc>
          <w:tcPr>
            <w:tcW w:type="dxa" w:w="1872"/>
            <w:gridSpan w:val="2"/>
            <w:tcBorders>
              <w:start w:sz="12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Off-chain Logic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Game algorithms exec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uted off-chain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Cannot audit game fair</w:t>
            </w:r>
          </w:p>
        </w:tc>
        <w:tc>
          <w:tcPr>
            <w:tcW w:type="dxa" w:w="1442"/>
            <w:tcBorders>
              <w:start w:sz="6.0" w:val="single" w:color="#E4E6EB"/>
              <w:top w:sz="6.0" w:val="single" w:color="#E4E6EB"/>
              <w:end w:sz="12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ness 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HIGH</w:t>
            </w:r>
          </w:p>
        </w:tc>
        <w:tc>
          <w:tcPr>
            <w:tcW w:type="dxa" w:w="1698"/>
            <w:vMerge/>
            <w:tcBorders>
              <w:start w:sz="12.0" w:val="single" w:color="#E4E6EB"/>
              <w:top w:sz="32.0" w:val="single" w:color="#DB2626"/>
            </w:tcBorders>
          </w:tcPr>
          <w:p/>
        </w:tc>
      </w:tr>
      <w:tr>
        <w:trPr>
          <w:trHeight w:hRule="exact" w:val="360"/>
        </w:trPr>
        <w:tc>
          <w:tcPr>
            <w:tcW w:type="dxa" w:w="1872"/>
            <w:gridSpan w:val="2"/>
            <w:tcBorders>
              <w:start w:sz="12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Limited Audit Scope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Halborn only audited s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mart contracts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RNG/fairness not verifi</w:t>
            </w:r>
          </w:p>
        </w:tc>
        <w:tc>
          <w:tcPr>
            <w:tcW w:type="dxa" w:w="1442"/>
            <w:tcBorders>
              <w:start w:sz="6.0" w:val="single" w:color="#E4E6EB"/>
              <w:top w:sz="6.0" w:val="single" w:color="#E4E6EB"/>
              <w:end w:sz="12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ed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HIGH</w:t>
            </w:r>
          </w:p>
        </w:tc>
        <w:tc>
          <w:tcPr>
            <w:tcW w:type="dxa" w:w="1698"/>
            <w:vMerge/>
            <w:tcBorders>
              <w:start w:sz="12.0" w:val="single" w:color="#E4E6EB"/>
              <w:top w:sz="32.0" w:val="single" w:color="#DB2626"/>
            </w:tcBorders>
          </w:tcPr>
          <w:p/>
        </w:tc>
      </w:tr>
      <w:tr>
        <w:trPr>
          <w:trHeight w:hRule="exact" w:val="360"/>
        </w:trPr>
        <w:tc>
          <w:tcPr>
            <w:tcW w:type="dxa" w:w="1872"/>
            <w:gridSpan w:val="2"/>
            <w:tcBorders>
              <w:start w:sz="12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No Regulatory Over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sight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Operates without gamb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ling licenses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No player protection</w:t>
            </w:r>
          </w:p>
        </w:tc>
        <w:tc>
          <w:tcPr>
            <w:tcW w:type="dxa" w:w="1442"/>
            <w:tcBorders>
              <w:start w:sz="6.0" w:val="single" w:color="#E4E6EB"/>
              <w:top w:sz="6.0" w:val="single" w:color="#E4E6EB"/>
              <w:end w:sz="12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HIGH</w:t>
            </w:r>
          </w:p>
        </w:tc>
        <w:tc>
          <w:tcPr>
            <w:tcW w:type="dxa" w:w="1698"/>
            <w:vMerge/>
            <w:tcBorders>
              <w:start w:sz="12.0" w:val="single" w:color="#E4E6EB"/>
              <w:top w:sz="32.0" w:val="single" w:color="#DB2626"/>
            </w:tcBorders>
          </w:tcPr>
          <w:p/>
        </w:tc>
      </w:tr>
      <w:tr>
        <w:trPr>
          <w:trHeight w:hRule="exact" w:val="360"/>
        </w:trPr>
        <w:tc>
          <w:tcPr>
            <w:tcW w:type="dxa" w:w="1872"/>
            <w:gridSpan w:val="2"/>
            <w:tcBorders>
              <w:start w:sz="12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Hidden Odds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Win probabilities not di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sclosed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Players gambling blind</w:t>
            </w:r>
          </w:p>
        </w:tc>
        <w:tc>
          <w:tcPr>
            <w:tcW w:type="dxa" w:w="1442"/>
            <w:tcBorders>
              <w:start w:sz="6.0" w:val="single" w:color="#E4E6EB"/>
              <w:top w:sz="6.0" w:val="single" w:color="#E4E6EB"/>
              <w:end w:sz="12.0" w:val="single" w:color="#E4E6EB"/>
              <w:bottom w:sz="6.0" w:val="single" w:color="#E4E6EB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 xml:space="preserve"> 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HIGH</w:t>
            </w:r>
          </w:p>
        </w:tc>
        <w:tc>
          <w:tcPr>
            <w:tcW w:type="dxa" w:w="1698"/>
            <w:vMerge/>
            <w:tcBorders>
              <w:start w:sz="12.0" w:val="single" w:color="#E4E6EB"/>
              <w:top w:sz="32.0" w:val="single" w:color="#DB2626"/>
            </w:tcBorders>
          </w:tcPr>
          <w:p/>
        </w:tc>
      </w:tr>
      <w:tr>
        <w:trPr>
          <w:trHeight w:hRule="exact" w:val="360"/>
        </w:trPr>
        <w:tc>
          <w:tcPr>
            <w:tcW w:type="dxa" w:w="1872"/>
            <w:gridSpan w:val="2"/>
            <w:tcBorders>
              <w:start w:sz="12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effd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VRF Implementatio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 Cryptographically soun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dMath is verifiable</w:t>
            </w:r>
          </w:p>
        </w:tc>
        <w:tc>
          <w:tcPr>
            <w:tcW w:type="dxa" w:w="1442"/>
            <w:tcBorders>
              <w:start w:sz="6.0" w:val="single" w:color="#E4E6EB"/>
              <w:top w:sz="6.0" w:val="single" w:color="#E4E6EB"/>
              <w:end w:sz="12.0" w:val="single" w:color="#E4E6EB"/>
              <w:bottom w:sz="6.0" w:val="single" w:color="#E4E6EB"/>
            </w:tcBorders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LOW</w:t>
            </w:r>
          </w:p>
        </w:tc>
        <w:tc>
          <w:tcPr>
            <w:tcW w:type="dxa" w:w="1698"/>
            <w:vMerge/>
            <w:tcBorders>
              <w:start w:sz="12.0" w:val="single" w:color="#E4E6EB"/>
              <w:top w:sz="32.0" w:val="single" w:color="#DB2626"/>
            </w:tcBorders>
          </w:tcPr>
          <w:p/>
        </w:tc>
      </w:tr>
      <w:tr>
        <w:trPr>
          <w:trHeight w:hRule="exact" w:val="340"/>
        </w:trPr>
        <w:tc>
          <w:tcPr>
            <w:tcW w:type="dxa" w:w="1872"/>
            <w:gridSpan w:val="2"/>
            <w:tcBorders>
              <w:start w:sz="12.0" w:val="single" w:color="#E4E6EB"/>
              <w:top w:sz="6.0" w:val="single" w:color="#E4E6EB"/>
              <w:end w:sz="6.0" w:val="single" w:color="#E4E6EB"/>
              <w:bottom w:sz="12.0" w:val="single" w:color="#E4E6EB"/>
            </w:tcBorders>
            <w:shd w:fill="effd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Blockchain Recordi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12.0" w:val="single" w:color="#E4E6EB"/>
            </w:tcBorders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ngTransactions properly r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12.0" w:val="single" w:color="#E4E6EB"/>
            </w:tcBorders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ecorded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Payout transparency</w:t>
            </w:r>
          </w:p>
        </w:tc>
        <w:tc>
          <w:tcPr>
            <w:tcW w:type="dxa" w:w="1442"/>
            <w:tcBorders>
              <w:start w:sz="6.0" w:val="single" w:color="#E4E6EB"/>
              <w:top w:sz="6.0" w:val="single" w:color="#E4E6EB"/>
              <w:end w:sz="12.0" w:val="single" w:color="#E4E6EB"/>
              <w:bottom w:sz="12.0" w:val="single" w:color="#E4E6EB"/>
            </w:tcBorders>
            <w:shd w:fill="ef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LOW</w:t>
            </w:r>
          </w:p>
        </w:tc>
        <w:tc>
          <w:tcPr>
            <w:tcW w:type="dxa" w:w="1698"/>
            <w:vMerge/>
            <w:tcBorders>
              <w:start w:sz="12.0" w:val="single" w:color="#E4E6EB"/>
              <w:top w:sz="32.0" w:val="single" w:color="#DB2626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78" w:right="1084" w:bottom="1440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1536700</wp:posOffset>
            </wp:positionV>
            <wp:extent cx="5892800" cy="4826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482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B82F6"/>
          <w:sz w:val="32"/>
        </w:rPr>
        <w:t>PART I: THE COMPLETE PLAYER JOURNEY</w:t>
      </w:r>
    </w:p>
    <w:p>
      <w:pPr>
        <w:autoSpaceDN w:val="0"/>
        <w:autoSpaceDE w:val="0"/>
        <w:widowControl/>
        <w:spacing w:line="440" w:lineRule="exact" w:before="240" w:after="466"/>
        <w:ind w:left="138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Complete Player Journey: What REALLY Happens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5133"/>
        <w:gridCol w:w="5133"/>
      </w:tblGrid>
      <w:tr>
        <w:trPr>
          <w:trHeight w:hRule="exact" w:val="3246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9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4"/>
              </w:rPr>
              <w:t>1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Player Action</w:t>
            </w:r>
          </w:p>
          <w:p>
            <w:pPr>
              <w:autoSpaceDN w:val="0"/>
              <w:autoSpaceDE w:val="0"/>
              <w:widowControl/>
              <w:spacing w:line="200" w:lineRule="exact" w:before="176" w:after="0"/>
              <w:ind w:left="864" w:right="1728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• Click 'SPIN'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• Money leaves wallet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• Bet recorded</w:t>
            </w:r>
          </w:p>
          <w:p>
            <w:pPr>
              <w:autoSpaceDN w:val="0"/>
              <w:autoSpaceDE w:val="0"/>
              <w:widowControl/>
              <w:spacing w:line="330" w:lineRule="exact" w:before="894" w:after="0"/>
              <w:ind w:left="85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Game Algorithm</w:t>
            </w:r>
          </w:p>
          <w:p>
            <w:pPr>
              <w:autoSpaceDN w:val="0"/>
              <w:autoSpaceDE w:val="0"/>
              <w:widowControl/>
              <w:spacing w:line="200" w:lineRule="exact" w:before="176" w:after="0"/>
              <w:ind w:left="864" w:right="158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• Randomness processed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• Outcome calculated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• Payout determined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79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4"/>
              </w:rPr>
              <w:t>2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Oracle Network</w:t>
            </w:r>
          </w:p>
          <w:p>
            <w:pPr>
              <w:autoSpaceDN w:val="0"/>
              <w:autoSpaceDE w:val="0"/>
              <w:widowControl/>
              <w:spacing w:line="200" w:lineRule="exact" w:before="176" w:after="0"/>
              <w:ind w:left="1584" w:right="72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• VRF proof generated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• Multiple signatures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• Cryptographically valid</w:t>
            </w:r>
          </w:p>
          <w:p>
            <w:pPr>
              <w:autoSpaceDN w:val="0"/>
              <w:autoSpaceDE w:val="0"/>
              <w:widowControl/>
              <w:spacing w:line="350" w:lineRule="exact" w:before="874" w:after="0"/>
              <w:ind w:left="0" w:right="85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4"/>
              </w:rPr>
              <w:t>4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Result Display</w:t>
            </w:r>
          </w:p>
          <w:p>
            <w:pPr>
              <w:autoSpaceDN w:val="0"/>
              <w:autoSpaceDE w:val="0"/>
              <w:widowControl/>
              <w:spacing w:line="200" w:lineRule="exact" w:before="176" w:after="0"/>
              <w:ind w:left="1728" w:right="86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• Outcome shown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• Transaction posted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• Blockchain record</w:t>
            </w:r>
          </w:p>
        </w:tc>
      </w:tr>
    </w:tbl>
    <w:p>
      <w:pPr>
        <w:autoSpaceDN w:val="0"/>
        <w:autoSpaceDE w:val="0"/>
        <w:widowControl/>
        <w:spacing w:line="350" w:lineRule="exact" w:before="814" w:after="0"/>
        <w:ind w:left="0" w:right="4412" w:firstLine="0"/>
        <w:jc w:val="right"/>
      </w:pPr>
      <w:r>
        <w:rPr>
          <w:rFonts w:ascii="Helvetica" w:hAnsi="Helvetica" w:eastAsia="Helvetica"/>
          <w:b/>
          <w:i w:val="0"/>
          <w:color w:val="FFFFFF"/>
          <w:sz w:val="24"/>
        </w:rPr>
        <w:t>5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 Verification</w:t>
      </w:r>
    </w:p>
    <w:p>
      <w:pPr>
        <w:autoSpaceDN w:val="0"/>
        <w:autoSpaceDE w:val="0"/>
        <w:widowControl/>
        <w:spacing w:line="200" w:lineRule="exact" w:before="176" w:after="0"/>
        <w:ind w:left="4320" w:right="4176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8"/>
        </w:rPr>
        <w:t>• 7-step process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• Cryptographic proof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• Mathematical validity</w:t>
      </w:r>
    </w:p>
    <w:p>
      <w:pPr>
        <w:autoSpaceDN w:val="0"/>
        <w:autoSpaceDE w:val="0"/>
        <w:widowControl/>
        <w:spacing w:line="386" w:lineRule="exact" w:before="50" w:after="0"/>
        <w:ind w:left="0" w:right="3210" w:firstLine="0"/>
        <w:jc w:val="right"/>
      </w:pPr>
      <w:r>
        <w:rPr>
          <w:rFonts w:ascii="ZapfDingbats" w:hAnsi="ZapfDingbats" w:eastAsia="ZapfDingbats"/>
          <w:b w:val="0"/>
          <w:i w:val="0"/>
          <w:color w:val="DC2626"/>
          <w:sz w:val="28"/>
        </w:rPr>
        <w:t>I</w:t>
      </w:r>
      <w:r>
        <w:rPr>
          <w:rFonts w:ascii="Helvetica" w:hAnsi="Helvetica" w:eastAsia="Helvetica"/>
          <w:b/>
          <w:i w:val="0"/>
          <w:color w:val="DC2626"/>
          <w:sz w:val="28"/>
        </w:rPr>
        <w:t xml:space="preserve"> CRITICAL TRUST ISSUES</w:t>
      </w:r>
    </w:p>
    <w:p>
      <w:pPr>
        <w:autoSpaceDN w:val="0"/>
        <w:autoSpaceDE w:val="0"/>
        <w:widowControl/>
        <w:spacing w:line="300" w:lineRule="exact" w:before="76" w:after="0"/>
        <w:ind w:left="2448" w:right="2304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1. All oracles controlled by same company - no independence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2. Verification only checks math, not oracle coordination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3. No external oversight or independent auditing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4. Players must trust company won't manipulate outcomes </w:t>
      </w:r>
      <w:r>
        <w:rPr>
          <w:rFonts w:ascii="Times" w:hAnsi="Times" w:eastAsia="Times"/>
          <w:b w:val="0"/>
          <w:i w:val="0"/>
          <w:color w:val="000000"/>
          <w:sz w:val="22"/>
        </w:rPr>
        <w:t>5. No legal recourse if manipulation is discovered</w:t>
      </w:r>
    </w:p>
    <w:p>
      <w:pPr>
        <w:autoSpaceDN w:val="0"/>
        <w:autoSpaceDE w:val="0"/>
        <w:widowControl/>
        <w:spacing w:line="386" w:lineRule="exact" w:before="234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8"/>
        </w:rPr>
        <w:t>Detailed Step-by-Step Analysis:</w:t>
      </w:r>
    </w:p>
    <w:p>
      <w:pPr>
        <w:autoSpaceDN w:val="0"/>
        <w:autoSpaceDE w:val="0"/>
        <w:widowControl/>
        <w:spacing w:line="238" w:lineRule="exact" w:before="124" w:after="0"/>
        <w:ind w:left="0" w:right="432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2"/>
        </w:rPr>
        <w:t>Step 1 - Player Action: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You click 'SPIN' and your money immediately leaves your wallet. This part is 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>transparent and verifiable on the blockchain.</w:t>
      </w:r>
    </w:p>
    <w:p>
      <w:pPr>
        <w:autoSpaceDN w:val="0"/>
        <w:autoSpaceDE w:val="0"/>
        <w:widowControl/>
        <w:spacing w:line="238" w:lineRule="exact" w:before="2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2"/>
        </w:rPr>
        <w:t>Step 2 - Oracle Network: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Multiple oracles generate VRF proofs. While cryptographically valid, all oracles 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>are controlled by Proov Network.</w:t>
      </w:r>
    </w:p>
    <w:p>
      <w:pPr>
        <w:autoSpaceDN w:val="0"/>
        <w:autoSpaceDE w:val="0"/>
        <w:widowControl/>
        <w:spacing w:line="238" w:lineRule="exact" w:before="268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2"/>
        </w:rPr>
        <w:t>Step 3 - Game Algorithm: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Your outcome is calculated using the VRF output. The math is correct, but 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>relies on the centralized randomness.</w:t>
      </w:r>
    </w:p>
    <w:p>
      <w:pPr>
        <w:sectPr>
          <w:pgSz w:w="12240" w:h="15840"/>
          <w:pgMar w:top="482" w:right="990" w:bottom="638" w:left="9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4"/>
        <w:ind w:left="0" w:right="0"/>
      </w:pPr>
    </w:p>
    <w:p>
      <w:pPr>
        <w:autoSpaceDN w:val="0"/>
        <w:autoSpaceDE w:val="0"/>
        <w:widowControl/>
        <w:spacing w:line="238" w:lineRule="exact" w:before="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2"/>
        </w:rPr>
        <w:t>Step 4 - Result Display: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The predetermined outcome is shown to you and recorded on blockchain. You 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>see the result, not the process.</w:t>
      </w:r>
    </w:p>
    <w:p>
      <w:pPr>
        <w:autoSpaceDN w:val="0"/>
        <w:autoSpaceDE w:val="0"/>
        <w:widowControl/>
        <w:spacing w:line="238" w:lineRule="exact" w:before="268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2"/>
        </w:rPr>
        <w:t>Step 5 - Verification: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The 7-step verification process confirms mathematical correctness but cannot 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>verify oracle independence.</w:t>
      </w:r>
    </w:p>
    <w:p>
      <w:pPr>
        <w:sectPr>
          <w:pgSz w:w="12240" w:h="15840"/>
          <w:pgMar w:top="484" w:right="1112" w:bottom="1440" w:left="9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2"/>
        <w:ind w:left="0" w:right="0"/>
      </w:pPr>
    </w:p>
    <w:p>
      <w:pPr>
        <w:autoSpaceDN w:val="0"/>
        <w:autoSpaceDE w:val="0"/>
        <w:widowControl/>
        <w:spacing w:line="440" w:lineRule="exact" w:before="0" w:after="180"/>
        <w:ind w:left="14" w:right="0" w:firstLine="0"/>
        <w:jc w:val="left"/>
      </w:pPr>
      <w:r>
        <w:rPr>
          <w:rFonts w:ascii="Helvetica" w:hAnsi="Helvetica" w:eastAsia="Helvetica"/>
          <w:b/>
          <w:i w:val="0"/>
          <w:color w:val="3B82F6"/>
          <w:sz w:val="32"/>
        </w:rPr>
        <w:t>PART II: COMPREHENSIVE RISK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3277"/>
        <w:gridCol w:w="3277"/>
        <w:gridCol w:w="3277"/>
      </w:tblGrid>
      <w:tr>
        <w:trPr>
          <w:trHeight w:hRule="exact" w:val="482"/>
        </w:trPr>
        <w:tc>
          <w:tcPr>
            <w:tcW w:type="dxa" w:w="7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42" w:after="0"/>
              <w:ind w:left="155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32"/>
              </w:rPr>
              <w:t>Comprehensive Ri</w:t>
            </w:r>
            <w:r>
              <w:rPr>
                <w:u w:val="single" w:color="db2626"/>
                <w:rFonts w:ascii="Helvetica" w:hAnsi="Helvetica" w:eastAsia="Helvetica"/>
                <w:b/>
                <w:i w:val="0"/>
                <w:color w:val="000000"/>
                <w:sz w:val="32"/>
              </w:rPr>
              <w:t>sk Assessment Ma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32"/>
              </w:rPr>
              <w:t>trix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3.9999999999998" w:type="dxa"/>
            </w:tblPr>
            <w:tblGrid>
              <w:gridCol w:w="2740"/>
            </w:tblGrid>
            <w:tr>
              <w:trPr>
                <w:trHeight w:hRule="exact" w:val="900"/>
              </w:trPr>
              <w:tc>
                <w:tcPr>
                  <w:tcW w:type="dxa" w:w="2456"/>
                  <w:tcBorders>
                    <w:start w:sz="32.0" w:val="single" w:color="#DB2626"/>
                    <w:top w:sz="32.0" w:val="single" w:color="#DB2626"/>
                    <w:bottom w:sz="32.0" w:val="single" w:color="#DB2626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228"/>
                    <w:gridCol w:w="1228"/>
                  </w:tblGrid>
                  <w:tr>
                    <w:trPr>
                      <w:trHeight w:hRule="exact" w:val="452"/>
                    </w:trPr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/>
                            <w:i w:val="0"/>
                            <w:color w:val="FFFFFF"/>
                            <w:sz w:val="16"/>
                          </w:rPr>
                          <w:t>HIGH</w:t>
                        </w:r>
                      </w:p>
                    </w:tc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152" w:after="0"/>
                          <w:ind w:left="164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/>
                            <w:i w:val="0"/>
                            <w:color w:val="000000"/>
                            <w:sz w:val="20"/>
                          </w:rPr>
                          <w:t>Legal Risk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4" w:after="0"/>
                    <w:ind w:left="43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No Regulatory Protection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9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3.9999999999998" w:type="dxa"/>
            </w:tblPr>
            <w:tblGrid>
              <w:gridCol w:w="2740"/>
            </w:tblGrid>
            <w:tr>
              <w:trPr>
                <w:trHeight w:hRule="exact" w:val="880"/>
              </w:trPr>
              <w:tc>
                <w:tcPr>
                  <w:tcW w:type="dxa" w:w="2456"/>
                  <w:tcBorders>
                    <w:start w:sz="32.0" w:val="single" w:color="#D87705"/>
                    <w:top w:sz="32.0" w:val="single" w:color="#D87705"/>
                    <w:bottom w:sz="32.0" w:val="single" w:color="#D8770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66" w:val="left"/>
                    </w:tabs>
                    <w:autoSpaceDE w:val="0"/>
                    <w:widowControl/>
                    <w:spacing w:line="172" w:lineRule="exact" w:before="78" w:after="0"/>
                    <w:ind w:left="36" w:right="144" w:firstLine="0"/>
                    <w:jc w:val="left"/>
                  </w:pPr>
                  <w:r>
                    <w:rPr>
                      <w:shd w:val="clear" w:color="auto" w:fill="d87705"/>
                      <w:rFonts w:ascii="Helvetica" w:hAnsi="Helvetica" w:eastAsia="Helvetica"/>
                      <w:b/>
                      <w:i w:val="0"/>
                      <w:color w:val="FFFFFF"/>
                      <w:sz w:val="16"/>
                    </w:rPr>
                    <w:t xml:space="preserve">MEDIUM </w:t>
                  </w:r>
                  <w:r>
                    <w:br/>
                  </w:r>
                  <w:r>
                    <w:tab/>
                  </w:r>
                  <w:r>
                    <w:rPr>
                      <w:shd w:val="clear" w:color="auto" w:fill="d8770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O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perational Risk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414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Key Management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416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4.0" w:type="dxa"/>
            </w:tblPr>
            <w:tblGrid>
              <w:gridCol w:w="3940"/>
            </w:tblGrid>
            <w:tr>
              <w:trPr>
                <w:trHeight w:hRule="exact" w:val="880"/>
              </w:trPr>
              <w:tc>
                <w:tcPr>
                  <w:tcW w:type="dxa" w:w="2800"/>
                  <w:tcBorders>
                    <w:start w:sz="32.0" w:val="single" w:color="#DB2626"/>
                    <w:top w:sz="32.0" w:val="single" w:color="#DB2626"/>
                    <w:end w:sz="32.0" w:val="single" w:color="#DB2626"/>
                    <w:bottom w:sz="32.0" w:val="single" w:color="#DB2626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5.99999999999994" w:type="dxa"/>
                  </w:tblPr>
                  <w:tblGrid>
                    <w:gridCol w:w="1400"/>
                    <w:gridCol w:w="1400"/>
                  </w:tblGrid>
                  <w:tr>
                    <w:trPr>
                      <w:trHeight w:hRule="exact" w:val="452"/>
                    </w:trPr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/>
                            <w:i w:val="0"/>
                            <w:color w:val="FFFFFF"/>
                            <w:sz w:val="16"/>
                          </w:rPr>
                          <w:t>HIGH</w:t>
                        </w:r>
                      </w:p>
                    </w:tc>
                    <w:tc>
                      <w:tcPr>
                        <w:tcW w:type="dxa" w:w="1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152" w:after="0"/>
                          <w:ind w:left="64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/>
                            <w:i w:val="0"/>
                            <w:color w:val="000000"/>
                            <w:sz w:val="20"/>
                          </w:rPr>
                          <w:t>Technical Risk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Oracle Centralization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3.9999999999998" w:type="dxa"/>
            </w:tblPr>
            <w:tblGrid>
              <w:gridCol w:w="4020"/>
            </w:tblGrid>
            <w:tr>
              <w:trPr>
                <w:trHeight w:hRule="exact" w:val="920"/>
              </w:trPr>
              <w:tc>
                <w:tcPr>
                  <w:tcW w:type="dxa" w:w="2800"/>
                  <w:tcBorders>
                    <w:start w:sz="32.0" w:val="single" w:color="#DB2626"/>
                    <w:end w:sz="32.0" w:val="single" w:color="#DB2626"/>
                    <w:bottom w:sz="32.0" w:val="single" w:color="#DB2626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400"/>
                    <w:gridCol w:w="1400"/>
                  </w:tblGrid>
                  <w:tr>
                    <w:trPr>
                      <w:trHeight w:hRule="exact" w:val="472"/>
                    </w:trPr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/>
                            <w:i w:val="0"/>
                            <w:color w:val="FFFFFF"/>
                            <w:sz w:val="16"/>
                          </w:rPr>
                          <w:t>HIGH</w:t>
                        </w:r>
                      </w:p>
                    </w:tc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172" w:after="0"/>
                          <w:ind w:left="72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/>
                            <w:i w:val="0"/>
                            <w:color w:val="000000"/>
                            <w:sz w:val="20"/>
                          </w:rPr>
                          <w:t>Financial Risk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Payout Manipulation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77"/>
            <w:vMerge/>
            <w:tcBorders/>
          </w:tcPr>
          <w:p/>
        </w:tc>
      </w:tr>
      <w:tr>
        <w:trPr>
          <w:trHeight w:hRule="exact" w:val="1504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4.0" w:type="dxa"/>
            </w:tblPr>
            <w:tblGrid>
              <w:gridCol w:w="3940"/>
            </w:tblGrid>
            <w:tr>
              <w:trPr>
                <w:trHeight w:hRule="exact" w:val="880"/>
              </w:trPr>
              <w:tc>
                <w:tcPr>
                  <w:tcW w:type="dxa" w:w="2800"/>
                  <w:tcBorders>
                    <w:start w:sz="32.0" w:val="single" w:color="#DB2626"/>
                    <w:top w:sz="32.0" w:val="single" w:color="#DB2626"/>
                    <w:end w:sz="32.0" w:val="single" w:color="#DB2626"/>
                    <w:bottom w:sz="32.0" w:val="single" w:color="#DB2626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6" w:val="left"/>
                    </w:tabs>
                    <w:autoSpaceDE w:val="0"/>
                    <w:widowControl/>
                    <w:spacing w:line="172" w:lineRule="exact" w:before="78" w:after="0"/>
                    <w:ind w:left="160" w:right="432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FFFFFF"/>
                      <w:sz w:val="16"/>
                    </w:rPr>
                    <w:t xml:space="preserve">HIGH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Transparency Risk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Hidden Odds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3.9999999999998" w:type="dxa"/>
            </w:tblPr>
            <w:tblGrid>
              <w:gridCol w:w="4020"/>
            </w:tblGrid>
            <w:tr>
              <w:trPr>
                <w:trHeight w:hRule="exact" w:val="880"/>
              </w:trPr>
              <w:tc>
                <w:tcPr>
                  <w:tcW w:type="dxa" w:w="2800"/>
                  <w:tcBorders>
                    <w:start w:sz="32.0" w:val="single" w:color="#D87705"/>
                    <w:top w:sz="32.0" w:val="single" w:color="#D87705"/>
                    <w:end w:sz="32.0" w:val="single" w:color="#D87705"/>
                    <w:bottom w:sz="32.0" w:val="single" w:color="#D8770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76" w:val="left"/>
                    </w:tabs>
                    <w:autoSpaceDE w:val="0"/>
                    <w:widowControl/>
                    <w:spacing w:line="172" w:lineRule="exact" w:before="78" w:after="0"/>
                    <w:ind w:left="36" w:right="576" w:firstLine="0"/>
                    <w:jc w:val="left"/>
                  </w:pPr>
                  <w:r>
                    <w:rPr>
                      <w:shd w:val="clear" w:color="auto" w:fill="d87705"/>
                      <w:rFonts w:ascii="Helvetica" w:hAnsi="Helvetica" w:eastAsia="Helvetica"/>
                      <w:b/>
                      <w:i w:val="0"/>
                      <w:color w:val="FFFFFF"/>
                      <w:sz w:val="16"/>
                    </w:rPr>
                    <w:t xml:space="preserve">MEDIUM </w:t>
                  </w:r>
                  <w:r>
                    <w:br/>
                  </w:r>
                  <w:r>
                    <w:tab/>
                  </w:r>
                  <w:r>
                    <w:rPr>
                      <w:shd w:val="clear" w:color="auto" w:fill="d8770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V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erification Risk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Limited Audit Scope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7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14.0" w:type="dxa"/>
      </w:tblPr>
      <w:tblGrid>
        <w:gridCol w:w="9830"/>
      </w:tblGrid>
      <w:tr>
        <w:trPr>
          <w:trHeight w:hRule="exact" w:val="1200"/>
        </w:trPr>
        <w:tc>
          <w:tcPr>
            <w:tcW w:type="dxa" w:w="8000"/>
            <w:tcBorders>
              <w:start w:sz="16.0" w:val="single" w:color="#E4E6EB"/>
              <w:top w:sz="16.0" w:val="single" w:color="#E4E6EB"/>
              <w:end w:sz="16.0" w:val="single" w:color="#E4E6EB"/>
              <w:bottom w:sz="16.0" w:val="single" w:color="#E4E6EB"/>
            </w:tcBorders>
            <w:shd w:fill="f9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2" w:after="0"/>
              <w:ind w:left="980" w:right="2736" w:firstLine="2032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Risk Level Guide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HIGH: Significant player risk, minimal protection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MEDIUM: Moderate risk, some mitigation possible</w:t>
            </w:r>
          </w:p>
        </w:tc>
      </w:tr>
    </w:tbl>
    <w:p>
      <w:pPr>
        <w:autoSpaceDN w:val="0"/>
        <w:autoSpaceDE w:val="0"/>
        <w:widowControl/>
        <w:spacing w:line="386" w:lineRule="exact" w:before="2088" w:after="58"/>
        <w:ind w:left="14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8"/>
        </w:rPr>
        <w:t>Comparison with Traditional Gambling: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457"/>
        <w:gridCol w:w="2457"/>
        <w:gridCol w:w="2457"/>
        <w:gridCol w:w="2457"/>
      </w:tblGrid>
      <w:tr>
        <w:trPr>
          <w:trHeight w:hRule="exact" w:val="362"/>
        </w:trPr>
        <w:tc>
          <w:tcPr>
            <w:tcW w:type="dxa" w:w="1728"/>
            <w:tcBorders>
              <w:start w:sz="12.0" w:val="single" w:color="#E4E6EB"/>
              <w:top w:sz="12.0" w:val="single" w:color="#E4E6EB"/>
              <w:end w:sz="6.0" w:val="single" w:color="#E4E6EB"/>
              <w:bottom w:sz="6.0" w:val="single" w:color="#E4E6EB"/>
            </w:tcBorders>
            <w:shd w:fill="3b82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2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Aspect</w:t>
            </w:r>
          </w:p>
        </w:tc>
        <w:tc>
          <w:tcPr>
            <w:tcW w:type="dxa" w:w="2160"/>
            <w:tcBorders>
              <w:start w:sz="6.0" w:val="single" w:color="#E4E6EB"/>
              <w:top w:sz="12.0" w:val="single" w:color="#E4E6EB"/>
              <w:end w:sz="6.0" w:val="single" w:color="#E4E6EB"/>
              <w:bottom w:sz="6.0" w:val="single" w:color="#E4E6EB"/>
            </w:tcBorders>
            <w:shd w:fill="3b82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2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Traditional License</w:t>
            </w:r>
          </w:p>
        </w:tc>
        <w:tc>
          <w:tcPr>
            <w:tcW w:type="dxa" w:w="2160"/>
            <w:tcBorders>
              <w:start w:sz="6.0" w:val="single" w:color="#E4E6EB"/>
              <w:top w:sz="12.0" w:val="single" w:color="#E4E6EB"/>
              <w:end w:sz="6.0" w:val="single" w:color="#E4E6EB"/>
              <w:bottom w:sz="6.0" w:val="single" w:color="#E4E6EB"/>
            </w:tcBorders>
            <w:shd w:fill="3b82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 xml:space="preserve">d Casino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Proov Network</w:t>
            </w:r>
          </w:p>
        </w:tc>
        <w:tc>
          <w:tcPr>
            <w:tcW w:type="dxa" w:w="1872"/>
            <w:tcBorders>
              <w:start w:sz="6.0" w:val="single" w:color="#E4E6EB"/>
              <w:top w:sz="12.0" w:val="single" w:color="#E4E6EB"/>
              <w:end w:sz="12.0" w:val="single" w:color="#E4E6EB"/>
              <w:bottom w:sz="6.0" w:val="single" w:color="#E4E6EB"/>
            </w:tcBorders>
            <w:shd w:fill="3b82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2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Risk Assessment</w:t>
            </w:r>
          </w:p>
        </w:tc>
      </w:tr>
      <w:tr>
        <w:trPr>
          <w:trHeight w:hRule="exact" w:val="360"/>
        </w:trPr>
        <w:tc>
          <w:tcPr>
            <w:tcW w:type="dxa" w:w="1728"/>
            <w:tcBorders>
              <w:start w:sz="12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Randomness Sou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rceCertified physical/digita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l RNG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Company-controlled V</w:t>
            </w:r>
          </w:p>
        </w:tc>
        <w:tc>
          <w:tcPr>
            <w:tcW w:type="dxa" w:w="1872"/>
            <w:tcBorders>
              <w:start w:sz="6.0" w:val="single" w:color="#E4E6EB"/>
              <w:top w:sz="6.0" w:val="single" w:color="#E4E6EB"/>
              <w:end w:sz="12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RF oracles 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Higher risk</w:t>
            </w:r>
          </w:p>
        </w:tc>
      </w:tr>
      <w:tr>
        <w:trPr>
          <w:trHeight w:hRule="exact" w:val="360"/>
        </w:trPr>
        <w:tc>
          <w:tcPr>
            <w:tcW w:type="dxa" w:w="1728"/>
            <w:tcBorders>
              <w:start w:sz="12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Regulation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Government licensed &amp;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audited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Self-regulated</w:t>
            </w:r>
          </w:p>
        </w:tc>
        <w:tc>
          <w:tcPr>
            <w:tcW w:type="dxa" w:w="1872"/>
            <w:tcBorders>
              <w:start w:sz="6.0" w:val="single" w:color="#E4E6EB"/>
              <w:top w:sz="6.0" w:val="single" w:color="#E4E6EB"/>
              <w:end w:sz="12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Higher risk</w:t>
            </w:r>
          </w:p>
        </w:tc>
      </w:tr>
      <w:tr>
        <w:trPr>
          <w:trHeight w:hRule="exact" w:val="360"/>
        </w:trPr>
        <w:tc>
          <w:tcPr>
            <w:tcW w:type="dxa" w:w="1728"/>
            <w:tcBorders>
              <w:start w:sz="12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Odds Disclosure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Required by law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Not disclosed</w:t>
            </w:r>
          </w:p>
        </w:tc>
        <w:tc>
          <w:tcPr>
            <w:tcW w:type="dxa" w:w="1872"/>
            <w:tcBorders>
              <w:start w:sz="6.0" w:val="single" w:color="#E4E6EB"/>
              <w:top w:sz="6.0" w:val="single" w:color="#E4E6EB"/>
              <w:end w:sz="12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Higher risk</w:t>
            </w:r>
          </w:p>
        </w:tc>
      </w:tr>
      <w:tr>
        <w:trPr>
          <w:trHeight w:hRule="exact" w:val="360"/>
        </w:trPr>
        <w:tc>
          <w:tcPr>
            <w:tcW w:type="dxa" w:w="1728"/>
            <w:tcBorders>
              <w:start w:sz="12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Dispute Resolutio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 Gambling commission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No clear process</w:t>
            </w:r>
          </w:p>
        </w:tc>
        <w:tc>
          <w:tcPr>
            <w:tcW w:type="dxa" w:w="1872"/>
            <w:tcBorders>
              <w:start w:sz="6.0" w:val="single" w:color="#E4E6EB"/>
              <w:top w:sz="6.0" w:val="single" w:color="#E4E6EB"/>
              <w:end w:sz="12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Higher risk</w:t>
            </w:r>
          </w:p>
        </w:tc>
      </w:tr>
      <w:tr>
        <w:trPr>
          <w:trHeight w:hRule="exact" w:val="360"/>
        </w:trPr>
        <w:tc>
          <w:tcPr>
            <w:tcW w:type="dxa" w:w="1728"/>
            <w:tcBorders>
              <w:start w:sz="12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Audit Scope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Full game auditing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Limited to smart contra</w:t>
            </w:r>
          </w:p>
        </w:tc>
        <w:tc>
          <w:tcPr>
            <w:tcW w:type="dxa" w:w="1872"/>
            <w:tcBorders>
              <w:start w:sz="6.0" w:val="single" w:color="#E4E6EB"/>
              <w:top w:sz="6.0" w:val="single" w:color="#E4E6EB"/>
              <w:end w:sz="12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cts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Higher risk</w:t>
            </w:r>
          </w:p>
        </w:tc>
      </w:tr>
      <w:tr>
        <w:trPr>
          <w:trHeight w:hRule="exact" w:val="360"/>
        </w:trPr>
        <w:tc>
          <w:tcPr>
            <w:tcW w:type="dxa" w:w="1728"/>
            <w:tcBorders>
              <w:start w:sz="12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Technology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Traditional systems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Advanced cryptograph</w:t>
            </w:r>
          </w:p>
        </w:tc>
        <w:tc>
          <w:tcPr>
            <w:tcW w:type="dxa" w:w="1872"/>
            <w:tcBorders>
              <w:start w:sz="6.0" w:val="single" w:color="#E4E6EB"/>
              <w:top w:sz="6.0" w:val="single" w:color="#E4E6EB"/>
              <w:end w:sz="12.0" w:val="single" w:color="#E4E6EB"/>
              <w:bottom w:sz="6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 xml:space="preserve"> 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More sophisticate</w:t>
            </w:r>
          </w:p>
        </w:tc>
      </w:tr>
      <w:tr>
        <w:trPr>
          <w:trHeight w:hRule="exact" w:val="338"/>
        </w:trPr>
        <w:tc>
          <w:tcPr>
            <w:tcW w:type="dxa" w:w="1728"/>
            <w:tcBorders>
              <w:start w:sz="12.0" w:val="single" w:color="#E4E6EB"/>
              <w:top w:sz="6.0" w:val="single" w:color="#E4E6EB"/>
              <w:end w:sz="6.0" w:val="single" w:color="#E4E6EB"/>
              <w:bottom w:sz="12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Transparency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12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Regulated transparenc</w:t>
            </w:r>
          </w:p>
        </w:tc>
        <w:tc>
          <w:tcPr>
            <w:tcW w:type="dxa" w:w="2160"/>
            <w:tcBorders>
              <w:start w:sz="6.0" w:val="single" w:color="#E4E6EB"/>
              <w:top w:sz="6.0" w:val="single" w:color="#E4E6EB"/>
              <w:end w:sz="6.0" w:val="single" w:color="#E4E6EB"/>
              <w:bottom w:sz="12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y Blockchain transparenc</w:t>
            </w:r>
          </w:p>
        </w:tc>
        <w:tc>
          <w:tcPr>
            <w:tcW w:type="dxa" w:w="1872"/>
            <w:tcBorders>
              <w:start w:sz="6.0" w:val="single" w:color="#E4E6EB"/>
              <w:top w:sz="6.0" w:val="single" w:color="#E4E6EB"/>
              <w:end w:sz="12.0" w:val="single" w:color="#E4E6EB"/>
              <w:bottom w:sz="12.0" w:val="single" w:color="#E4E6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Different model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0" w:bottom="1198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1562100</wp:posOffset>
            </wp:positionV>
            <wp:extent cx="5499100" cy="673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67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B82F6"/>
          <w:sz w:val="32"/>
        </w:rPr>
        <w:t>PART III: ALGORITHM &amp; VERIFICATION ANALYSIS</w:t>
      </w:r>
    </w:p>
    <w:p>
      <w:pPr>
        <w:autoSpaceDN w:val="0"/>
        <w:autoSpaceDE w:val="0"/>
        <w:widowControl/>
        <w:spacing w:line="440" w:lineRule="exact" w:before="240" w:after="428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2"/>
        </w:rPr>
        <w:t>MADAMEFORTUNE Algorithm Flow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2618"/>
        <w:gridCol w:w="2618"/>
        <w:gridCol w:w="2618"/>
        <w:gridCol w:w="2618"/>
      </w:tblGrid>
      <w:tr>
        <w:trPr>
          <w:trHeight w:hRule="exact" w:val="37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72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VRF Input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Hash to Int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Weight Map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55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Multiplier</w:t>
            </w:r>
          </w:p>
        </w:tc>
      </w:tr>
      <w:tr>
        <w:trPr>
          <w:trHeight w:hRule="exact" w:val="24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0" w:right="7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Cryptographic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Convert to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Map to outcome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0" w:right="5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Calculate final</w:t>
            </w:r>
          </w:p>
        </w:tc>
      </w:tr>
      <w:tr>
        <w:trPr>
          <w:trHeight w:hRule="exact" w:val="76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8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randomness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uniform integer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weight ranges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5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payout amount</w:t>
            </w:r>
          </w:p>
        </w:tc>
      </w:tr>
      <w:tr>
        <w:trPr>
          <w:trHeight w:hRule="exact" w:val="170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4.0" w:type="dxa"/>
            </w:tblPr>
            <w:tblGrid>
              <w:gridCol w:w="2580"/>
            </w:tblGrid>
            <w:tr>
              <w:trPr>
                <w:trHeight w:hRule="exact" w:val="980"/>
              </w:trPr>
              <w:tc>
                <w:tcPr>
                  <w:tcW w:type="dxa" w:w="1400"/>
                  <w:tcBorders>
                    <w:start w:sz="32.0" w:val="single" w:color="#8A5BF6"/>
                    <w:top w:sz="32.0" w:val="single" w:color="#8A5BF6"/>
                    <w:end w:sz="32.0" w:val="single" w:color="#8A5BF6"/>
                    <w:bottom w:sz="32.0" w:val="single" w:color="#8A5BF6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Distribution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 xml:space="preserve">5000x: 100 weight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 xml:space="preserve">1000x: 400 weight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...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3.9999999999998" w:type="dxa"/>
            </w:tblPr>
            <w:tblGrid>
              <w:gridCol w:w="2400"/>
            </w:tblGrid>
            <w:tr>
              <w:trPr>
                <w:trHeight w:hRule="exact" w:val="980"/>
              </w:trPr>
              <w:tc>
                <w:tcPr>
                  <w:tcW w:type="dxa" w:w="1400"/>
                  <w:tcBorders>
                    <w:start w:sz="32.0" w:val="single" w:color="#8A5BF6"/>
                    <w:top w:sz="32.0" w:val="single" w:color="#8A5BF6"/>
                    <w:end w:sz="32.0" w:val="single" w:color="#8A5BF6"/>
                    <w:bottom w:sz="32.0" w:val="single" w:color="#8A5BF6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Total Weight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 xml:space="preserve">Sum all possible </w:t>
                  </w:r>
                  <w:r>
                    <w:br/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outcome weights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3.9999999999998" w:type="dxa"/>
            </w:tblPr>
            <w:tblGrid>
              <w:gridCol w:w="2400"/>
            </w:tblGrid>
            <w:tr>
              <w:trPr>
                <w:trHeight w:hRule="exact" w:val="980"/>
              </w:trPr>
              <w:tc>
                <w:tcPr>
                  <w:tcW w:type="dxa" w:w="1400"/>
                  <w:tcBorders>
                    <w:start w:sz="32.0" w:val="single" w:color="#8A5BF6"/>
                    <w:top w:sz="32.0" w:val="single" w:color="#8A5BF6"/>
                    <w:end w:sz="32.0" w:val="single" w:color="#8A5BF6"/>
                    <w:bottom w:sz="32.0" w:val="single" w:color="#8A5BF6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144" w:right="144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Selection </w:t>
                  </w:r>
                  <w:r>
                    <w:br/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 xml:space="preserve">Random integer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selects outcome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36" w:after="0"/>
              <w:ind w:left="4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independently verified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3.9999999999998" w:type="dxa"/>
            </w:tblPr>
            <w:tblGrid>
              <w:gridCol w:w="2200"/>
            </w:tblGrid>
            <w:tr>
              <w:trPr>
                <w:trHeight w:hRule="exact" w:val="980"/>
              </w:trPr>
              <w:tc>
                <w:tcPr>
                  <w:tcW w:type="dxa" w:w="1400"/>
                  <w:tcBorders>
                    <w:start w:sz="32.0" w:val="single" w:color="#8A5BF6"/>
                    <w:top w:sz="32.0" w:val="single" w:color="#8A5BF6"/>
                    <w:end w:sz="32.0" w:val="single" w:color="#8A5BF6"/>
                    <w:bottom w:sz="32.0" w:val="single" w:color="#8A5BF6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Verification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Math can be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10472"/>
      </w:tblGrid>
      <w:tr>
        <w:trPr>
          <w:trHeight w:hRule="exact" w:val="1600"/>
        </w:trPr>
        <w:tc>
          <w:tcPr>
            <w:tcW w:type="dxa" w:w="8400"/>
            <w:tcBorders>
              <w:start w:sz="32.0" w:val="single" w:color="#DB2626"/>
              <w:top w:sz="32.0" w:val="single" w:color="#DB2626"/>
              <w:end w:sz="32.0" w:val="single" w:color="#DB2626"/>
              <w:bottom w:sz="32.0" w:val="single" w:color="#DB2626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" w:after="0"/>
              <w:ind w:left="0" w:right="0" w:firstLine="0"/>
              <w:jc w:val="center"/>
            </w:pPr>
            <w:r>
              <w:rPr>
                <w:rFonts w:ascii="ZapfDingbats" w:hAnsi="ZapfDingbats" w:eastAsia="ZapfDingbats"/>
                <w:b w:val="0"/>
                <w:i w:val="0"/>
                <w:color w:val="DC2626"/>
                <w:sz w:val="24"/>
              </w:rPr>
              <w:t>I</w:t>
            </w:r>
            <w:r>
              <w:rPr>
                <w:rFonts w:ascii="Helvetica" w:hAnsi="Helvetica" w:eastAsia="Helvetica"/>
                <w:b/>
                <w:i w:val="0"/>
                <w:color w:val="DC2626"/>
                <w:sz w:val="24"/>
              </w:rPr>
              <w:t xml:space="preserve"> ALGORITHM ANALYSIS</w:t>
            </w:r>
          </w:p>
          <w:p>
            <w:pPr>
              <w:autoSpaceDN w:val="0"/>
              <w:tabs>
                <w:tab w:pos="2128" w:val="left"/>
                <w:tab w:pos="2706" w:val="left"/>
              </w:tabs>
              <w:autoSpaceDE w:val="0"/>
              <w:widowControl/>
              <w:spacing w:line="300" w:lineRule="exact" w:before="82" w:after="0"/>
              <w:ind w:left="1768" w:right="1728" w:firstLine="0"/>
              <w:jc w:val="left"/>
            </w:pP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Mathematics are sound and verifiable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Code implementation matches published algorithms </w:t>
            </w:r>
            <w:r>
              <w:rPr>
                <w:rFonts w:ascii="ZapfDingbats" w:hAnsi="ZapfDingbats" w:eastAsia="ZapfDingbats"/>
                <w:b w:val="0"/>
                <w:i w:val="0"/>
                <w:color w:val="DC2626"/>
                <w:sz w:val="20"/>
              </w:rPr>
              <w:t>II</w:t>
            </w:r>
            <w:r>
              <w:rPr>
                <w:rFonts w:ascii="Times" w:hAnsi="Times" w:eastAsia="Times"/>
                <w:b w:val="0"/>
                <w:i w:val="0"/>
                <w:color w:val="DC2626"/>
                <w:sz w:val="20"/>
              </w:rPr>
              <w:t xml:space="preserve"> BUT: Randomness source is controlled by single entity</w:t>
            </w:r>
          </w:p>
        </w:tc>
      </w:tr>
    </w:tbl>
    <w:p>
      <w:pPr>
        <w:autoSpaceDN w:val="0"/>
        <w:autoSpaceDE w:val="0"/>
        <w:widowControl/>
        <w:spacing w:line="386" w:lineRule="exact" w:before="161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8"/>
        </w:rPr>
        <w:t>VRF Implementation Analysis: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0472"/>
      </w:tblGrid>
      <w:tr>
        <w:trPr>
          <w:trHeight w:hRule="exact" w:val="1760"/>
        </w:trPr>
        <w:tc>
          <w:tcPr>
            <w:tcW w:type="dxa" w:w="10192"/>
            <w:tcBorders>
              <w:start w:sz="16.0" w:val="single" w:color="#E4E6EB"/>
              <w:top w:sz="16.0" w:val="single" w:color="#E4E6EB"/>
              <w:end w:sz="16.0" w:val="single" w:color="#E4E6EB"/>
              <w:bottom w:sz="16.0" w:val="single" w:color="#E4E6EB"/>
            </w:tcBorders>
            <w:shd w:fill="f9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40" w:right="14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374151"/>
                <w:sz w:val="18"/>
              </w:rPr>
              <w:t xml:space="preserve"># Core VRF verification function (simplified) def verify_vrf(public_key: bytes, message: </w:t>
            </w:r>
            <w:r>
              <w:rPr>
                <w:rFonts w:ascii="Courier" w:hAnsi="Courier" w:eastAsia="Courier"/>
                <w:b w:val="0"/>
                <w:i w:val="0"/>
                <w:color w:val="374151"/>
                <w:sz w:val="18"/>
              </w:rPr>
              <w:t xml:space="preserve">bytes, proof: bytes) -&gt; tuple[bool, bytes]: gamma = proof[:32] # VRF output point c = </w:t>
            </w:r>
            <w:r>
              <w:rPr>
                <w:rFonts w:ascii="Courier" w:hAnsi="Courier" w:eastAsia="Courier"/>
                <w:b w:val="0"/>
                <w:i w:val="0"/>
                <w:color w:val="374151"/>
                <w:sz w:val="18"/>
              </w:rPr>
              <w:t xml:space="preserve">proof[32:48] # Challenge hash s = proof[48:] # Scalar response # Verify proof equations h = </w:t>
            </w:r>
            <w:r>
              <w:rPr>
                <w:rFonts w:ascii="Courier" w:hAnsi="Courier" w:eastAsia="Courier"/>
                <w:b w:val="0"/>
                <w:i w:val="0"/>
                <w:color w:val="374151"/>
                <w:sz w:val="18"/>
              </w:rPr>
              <w:t xml:space="preserve">hash_to_curve(public_key, message) U = s*B - c*public_key # Equation 1 V = s*h - c*gamma # </w:t>
            </w:r>
            <w:r>
              <w:rPr>
                <w:rFonts w:ascii="Courier" w:hAnsi="Courier" w:eastAsia="Courier"/>
                <w:b w:val="0"/>
                <w:i w:val="0"/>
                <w:color w:val="374151"/>
                <w:sz w:val="18"/>
              </w:rPr>
              <w:t xml:space="preserve">Equation 2 # Check if proof is valid valid = hash_points(h, gamma, U, V) == c randomness = </w:t>
            </w:r>
            <w:r>
              <w:rPr>
                <w:rFonts w:ascii="Courier" w:hAnsi="Courier" w:eastAsia="Courier"/>
                <w:b w:val="0"/>
                <w:i w:val="0"/>
                <w:color w:val="374151"/>
                <w:sz w:val="18"/>
              </w:rPr>
              <w:t>hash(gamma) if valid else b"" return valid, randomness</w:t>
            </w:r>
          </w:p>
        </w:tc>
      </w:tr>
    </w:tbl>
    <w:p>
      <w:pPr>
        <w:autoSpaceDN w:val="0"/>
        <w:autoSpaceDE w:val="0"/>
        <w:widowControl/>
        <w:spacing w:line="386" w:lineRule="exact" w:before="4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8"/>
        </w:rPr>
        <w:t>Critical Analysis:</w:t>
      </w:r>
    </w:p>
    <w:p>
      <w:pPr>
        <w:autoSpaceDN w:val="0"/>
        <w:autoSpaceDE w:val="0"/>
        <w:widowControl/>
        <w:spacing w:line="240" w:lineRule="exact" w:before="12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The VRF implementation is cryptographically sound and follows established standards. However, the 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security depends entirely on the assumption that oracle private keys are independently controlled and not 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>coordinated.</w:t>
      </w:r>
    </w:p>
    <w:p>
      <w:pPr>
        <w:sectPr>
          <w:pgSz w:w="12240" w:h="15840"/>
          <w:pgMar w:top="480" w:right="784" w:bottom="1440" w:left="9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1498600</wp:posOffset>
            </wp:positionV>
            <wp:extent cx="5372100" cy="4229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22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B82F6"/>
          <w:sz w:val="32"/>
        </w:rPr>
        <w:t>PART IV: VERIFICATION PROCESS DEEP DIVE</w:t>
      </w:r>
    </w:p>
    <w:p>
      <w:pPr>
        <w:autoSpaceDN w:val="0"/>
        <w:autoSpaceDE w:val="0"/>
        <w:widowControl/>
        <w:spacing w:line="440" w:lineRule="exact" w:before="240" w:after="388"/>
        <w:ind w:left="173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Proov's 7-Step Verification Process (Detailed)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3272"/>
        <w:gridCol w:w="3272"/>
        <w:gridCol w:w="3272"/>
      </w:tblGrid>
      <w:tr>
        <w:trPr>
          <w:trHeight w:hRule="exact" w:val="41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60" w:after="0"/>
              <w:ind w:left="68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1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Login Signature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60" w:after="0"/>
              <w:ind w:left="0" w:right="97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2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 Bet Request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60" w:after="0"/>
              <w:ind w:left="0" w:right="61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3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 Oracle VRF</w:t>
            </w:r>
          </w:p>
        </w:tc>
      </w:tr>
      <w:tr>
        <w:trPr>
          <w:trHeight w:hRule="exact" w:val="28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6" w:after="0"/>
              <w:ind w:left="5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Wallet signs login message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Auth key signs bet request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6" w:after="0"/>
              <w:ind w:left="0" w:right="2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Oracles generate VRF proof</w:t>
            </w:r>
          </w:p>
        </w:tc>
      </w:tr>
      <w:tr>
        <w:trPr>
          <w:trHeight w:hRule="exact" w:val="82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59669"/>
                <w:sz w:val="16"/>
              </w:rPr>
              <w:t xml:space="preserve"> SECURE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11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59669"/>
                <w:sz w:val="16"/>
              </w:rPr>
              <w:t xml:space="preserve"> SECURE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300" w:firstLine="0"/>
              <w:jc w:val="right"/>
            </w:pPr>
            <w:r>
              <w:rPr>
                <w:rFonts w:ascii="ZapfDingbats" w:hAnsi="ZapfDingbats" w:eastAsia="ZapfDingbats"/>
                <w:b w:val="0"/>
                <w:i w:val="0"/>
                <w:color w:val="DC2626"/>
                <w:sz w:val="16"/>
              </w:rPr>
              <w:t>II</w:t>
            </w:r>
            <w:r>
              <w:rPr>
                <w:rFonts w:ascii="Helvetica" w:hAnsi="Helvetica" w:eastAsia="Helvetica"/>
                <w:b/>
                <w:i w:val="0"/>
                <w:color w:val="DC2626"/>
                <w:sz w:val="16"/>
              </w:rPr>
              <w:t xml:space="preserve"> TRUST REQUIRED</w:t>
            </w:r>
          </w:p>
        </w:tc>
      </w:tr>
      <w:tr>
        <w:trPr>
          <w:trHeight w:hRule="exact" w:val="902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550" w:after="0"/>
              <w:ind w:left="68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4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 Payout Calc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550" w:after="0"/>
              <w:ind w:left="0" w:right="9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5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Shard Award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550" w:after="0"/>
              <w:ind w:left="0" w:right="64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6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 Settlement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36.0" w:type="dxa"/>
      </w:tblPr>
      <w:tblGrid>
        <w:gridCol w:w="3272"/>
        <w:gridCol w:w="3272"/>
        <w:gridCol w:w="3272"/>
      </w:tblGrid>
      <w:tr>
        <w:trPr>
          <w:trHeight w:hRule="exact" w:val="278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" w:after="0"/>
              <w:ind w:left="5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Algorithm calculates payout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Bonus shard calculation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" w:after="0"/>
              <w:ind w:left="0" w:right="2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Settlement math verification</w:t>
            </w:r>
          </w:p>
        </w:tc>
      </w:tr>
      <w:tr>
        <w:trPr>
          <w:trHeight w:hRule="exact" w:val="334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59669"/>
                <w:sz w:val="16"/>
              </w:rPr>
              <w:t xml:space="preserve"> VERIFIABLE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95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59669"/>
                <w:sz w:val="16"/>
              </w:rPr>
              <w:t xml:space="preserve"> VERIFIABLE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59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59669"/>
                <w:sz w:val="16"/>
              </w:rPr>
              <w:t xml:space="preserve"> VERIFIABLE</w:t>
            </w:r>
          </w:p>
        </w:tc>
      </w:tr>
    </w:tbl>
    <w:p>
      <w:pPr>
        <w:autoSpaceDN w:val="0"/>
        <w:autoSpaceDE w:val="0"/>
        <w:widowControl/>
        <w:spacing w:line="316" w:lineRule="exact" w:before="1036" w:after="0"/>
        <w:ind w:left="0" w:right="4082" w:firstLine="0"/>
        <w:jc w:val="right"/>
      </w:pPr>
      <w:r>
        <w:rPr>
          <w:rFonts w:ascii="Helvetica" w:hAnsi="Helvetica" w:eastAsia="Helvetica"/>
          <w:b/>
          <w:i w:val="0"/>
          <w:color w:val="FFFFFF"/>
          <w:sz w:val="20"/>
        </w:rPr>
        <w:t>7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 Blockchain</w:t>
      </w:r>
    </w:p>
    <w:p>
      <w:pPr>
        <w:autoSpaceDN w:val="0"/>
        <w:autoSpaceDE w:val="0"/>
        <w:widowControl/>
        <w:spacing w:line="212" w:lineRule="exact" w:before="70" w:after="0"/>
        <w:ind w:left="0" w:right="373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16"/>
        </w:rPr>
        <w:t>On-chain transaction match</w:t>
      </w:r>
    </w:p>
    <w:p>
      <w:pPr>
        <w:autoSpaceDN w:val="0"/>
        <w:autoSpaceDE w:val="0"/>
        <w:widowControl/>
        <w:spacing w:line="222" w:lineRule="exact" w:before="84" w:after="0"/>
        <w:ind w:left="0" w:right="4058" w:firstLine="0"/>
        <w:jc w:val="right"/>
      </w:pPr>
      <w:r>
        <w:rPr>
          <w:rFonts w:ascii="Helvetica" w:hAnsi="Helvetica" w:eastAsia="Helvetica"/>
          <w:b/>
          <w:i w:val="0"/>
          <w:color w:val="059669"/>
          <w:sz w:val="16"/>
        </w:rPr>
        <w:t xml:space="preserve"> VERIFIABLE</w:t>
      </w:r>
    </w:p>
    <w:p>
      <w:pPr>
        <w:autoSpaceDN w:val="0"/>
        <w:autoSpaceDE w:val="0"/>
        <w:widowControl/>
        <w:spacing w:line="330" w:lineRule="exact" w:before="194" w:after="0"/>
        <w:ind w:left="0" w:right="2754" w:firstLine="0"/>
        <w:jc w:val="right"/>
      </w:pPr>
      <w:r>
        <w:rPr>
          <w:rFonts w:ascii="ZapfDingbats" w:hAnsi="ZapfDingbats" w:eastAsia="ZapfDingbats"/>
          <w:b w:val="0"/>
          <w:i w:val="0"/>
          <w:color w:val="DC2626"/>
          <w:sz w:val="24"/>
        </w:rPr>
        <w:t>II</w:t>
      </w:r>
      <w:r>
        <w:rPr>
          <w:rFonts w:ascii="Helvetica" w:hAnsi="Helvetica" w:eastAsia="Helvetica"/>
          <w:b/>
          <w:i w:val="0"/>
          <w:color w:val="DC2626"/>
          <w:sz w:val="24"/>
        </w:rPr>
        <w:t xml:space="preserve"> STEP 3 CRITICAL ANALYSIS</w:t>
      </w:r>
    </w:p>
    <w:p>
      <w:pPr>
        <w:autoSpaceDN w:val="0"/>
        <w:autoSpaceDE w:val="0"/>
        <w:widowControl/>
        <w:spacing w:line="300" w:lineRule="exact" w:before="82" w:after="0"/>
        <w:ind w:left="2592" w:right="2016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VRF verification only confirms cryptographic validity </w:t>
      </w:r>
      <w:r>
        <w:br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It does NOT verify oracle independence or prevent coordination </w:t>
      </w:r>
      <w:r>
        <w:rPr>
          <w:rFonts w:ascii="Times" w:hAnsi="Times" w:eastAsia="Times"/>
          <w:b w:val="0"/>
          <w:i w:val="0"/>
          <w:color w:val="000000"/>
          <w:sz w:val="20"/>
        </w:rPr>
        <w:t>All oracles could be controlled by the same entity</w:t>
      </w:r>
    </w:p>
    <w:p>
      <w:pPr>
        <w:sectPr>
          <w:pgSz w:w="12240" w:h="15840"/>
          <w:pgMar w:top="482" w:right="1440" w:bottom="1440" w:left="9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2"/>
        <w:ind w:left="0" w:right="0"/>
      </w:pPr>
    </w:p>
    <w:p>
      <w:pPr>
        <w:autoSpaceDN w:val="0"/>
        <w:autoSpaceDE w:val="0"/>
        <w:widowControl/>
        <w:spacing w:line="464" w:lineRule="exact" w:before="0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B82F6"/>
          <w:sz w:val="32"/>
        </w:rPr>
        <w:t xml:space="preserve">PART VI: CONCLUSIONS &amp; RECOMMENDATIONS </w:t>
      </w:r>
      <w:r>
        <w:br/>
      </w:r>
      <w:r>
        <w:rPr>
          <w:rFonts w:ascii="Helvetica" w:hAnsi="Helvetica" w:eastAsia="Helvetica"/>
          <w:b/>
          <w:i w:val="0"/>
          <w:color w:val="1F2937"/>
          <w:sz w:val="28"/>
        </w:rPr>
        <w:t xml:space="preserve">For Players: </w:t>
      </w:r>
      <w:r>
        <w:br/>
      </w:r>
      <w:r>
        <w:rPr>
          <w:rFonts w:ascii="Helvetica" w:hAnsi="Helvetica" w:eastAsia="Helvetica"/>
          <w:b/>
          <w:i w:val="0"/>
          <w:color w:val="1F2937"/>
          <w:sz w:val="22"/>
        </w:rPr>
        <w:t>Understand the Risks: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This platform has higher risks than licensed casinos due to centralized control. </w:t>
      </w:r>
      <w:r>
        <w:rPr>
          <w:rFonts w:ascii="Helvetica" w:hAnsi="Helvetica" w:eastAsia="Helvetica"/>
          <w:b/>
          <w:i w:val="0"/>
          <w:color w:val="1F2937"/>
          <w:sz w:val="22"/>
        </w:rPr>
        <w:t>No Regulatory Protection: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You have no gambling commission to appeal to if issues arise.</w:t>
      </w:r>
    </w:p>
    <w:p>
      <w:pPr>
        <w:autoSpaceDN w:val="0"/>
        <w:autoSpaceDE w:val="0"/>
        <w:widowControl/>
        <w:spacing w:line="304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2"/>
        </w:rPr>
        <w:t>Hidden Odds: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You're gambling without knowing your true chances of winning.</w:t>
      </w:r>
    </w:p>
    <w:p>
      <w:pPr>
        <w:autoSpaceDN w:val="0"/>
        <w:autoSpaceDE w:val="0"/>
        <w:widowControl/>
        <w:spacing w:line="304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2"/>
        </w:rPr>
        <w:t>Trust Requirements: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You must trust that the company won't manipulate outcomes.</w:t>
      </w:r>
    </w:p>
    <w:p>
      <w:pPr>
        <w:autoSpaceDN w:val="0"/>
        <w:autoSpaceDE w:val="0"/>
        <w:widowControl/>
        <w:spacing w:line="456" w:lineRule="exact" w:before="366" w:after="0"/>
        <w:ind w:left="0" w:right="1728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8"/>
        </w:rPr>
        <w:t xml:space="preserve">For Journalists &amp; Investigators: </w:t>
      </w:r>
      <w:r>
        <w:br/>
      </w:r>
      <w:r>
        <w:rPr>
          <w:rFonts w:ascii="Helvetica" w:hAnsi="Helvetica" w:eastAsia="Helvetica"/>
          <w:b/>
          <w:i w:val="0"/>
          <w:color w:val="1F2937"/>
          <w:sz w:val="22"/>
        </w:rPr>
        <w:t>Focus on Centralization: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The key issue is oracle control, not cryptographic validity. </w:t>
      </w:r>
      <w:r>
        <w:rPr>
          <w:rFonts w:ascii="Helvetica" w:hAnsi="Helvetica" w:eastAsia="Helvetica"/>
          <w:b/>
          <w:i w:val="0"/>
          <w:color w:val="1F2937"/>
          <w:sz w:val="22"/>
        </w:rPr>
        <w:t>Compare to Standards: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Contrast with truly decentralized systems like Chainlink VRF. </w:t>
      </w:r>
      <w:r>
        <w:rPr>
          <w:rFonts w:ascii="Helvetica" w:hAnsi="Helvetica" w:eastAsia="Helvetica"/>
          <w:b/>
          <w:i w:val="0"/>
          <w:color w:val="1F2937"/>
          <w:sz w:val="22"/>
        </w:rPr>
        <w:t>Investigate Patterns: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Look for suspicious win patterns from specific wallets.</w:t>
      </w:r>
    </w:p>
    <w:p>
      <w:pPr>
        <w:autoSpaceDN w:val="0"/>
        <w:autoSpaceDE w:val="0"/>
        <w:widowControl/>
        <w:spacing w:line="304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2"/>
        </w:rPr>
        <w:t>Regulatory Gaps: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Highlight the lack of oversight in crypto gambling.</w:t>
      </w:r>
    </w:p>
    <w:p>
      <w:pPr>
        <w:autoSpaceDN w:val="0"/>
        <w:autoSpaceDE w:val="0"/>
        <w:widowControl/>
        <w:spacing w:line="432" w:lineRule="exact" w:before="390" w:after="0"/>
        <w:ind w:left="0" w:right="3456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8"/>
        </w:rPr>
        <w:t xml:space="preserve">For the Platform (Proov Network): </w:t>
      </w:r>
      <w:r>
        <w:br/>
      </w:r>
      <w:r>
        <w:rPr>
          <w:rFonts w:ascii="Helvetica" w:hAnsi="Helvetica" w:eastAsia="Helvetica"/>
          <w:b/>
          <w:i w:val="0"/>
          <w:color w:val="1F2937"/>
          <w:sz w:val="22"/>
        </w:rPr>
        <w:t>Decentralize Oracles: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Use independent third-party oracle providers. </w:t>
      </w:r>
      <w:r>
        <w:rPr>
          <w:rFonts w:ascii="Helvetica" w:hAnsi="Helvetica" w:eastAsia="Helvetica"/>
          <w:b/>
          <w:i w:val="0"/>
          <w:color w:val="1F2937"/>
          <w:sz w:val="22"/>
        </w:rPr>
        <w:t>Publish Odds: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Disclose win probabilities for all games.</w:t>
      </w:r>
    </w:p>
    <w:p>
      <w:pPr>
        <w:autoSpaceDN w:val="0"/>
        <w:autoSpaceDE w:val="0"/>
        <w:widowControl/>
        <w:spacing w:line="504" w:lineRule="exact" w:before="0" w:after="368"/>
        <w:ind w:left="0" w:right="3168" w:firstLine="0"/>
        <w:jc w:val="center"/>
      </w:pPr>
      <w:r>
        <w:rPr>
          <w:rFonts w:ascii="Helvetica" w:hAnsi="Helvetica" w:eastAsia="Helvetica"/>
          <w:b/>
          <w:i w:val="0"/>
          <w:color w:val="1F2937"/>
          <w:sz w:val="22"/>
        </w:rPr>
        <w:t>Independent Audit: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Have RNG and fairness audited by external firms. </w:t>
      </w:r>
      <w:r>
        <w:rPr>
          <w:rFonts w:ascii="Helvetica" w:hAnsi="Helvetica" w:eastAsia="Helvetica"/>
          <w:b/>
          <w:i w:val="0"/>
          <w:color w:val="1F2937"/>
          <w:sz w:val="22"/>
        </w:rPr>
        <w:t>Transparency Reports:</w:t>
      </w:r>
      <w:r>
        <w:rPr>
          <w:rFonts w:ascii="Helvetica" w:hAnsi="Helvetica" w:eastAsia="Helvetica"/>
          <w:b w:val="0"/>
          <w:i w:val="0"/>
          <w:color w:val="1F2937"/>
          <w:sz w:val="22"/>
        </w:rPr>
        <w:t xml:space="preserve"> Publish regular fairness and operation reports.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0172"/>
      </w:tblGrid>
      <w:tr>
        <w:trPr>
          <w:trHeight w:hRule="exact" w:val="1200"/>
        </w:trPr>
        <w:tc>
          <w:tcPr>
            <w:tcW w:type="dxa" w:w="9952"/>
            <w:tcBorders>
              <w:start w:sz="32.0" w:val="single" w:color="#DB2626"/>
              <w:top w:sz="32.0" w:val="single" w:color="#DB2626"/>
              <w:end w:sz="32.0" w:val="single" w:color="#DB2626"/>
              <w:bottom w:sz="32.0" w:val="single" w:color="#DB2626"/>
            </w:tcBorders>
            <w:shd w:fill="fd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4" w:after="0"/>
              <w:ind w:left="200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DC2626"/>
                <w:sz w:val="24"/>
              </w:rPr>
              <w:t xml:space="preserve">BOTTOM LINE: While Proov Network uses advanced cryptography, the centralized </w:t>
            </w:r>
            <w:r>
              <w:rPr>
                <w:rFonts w:ascii="Helvetica" w:hAnsi="Helvetica" w:eastAsia="Helvetica"/>
                <w:b/>
                <w:i w:val="0"/>
                <w:color w:val="DC2626"/>
                <w:sz w:val="24"/>
              </w:rPr>
              <w:t xml:space="preserve">trust model creates risks that players should understand. The platform would </w:t>
            </w:r>
            <w:r>
              <w:rPr>
                <w:rFonts w:ascii="Helvetica" w:hAnsi="Helvetica" w:eastAsia="Helvetica"/>
                <w:b/>
                <w:i w:val="0"/>
                <w:color w:val="DC2626"/>
                <w:sz w:val="24"/>
              </w:rPr>
              <w:t>benefit from true decentralization and regulatory oversight to protect players.</w:t>
            </w:r>
          </w:p>
        </w:tc>
      </w:tr>
    </w:tbl>
    <w:p>
      <w:pPr>
        <w:autoSpaceDN w:val="0"/>
        <w:autoSpaceDE w:val="0"/>
        <w:widowControl/>
        <w:spacing w:line="240" w:lineRule="exact" w:before="1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74151"/>
          <w:sz w:val="16"/>
        </w:rPr>
        <w:t xml:space="preserve">Complete Analysis Report | Generated: 2025-09-07 17:54:39 | Transaction: </w:t>
      </w:r>
      <w:r>
        <w:br/>
      </w:r>
      <w:r>
        <w:rPr>
          <w:rFonts w:ascii="Helvetica" w:hAnsi="Helvetica" w:eastAsia="Helvetica"/>
          <w:b w:val="0"/>
          <w:i w:val="0"/>
          <w:color w:val="374151"/>
          <w:sz w:val="16"/>
        </w:rPr>
        <w:t xml:space="preserve">2U3HXJiFXgqzSSbRTMWedrv1NGKydjytpBBfByWPpXrTTLp5NBtwsfuDxmsVoUpqYs6Rz31c1RAnWCUZp3bJ8ZPs | Analysis covers: Player </w:t>
      </w:r>
      <w:r>
        <w:rPr>
          <w:rFonts w:ascii="Helvetica" w:hAnsi="Helvetica" w:eastAsia="Helvetica"/>
          <w:b w:val="0"/>
          <w:i w:val="0"/>
          <w:color w:val="374151"/>
          <w:sz w:val="16"/>
        </w:rPr>
        <w:t>Journey, Risk Assessment, Algorithm Analysis, Verification Process, and Recommendations</w:t>
      </w:r>
    </w:p>
    <w:sectPr w:rsidR="00FC693F" w:rsidRPr="0006063C" w:rsidSect="00034616">
      <w:pgSz w:w="12240" w:h="15840"/>
      <w:pgMar w:top="480" w:right="1084" w:bottom="1440" w:left="9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