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101E" w14:textId="77777777" w:rsidR="0096514B" w:rsidRPr="0096514B" w:rsidRDefault="0096514B" w:rsidP="0096514B">
      <w:pPr>
        <w:jc w:val="center"/>
        <w:rPr>
          <w:rFonts w:ascii="宋体" w:eastAsia="宋体" w:hAnsi="宋体"/>
          <w:b/>
          <w:bCs/>
          <w:sz w:val="28"/>
          <w:szCs w:val="28"/>
        </w:rPr>
      </w:pPr>
      <w:r w:rsidRPr="0096514B">
        <w:rPr>
          <w:rFonts w:ascii="宋体" w:eastAsia="宋体" w:hAnsi="宋体" w:hint="eastAsia"/>
          <w:b/>
          <w:bCs/>
          <w:sz w:val="28"/>
          <w:szCs w:val="28"/>
        </w:rPr>
        <w:t>跨时钟</w:t>
      </w:r>
      <w:proofErr w:type="gramStart"/>
      <w:r w:rsidRPr="0096514B">
        <w:rPr>
          <w:rFonts w:ascii="宋体" w:eastAsia="宋体" w:hAnsi="宋体" w:hint="eastAsia"/>
          <w:b/>
          <w:bCs/>
          <w:sz w:val="28"/>
          <w:szCs w:val="28"/>
        </w:rPr>
        <w:t>域设计</w:t>
      </w:r>
      <w:proofErr w:type="gramEnd"/>
      <w:r w:rsidRPr="0096514B">
        <w:rPr>
          <w:rFonts w:ascii="宋体" w:eastAsia="宋体" w:hAnsi="宋体"/>
          <w:b/>
          <w:bCs/>
          <w:sz w:val="28"/>
          <w:szCs w:val="28"/>
        </w:rPr>
        <w:t>(无反馈)</w:t>
      </w:r>
    </w:p>
    <w:p w14:paraId="0CE02BBD" w14:textId="178BD71F" w:rsidR="0096514B" w:rsidRPr="006D1457" w:rsidRDefault="0096514B" w:rsidP="0096514B">
      <w:pPr>
        <w:rPr>
          <w:rFonts w:ascii="Times New Roman" w:eastAsia="宋体" w:hAnsi="Times New Roman" w:cs="Times New Roman"/>
          <w:sz w:val="24"/>
          <w:szCs w:val="24"/>
        </w:rPr>
      </w:pPr>
      <w:r w:rsidRPr="006D1457">
        <w:rPr>
          <w:rFonts w:ascii="Times New Roman" w:eastAsia="宋体" w:hAnsi="Times New Roman" w:cs="Times New Roman"/>
          <w:sz w:val="24"/>
          <w:szCs w:val="24"/>
        </w:rPr>
        <w:t>MCP formulation</w:t>
      </w:r>
    </w:p>
    <w:p w14:paraId="0EFAA72A" w14:textId="77777777" w:rsidR="0096514B" w:rsidRPr="0096514B" w:rsidRDefault="0096514B" w:rsidP="0096514B">
      <w:pPr>
        <w:ind w:firstLine="420"/>
        <w:rPr>
          <w:rFonts w:ascii="宋体" w:eastAsia="宋体" w:hAnsi="宋体"/>
          <w:sz w:val="24"/>
          <w:szCs w:val="24"/>
        </w:rPr>
      </w:pPr>
      <w:r w:rsidRPr="006D1457">
        <w:rPr>
          <w:rFonts w:ascii="Times New Roman" w:eastAsia="宋体" w:hAnsi="Times New Roman" w:cs="Times New Roman"/>
          <w:sz w:val="24"/>
          <w:szCs w:val="24"/>
        </w:rPr>
        <w:t>MCP</w:t>
      </w:r>
      <w:r w:rsidRPr="006D1457">
        <w:rPr>
          <w:rFonts w:ascii="Times New Roman" w:eastAsia="宋体" w:hAnsi="Times New Roman" w:cs="Times New Roman"/>
          <w:sz w:val="24"/>
          <w:szCs w:val="24"/>
        </w:rPr>
        <w:t>（</w:t>
      </w:r>
      <w:r w:rsidRPr="006D1457">
        <w:rPr>
          <w:rFonts w:ascii="Times New Roman" w:eastAsia="宋体" w:hAnsi="Times New Roman" w:cs="Times New Roman"/>
          <w:sz w:val="24"/>
          <w:szCs w:val="24"/>
        </w:rPr>
        <w:t>Multi-Cycle Path Formulation</w:t>
      </w:r>
      <w:r w:rsidRPr="006D1457">
        <w:rPr>
          <w:rFonts w:ascii="Times New Roman" w:eastAsia="宋体" w:hAnsi="Times New Roman" w:cs="Times New Roman"/>
          <w:sz w:val="24"/>
          <w:szCs w:val="24"/>
        </w:rPr>
        <w:t>）</w:t>
      </w:r>
      <w:r w:rsidRPr="0096514B">
        <w:rPr>
          <w:rFonts w:ascii="宋体" w:eastAsia="宋体" w:hAnsi="宋体"/>
          <w:sz w:val="24"/>
          <w:szCs w:val="24"/>
        </w:rPr>
        <w:t>是指将不同步的数据发送到与同步控制信号配对的接收时钟域。数据和控制信号同时发送，允许数据在目标寄存器的输入端进行设置，同时控制信号在到达目标寄存器的负载输入</w:t>
      </w:r>
      <w:proofErr w:type="gramStart"/>
      <w:r w:rsidRPr="0096514B">
        <w:rPr>
          <w:rFonts w:ascii="宋体" w:eastAsia="宋体" w:hAnsi="宋体"/>
          <w:sz w:val="24"/>
          <w:szCs w:val="24"/>
        </w:rPr>
        <w:t>端之前</w:t>
      </w:r>
      <w:proofErr w:type="gramEnd"/>
      <w:r w:rsidRPr="0096514B">
        <w:rPr>
          <w:rFonts w:ascii="宋体" w:eastAsia="宋体" w:hAnsi="宋体"/>
          <w:sz w:val="24"/>
          <w:szCs w:val="24"/>
        </w:rPr>
        <w:t>同步两个接收时钟周期。</w:t>
      </w:r>
    </w:p>
    <w:p w14:paraId="40EB9DE5" w14:textId="77777777" w:rsidR="0096514B" w:rsidRPr="0096514B" w:rsidRDefault="0096514B" w:rsidP="0096514B">
      <w:pPr>
        <w:rPr>
          <w:rFonts w:ascii="宋体" w:eastAsia="宋体" w:hAnsi="宋体"/>
          <w:sz w:val="24"/>
          <w:szCs w:val="24"/>
        </w:rPr>
      </w:pPr>
    </w:p>
    <w:p w14:paraId="2A153767" w14:textId="77777777" w:rsidR="0096514B" w:rsidRPr="0096514B" w:rsidRDefault="0096514B" w:rsidP="0096514B">
      <w:pPr>
        <w:rPr>
          <w:rFonts w:ascii="宋体" w:eastAsia="宋体" w:hAnsi="宋体"/>
          <w:sz w:val="24"/>
          <w:szCs w:val="24"/>
        </w:rPr>
      </w:pPr>
      <w:r w:rsidRPr="0096514B">
        <w:rPr>
          <w:rFonts w:ascii="宋体" w:eastAsia="宋体" w:hAnsi="宋体" w:hint="eastAsia"/>
          <w:sz w:val="24"/>
          <w:szCs w:val="24"/>
        </w:rPr>
        <w:t>优点：</w:t>
      </w:r>
    </w:p>
    <w:p w14:paraId="0AFB42C3"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1.发送</w:t>
      </w:r>
      <w:proofErr w:type="gramStart"/>
      <w:r w:rsidRPr="0096514B">
        <w:rPr>
          <w:rFonts w:ascii="宋体" w:eastAsia="宋体" w:hAnsi="宋体"/>
          <w:sz w:val="24"/>
          <w:szCs w:val="24"/>
        </w:rPr>
        <w:t>时钟域不需要</w:t>
      </w:r>
      <w:proofErr w:type="gramEnd"/>
      <w:r w:rsidRPr="0096514B">
        <w:rPr>
          <w:rFonts w:ascii="宋体" w:eastAsia="宋体" w:hAnsi="宋体"/>
          <w:sz w:val="24"/>
          <w:szCs w:val="24"/>
        </w:rPr>
        <w:t>计算要在时钟域之间发送的适当脉冲宽度。</w:t>
      </w:r>
    </w:p>
    <w:p w14:paraId="643CEC3C"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2.发送时钟域只需要将</w:t>
      </w:r>
      <w:r w:rsidRPr="006D1457">
        <w:rPr>
          <w:rFonts w:ascii="Times New Roman" w:eastAsia="宋体" w:hAnsi="Times New Roman" w:cs="Times New Roman"/>
          <w:sz w:val="24"/>
          <w:szCs w:val="24"/>
        </w:rPr>
        <w:t>enable</w:t>
      </w:r>
      <w:r w:rsidRPr="0096514B">
        <w:rPr>
          <w:rFonts w:ascii="宋体" w:eastAsia="宋体" w:hAnsi="宋体"/>
          <w:sz w:val="24"/>
          <w:szCs w:val="24"/>
        </w:rPr>
        <w:t>切换到接收时钟域，以指示数据已经传递并准备加载。使能信号不需要返回到其初始逻辑级别。</w:t>
      </w:r>
    </w:p>
    <w:p w14:paraId="72D8DCD5" w14:textId="6AC8900F" w:rsidR="0096514B" w:rsidRDefault="0096514B" w:rsidP="0096514B">
      <w:pPr>
        <w:ind w:firstLine="420"/>
        <w:rPr>
          <w:rFonts w:ascii="宋体" w:eastAsia="宋体" w:hAnsi="宋体"/>
          <w:sz w:val="24"/>
          <w:szCs w:val="24"/>
        </w:rPr>
      </w:pPr>
      <w:r w:rsidRPr="0096514B">
        <w:rPr>
          <w:rFonts w:ascii="宋体" w:eastAsia="宋体" w:hAnsi="宋体" w:hint="eastAsia"/>
          <w:sz w:val="24"/>
          <w:szCs w:val="24"/>
        </w:rPr>
        <w:t>这种方法不同步地传输多个</w:t>
      </w:r>
      <w:r w:rsidRPr="006D1457">
        <w:rPr>
          <w:rFonts w:ascii="Times New Roman" w:eastAsia="宋体" w:hAnsi="Times New Roman" w:cs="Times New Roman"/>
          <w:sz w:val="24"/>
          <w:szCs w:val="24"/>
        </w:rPr>
        <w:t>CDC</w:t>
      </w:r>
      <w:r w:rsidRPr="0096514B">
        <w:rPr>
          <w:rFonts w:ascii="宋体" w:eastAsia="宋体" w:hAnsi="宋体"/>
          <w:sz w:val="24"/>
          <w:szCs w:val="24"/>
        </w:rPr>
        <w:t>信号，同时向接收时钟域传递一个同步的</w:t>
      </w:r>
      <w:r w:rsidRPr="006D1457">
        <w:rPr>
          <w:rFonts w:ascii="Times New Roman" w:eastAsia="宋体" w:hAnsi="Times New Roman" w:cs="Times New Roman"/>
          <w:sz w:val="24"/>
          <w:szCs w:val="24"/>
        </w:rPr>
        <w:t>enable</w:t>
      </w:r>
      <w:r w:rsidRPr="0096514B">
        <w:rPr>
          <w:rFonts w:ascii="宋体" w:eastAsia="宋体" w:hAnsi="宋体"/>
          <w:sz w:val="24"/>
          <w:szCs w:val="24"/>
        </w:rPr>
        <w:t>信号。在</w:t>
      </w:r>
      <w:r w:rsidRPr="006D1457">
        <w:rPr>
          <w:rFonts w:ascii="Times New Roman" w:eastAsia="宋体" w:hAnsi="Times New Roman" w:cs="Times New Roman"/>
          <w:sz w:val="24"/>
          <w:szCs w:val="24"/>
        </w:rPr>
        <w:t>synchronized enable</w:t>
      </w:r>
      <w:r w:rsidRPr="0096514B">
        <w:rPr>
          <w:rFonts w:ascii="宋体" w:eastAsia="宋体" w:hAnsi="宋体"/>
          <w:sz w:val="24"/>
          <w:szCs w:val="24"/>
        </w:rPr>
        <w:t>通过同步到达接收寄存器之前，接收</w:t>
      </w:r>
      <w:proofErr w:type="gramStart"/>
      <w:r w:rsidRPr="0096514B">
        <w:rPr>
          <w:rFonts w:ascii="宋体" w:eastAsia="宋体" w:hAnsi="宋体"/>
          <w:sz w:val="24"/>
          <w:szCs w:val="24"/>
        </w:rPr>
        <w:t>时钟域不允许</w:t>
      </w:r>
      <w:proofErr w:type="gramEnd"/>
      <w:r w:rsidRPr="0096514B">
        <w:rPr>
          <w:rFonts w:ascii="宋体" w:eastAsia="宋体" w:hAnsi="宋体"/>
          <w:sz w:val="24"/>
          <w:szCs w:val="24"/>
        </w:rPr>
        <w:t>采样多位</w:t>
      </w:r>
      <w:r w:rsidRPr="006D1457">
        <w:rPr>
          <w:rFonts w:ascii="Times New Roman" w:eastAsia="宋体" w:hAnsi="Times New Roman" w:cs="Times New Roman"/>
          <w:sz w:val="24"/>
          <w:szCs w:val="24"/>
        </w:rPr>
        <w:t>CDC</w:t>
      </w:r>
      <w:r w:rsidRPr="0096514B">
        <w:rPr>
          <w:rFonts w:ascii="宋体" w:eastAsia="宋体" w:hAnsi="宋体"/>
          <w:sz w:val="24"/>
          <w:szCs w:val="24"/>
        </w:rPr>
        <w:t>信号。也被称为多周期路径，由于同步的数据字是直接传递给接收时钟域和举办多个接收时钟周期,允许一个启动信号同步并认识到接收时钟</w:t>
      </w:r>
      <w:proofErr w:type="gramStart"/>
      <w:r w:rsidRPr="0096514B">
        <w:rPr>
          <w:rFonts w:ascii="宋体" w:eastAsia="宋体" w:hAnsi="宋体"/>
          <w:sz w:val="24"/>
          <w:szCs w:val="24"/>
        </w:rPr>
        <w:t>域允许</w:t>
      </w:r>
      <w:proofErr w:type="gramEnd"/>
      <w:r w:rsidRPr="0096514B">
        <w:rPr>
          <w:rFonts w:ascii="宋体" w:eastAsia="宋体" w:hAnsi="宋体"/>
          <w:sz w:val="24"/>
          <w:szCs w:val="24"/>
        </w:rPr>
        <w:t>同步的数据字改变之前。</w:t>
      </w:r>
    </w:p>
    <w:p w14:paraId="2B4B7A73" w14:textId="155630A5" w:rsidR="0096514B" w:rsidRPr="0096514B" w:rsidRDefault="0096514B" w:rsidP="0096514B">
      <w:pPr>
        <w:rPr>
          <w:rFonts w:ascii="宋体" w:eastAsia="宋体" w:hAnsi="宋体" w:hint="eastAsia"/>
          <w:sz w:val="24"/>
          <w:szCs w:val="24"/>
        </w:rPr>
      </w:pPr>
      <w:r w:rsidRPr="0096514B">
        <w:rPr>
          <w:rFonts w:ascii="宋体" w:eastAsia="宋体" w:hAnsi="宋体"/>
          <w:sz w:val="24"/>
          <w:szCs w:val="24"/>
        </w:rPr>
        <w:drawing>
          <wp:inline distT="0" distB="0" distL="0" distR="0" wp14:anchorId="2694E80F" wp14:editId="1D0A969A">
            <wp:extent cx="5274310" cy="1537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37970"/>
                    </a:xfrm>
                    <a:prstGeom prst="rect">
                      <a:avLst/>
                    </a:prstGeom>
                  </pic:spPr>
                </pic:pic>
              </a:graphicData>
            </a:graphic>
          </wp:inline>
        </w:drawing>
      </w:r>
    </w:p>
    <w:p w14:paraId="56802F79" w14:textId="3A406185" w:rsidR="0096514B" w:rsidRPr="006D1457" w:rsidRDefault="0096514B" w:rsidP="0096514B">
      <w:pPr>
        <w:jc w:val="center"/>
        <w:rPr>
          <w:rFonts w:ascii="宋体" w:eastAsia="宋体" w:hAnsi="宋体"/>
          <w:szCs w:val="21"/>
        </w:rPr>
      </w:pPr>
      <w:r w:rsidRPr="006D1457">
        <w:rPr>
          <w:rFonts w:ascii="宋体" w:eastAsia="宋体" w:hAnsi="宋体"/>
          <w:szCs w:val="21"/>
        </w:rPr>
        <w:t>图1</w:t>
      </w:r>
    </w:p>
    <w:p w14:paraId="4D103EB1" w14:textId="61206F52" w:rsidR="0096514B" w:rsidRDefault="0096514B" w:rsidP="0096514B">
      <w:pPr>
        <w:rPr>
          <w:rFonts w:ascii="宋体" w:eastAsia="宋体" w:hAnsi="宋体"/>
          <w:sz w:val="24"/>
          <w:szCs w:val="24"/>
        </w:rPr>
      </w:pPr>
      <w:r w:rsidRPr="0096514B">
        <w:rPr>
          <w:rFonts w:ascii="宋体" w:eastAsia="宋体" w:hAnsi="宋体"/>
          <w:sz w:val="24"/>
          <w:szCs w:val="24"/>
        </w:rPr>
        <w:t xml:space="preserve"> </w:t>
      </w:r>
      <w:r>
        <w:rPr>
          <w:rFonts w:ascii="宋体" w:eastAsia="宋体" w:hAnsi="宋体"/>
          <w:sz w:val="24"/>
          <w:szCs w:val="24"/>
        </w:rPr>
        <w:tab/>
      </w:r>
      <w:r w:rsidRPr="0096514B">
        <w:rPr>
          <w:rFonts w:ascii="宋体" w:eastAsia="宋体" w:hAnsi="宋体"/>
          <w:sz w:val="24"/>
          <w:szCs w:val="24"/>
        </w:rPr>
        <w:t>在图1中，d的输入在周期1中被拉高；周期4时，通过三个触发器传输q3被拉高；红虚线框</w:t>
      </w:r>
      <w:bookmarkStart w:id="0" w:name="_GoBack"/>
      <w:bookmarkEnd w:id="0"/>
      <w:r w:rsidRPr="0096514B">
        <w:rPr>
          <w:rFonts w:ascii="宋体" w:eastAsia="宋体" w:hAnsi="宋体"/>
          <w:sz w:val="24"/>
          <w:szCs w:val="24"/>
        </w:rPr>
        <w:t>内，在周期3时，q2</w:t>
      </w:r>
      <w:r w:rsidR="006D1457">
        <w:rPr>
          <w:rFonts w:ascii="宋体" w:eastAsia="宋体" w:hAnsi="宋体" w:hint="eastAsia"/>
          <w:sz w:val="24"/>
          <w:szCs w:val="24"/>
        </w:rPr>
        <w:t>、</w:t>
      </w:r>
      <w:r w:rsidRPr="0096514B">
        <w:rPr>
          <w:rFonts w:ascii="宋体" w:eastAsia="宋体" w:hAnsi="宋体"/>
          <w:sz w:val="24"/>
          <w:szCs w:val="24"/>
        </w:rPr>
        <w:t>q3触发器的输出相反，异或可形成使能脉冲。同理，d输入在周期7拉低，周期9 时异或产生使能脉冲。</w:t>
      </w:r>
    </w:p>
    <w:p w14:paraId="345B91D4" w14:textId="721B0EA0" w:rsidR="006D1457" w:rsidRDefault="006D1457" w:rsidP="0096514B">
      <w:pPr>
        <w:rPr>
          <w:rFonts w:ascii="宋体" w:eastAsia="宋体" w:hAnsi="宋体"/>
          <w:sz w:val="24"/>
          <w:szCs w:val="24"/>
        </w:rPr>
      </w:pPr>
      <w:r w:rsidRPr="006D1457">
        <w:rPr>
          <w:rFonts w:ascii="宋体" w:eastAsia="宋体" w:hAnsi="宋体"/>
          <w:sz w:val="24"/>
          <w:szCs w:val="24"/>
        </w:rPr>
        <w:drawing>
          <wp:inline distT="0" distB="0" distL="0" distR="0" wp14:anchorId="3F409B20" wp14:editId="3445BAC6">
            <wp:extent cx="5274310" cy="13093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09370"/>
                    </a:xfrm>
                    <a:prstGeom prst="rect">
                      <a:avLst/>
                    </a:prstGeom>
                  </pic:spPr>
                </pic:pic>
              </a:graphicData>
            </a:graphic>
          </wp:inline>
        </w:drawing>
      </w:r>
    </w:p>
    <w:p w14:paraId="130D0205" w14:textId="0D709608" w:rsidR="006D1457" w:rsidRDefault="006D1457" w:rsidP="006D1457">
      <w:pPr>
        <w:jc w:val="center"/>
        <w:rPr>
          <w:rFonts w:ascii="宋体" w:eastAsia="宋体" w:hAnsi="宋体"/>
          <w:szCs w:val="21"/>
        </w:rPr>
      </w:pPr>
      <w:r w:rsidRPr="006D1457">
        <w:rPr>
          <w:rFonts w:ascii="宋体" w:eastAsia="宋体" w:hAnsi="宋体" w:hint="eastAsia"/>
          <w:szCs w:val="21"/>
        </w:rPr>
        <w:t>图2</w:t>
      </w:r>
    </w:p>
    <w:p w14:paraId="33385B51" w14:textId="6CFBE50E" w:rsidR="006D1457" w:rsidRPr="006D1457" w:rsidRDefault="006D1457" w:rsidP="006D1457">
      <w:pPr>
        <w:ind w:firstLine="420"/>
        <w:jc w:val="left"/>
        <w:rPr>
          <w:rFonts w:ascii="宋体" w:eastAsia="宋体" w:hAnsi="宋体" w:hint="eastAsia"/>
          <w:szCs w:val="21"/>
        </w:rPr>
      </w:pPr>
      <w:r w:rsidRPr="006D1457">
        <w:rPr>
          <w:rFonts w:ascii="宋体" w:eastAsia="宋体" w:hAnsi="宋体" w:hint="eastAsia"/>
          <w:szCs w:val="21"/>
        </w:rPr>
        <w:t>图</w:t>
      </w:r>
      <w:r w:rsidRPr="006D1457">
        <w:rPr>
          <w:rFonts w:ascii="宋体" w:eastAsia="宋体" w:hAnsi="宋体"/>
          <w:szCs w:val="21"/>
        </w:rPr>
        <w:t>2为等效电路，将产生脉冲电路简化为右边的图。</w:t>
      </w:r>
    </w:p>
    <w:p w14:paraId="43D6EB51" w14:textId="254ED2B6" w:rsidR="0096514B" w:rsidRPr="0096514B" w:rsidRDefault="0096514B" w:rsidP="0096514B">
      <w:pPr>
        <w:rPr>
          <w:rFonts w:ascii="宋体" w:eastAsia="宋体" w:hAnsi="宋体" w:hint="eastAsia"/>
          <w:sz w:val="24"/>
          <w:szCs w:val="24"/>
        </w:rPr>
      </w:pPr>
      <w:r w:rsidRPr="0096514B">
        <w:rPr>
          <w:rFonts w:ascii="宋体" w:eastAsia="宋体" w:hAnsi="宋体"/>
          <w:sz w:val="24"/>
          <w:szCs w:val="24"/>
        </w:rPr>
        <w:lastRenderedPageBreak/>
        <w:drawing>
          <wp:inline distT="0" distB="0" distL="0" distR="0" wp14:anchorId="5BF65B32" wp14:editId="707CA719">
            <wp:extent cx="5274310" cy="2590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0165"/>
                    </a:xfrm>
                    <a:prstGeom prst="rect">
                      <a:avLst/>
                    </a:prstGeom>
                  </pic:spPr>
                </pic:pic>
              </a:graphicData>
            </a:graphic>
          </wp:inline>
        </w:drawing>
      </w:r>
    </w:p>
    <w:p w14:paraId="10BC950C" w14:textId="77777777" w:rsidR="0096514B" w:rsidRPr="006D1457" w:rsidRDefault="0096514B" w:rsidP="0096514B">
      <w:pPr>
        <w:jc w:val="center"/>
        <w:rPr>
          <w:rFonts w:ascii="宋体" w:eastAsia="宋体" w:hAnsi="宋体"/>
          <w:szCs w:val="21"/>
        </w:rPr>
      </w:pPr>
      <w:r w:rsidRPr="006D1457">
        <w:rPr>
          <w:rFonts w:ascii="宋体" w:eastAsia="宋体" w:hAnsi="宋体" w:hint="eastAsia"/>
          <w:szCs w:val="21"/>
        </w:rPr>
        <w:t>图</w:t>
      </w:r>
      <w:r w:rsidRPr="006D1457">
        <w:rPr>
          <w:rFonts w:ascii="宋体" w:eastAsia="宋体" w:hAnsi="宋体"/>
          <w:szCs w:val="21"/>
        </w:rPr>
        <w:t>3</w:t>
      </w:r>
    </w:p>
    <w:p w14:paraId="2DAEB4EB"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q-</w:t>
      </w:r>
      <w:proofErr w:type="spellStart"/>
      <w:r w:rsidRPr="0096514B">
        <w:rPr>
          <w:rFonts w:ascii="宋体" w:eastAsia="宋体" w:hAnsi="宋体"/>
          <w:sz w:val="24"/>
          <w:szCs w:val="24"/>
        </w:rPr>
        <w:t>ouput</w:t>
      </w:r>
      <w:proofErr w:type="spellEnd"/>
      <w:r w:rsidRPr="0096514B">
        <w:rPr>
          <w:rFonts w:ascii="宋体" w:eastAsia="宋体" w:hAnsi="宋体"/>
          <w:sz w:val="24"/>
          <w:szCs w:val="24"/>
        </w:rPr>
        <w:t>跟随d输入所延迟的三个周期。q-output常作为反馈信号，并通过发送时钟域中的另一个同步使能作为确认信号。</w:t>
      </w:r>
    </w:p>
    <w:p w14:paraId="225F77C3" w14:textId="77777777" w:rsidR="0096514B" w:rsidRPr="0096514B" w:rsidRDefault="0096514B" w:rsidP="0096514B">
      <w:pPr>
        <w:rPr>
          <w:rFonts w:ascii="宋体" w:eastAsia="宋体" w:hAnsi="宋体"/>
          <w:sz w:val="24"/>
          <w:szCs w:val="24"/>
        </w:rPr>
      </w:pPr>
    </w:p>
    <w:p w14:paraId="72F4828D" w14:textId="440644D7" w:rsidR="0096514B" w:rsidRDefault="0096514B" w:rsidP="0096514B">
      <w:pPr>
        <w:rPr>
          <w:rFonts w:ascii="宋体" w:eastAsia="宋体" w:hAnsi="宋体"/>
          <w:sz w:val="24"/>
          <w:szCs w:val="24"/>
        </w:rPr>
      </w:pPr>
      <w:r w:rsidRPr="0096514B">
        <w:rPr>
          <w:rFonts w:ascii="宋体" w:eastAsia="宋体" w:hAnsi="宋体" w:hint="eastAsia"/>
          <w:sz w:val="24"/>
          <w:szCs w:val="24"/>
        </w:rPr>
        <w:t>本例的结构框图</w:t>
      </w:r>
      <w:r w:rsidRPr="0096514B">
        <w:rPr>
          <w:rFonts w:ascii="宋体" w:eastAsia="宋体" w:hAnsi="宋体"/>
          <w:sz w:val="24"/>
          <w:szCs w:val="24"/>
        </w:rPr>
        <w:t>4：</w:t>
      </w:r>
    </w:p>
    <w:p w14:paraId="3F8BD23C" w14:textId="481B6C9C" w:rsidR="0096514B" w:rsidRPr="0096514B" w:rsidRDefault="0096514B" w:rsidP="0096514B">
      <w:pPr>
        <w:rPr>
          <w:rFonts w:ascii="宋体" w:eastAsia="宋体" w:hAnsi="宋体"/>
          <w:sz w:val="24"/>
          <w:szCs w:val="24"/>
        </w:rPr>
      </w:pPr>
      <w:r w:rsidRPr="0096514B">
        <w:rPr>
          <w:rFonts w:ascii="宋体" w:eastAsia="宋体" w:hAnsi="宋体"/>
          <w:sz w:val="24"/>
          <w:szCs w:val="24"/>
        </w:rPr>
        <w:drawing>
          <wp:inline distT="0" distB="0" distL="0" distR="0" wp14:anchorId="5F2276F5" wp14:editId="2ACAD0DD">
            <wp:extent cx="5274310" cy="17659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5935"/>
                    </a:xfrm>
                    <a:prstGeom prst="rect">
                      <a:avLst/>
                    </a:prstGeom>
                  </pic:spPr>
                </pic:pic>
              </a:graphicData>
            </a:graphic>
          </wp:inline>
        </w:drawing>
      </w:r>
    </w:p>
    <w:p w14:paraId="0F0370E2" w14:textId="29415C8D" w:rsidR="003F4682" w:rsidRPr="006D1457" w:rsidRDefault="0096514B" w:rsidP="0096514B">
      <w:pPr>
        <w:jc w:val="center"/>
        <w:rPr>
          <w:rFonts w:ascii="宋体" w:eastAsia="宋体" w:hAnsi="宋体"/>
          <w:szCs w:val="21"/>
        </w:rPr>
      </w:pPr>
      <w:r w:rsidRPr="006D1457">
        <w:rPr>
          <w:rFonts w:ascii="宋体" w:eastAsia="宋体" w:hAnsi="宋体" w:hint="eastAsia"/>
          <w:szCs w:val="21"/>
        </w:rPr>
        <w:t>图</w:t>
      </w:r>
      <w:r w:rsidRPr="006D1457">
        <w:rPr>
          <w:rFonts w:ascii="宋体" w:eastAsia="宋体" w:hAnsi="宋体"/>
          <w:szCs w:val="21"/>
        </w:rPr>
        <w:t>4</w:t>
      </w:r>
    </w:p>
    <w:sectPr w:rsidR="003F4682" w:rsidRPr="006D1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66"/>
    <w:rsid w:val="000E4866"/>
    <w:rsid w:val="003F4682"/>
    <w:rsid w:val="006D1457"/>
    <w:rsid w:val="0096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C67B"/>
  <w15:chartTrackingRefBased/>
  <w15:docId w15:val="{8C04023D-B8DA-4E65-B839-5445A041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源熙</dc:creator>
  <cp:keywords/>
  <dc:description/>
  <cp:lastModifiedBy>张 源熙</cp:lastModifiedBy>
  <cp:revision>15</cp:revision>
  <dcterms:created xsi:type="dcterms:W3CDTF">2020-01-02T13:30:00Z</dcterms:created>
  <dcterms:modified xsi:type="dcterms:W3CDTF">2020-01-02T13:37:00Z</dcterms:modified>
</cp:coreProperties>
</file>