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by a conductive metal dome (the firmament) forming a 'Closed Toroidal Ovoid' cavity. It posits a local sun and moon traveling circuits above the disc, an aetheric medium filling the space between disc and dome, and Polaris fixed directly above the north pole at the dome apex. The model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 firmament height that varies as H(r) = 8537 * exp(-r/8619) km, a quadratic southern distance law, a formal coordinate system with longitude-based angular scaling, and quantitative predictions tested against real geomagnetic datasets. V51.0 now describes the geometry as a 'Closed Toroidal Ovoid' inspired by Hildegard of Bingen's 1151 AD egg-shaped cosmos, with Finsler geometry corrections (eccentricity 0.66) for southern hemisphere distances.</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However,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a significant rhetorical shift. The 'dome' label carries flat-earth connotations; 'ovoid cavity' sounds more scientific. However, the underlying physics has not changed: the model still uses the same H(r) exponential curve, the same north-pole-centered disc, and the same aetheric vortex mechanism. The rebranding does not address any of the falsification tests identified in our original review.</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change. V51.0 now claims 'Two-Pole Geomagnetic Model: Same Scale Length Governs Both Poles.' In V50.6, the model explicitly described a monopolar aetheric vortex at the north pole with no south magnetic pole mechanism. Our review added section 3.6 specifically addressing this dipole problem. WIN-053 appears to be a direct response to this critique, but the underlying model architecture (north-pole-centered aetheric vortex, disc geometry) has not actually changed to accommodate a second pole.</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five verdict categories. Click any WIN number to jump to the detailed analysis. New WINs added in V51.0 are marked with an asterisk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 Patent 787412 does not contain the cited formula f=c/(2D)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losses quantitatively explain 10.6-&gt;7.83 Hz gap</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correct spherical formula gives Earth's radius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Expected on globe; ionosphere dimensions stable; varies 7.5-8.3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M2=12.42h is a fundamental astronomical constant known since 1775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S2=12.00h is literally half a solar day; not a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K1=23.93h is a standard tidal constituent known for 150+ years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O1=25.82h is a standard tidal constituent known for 150+ years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N2=12.66h is a standard tidal constituent known for 150+ years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Circular: H(r) was fitted to match; solar position falsified by Section 3.4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disturbance during geomagnetic storms is well-documented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GRACE/GOCE satellites map this from orbit; post-glacial rebound model</w:t>
            </w:r>
          </w:p>
        </w:tc>
      </w:tr>
    </w:tbl>
    <w:p>
      <w:pPr>
        <w:spacing w:after="120"/>
      </w:pPr>
      <w:r>
        <w:t xml:space="preserve"/>
      </w:r>
    </w:p>
    <w:p>
      <w:pPr>
        <w:spacing w:after="120"/>
      </w:pPr>
      <w:r>
        <w:rPr>
          <w:b/>
          <w:bCs/>
        </w:rPr>
        <w:t xml:space="preserve">V51.0 Tally (67 WINs): </w:t>
      </w:r>
      <w:r>
        <w:t xml:space="preserve">Refuted by Data: 11  |  Standard Model Explains: 25  |  Misleading: 21  |  Not Demonstrated: 3  |  Unfalsifiable: 4  |  Removed: 1 (WIN-025)</w:t>
      </w:r>
    </w:p>
    <w:p>
      <w:pPr>
        <w:spacing w:after="120"/>
      </w:pPr>
      <w:r>
        <w:rPr>
          <w:b/>
          <w:bCs/>
        </w:rPr>
        <w:t xml:space="preserve">Comparison to V50.6 (39 WINs): </w:t>
      </w:r>
      <w:r>
        <w:t xml:space="preserve">Original tally: Refuted 8, Std Model 12, Misleading 12, Not Demo 3, Unfalsifiable 4. Net change: +3 Refuted, +13 Std Model, +9 Misleading. Zero new WINs demonstrate dome-specific predictive power.</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i04iaa6a2dbdglr0mbsgm">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2"/>
    </w:p>
    <w:p>
      <w:bookmarkStart w:name="WIN_009" w:id="3"/>
      <w:bookmarkEnd w:id="3"/>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4"/>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8ogh9nl9jfa1mx663z3dv">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5"/>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0d6kja6fmwe7fdk9pfvq0">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6"/>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0semgj9o1wxpcxvblzwa8">
        <w:r>
          <w:rPr>
            <w:rStyle w:val="Hyperlink"/>
          </w:rPr>
          <w:t xml:space="preserve">Anticrepuscular Rays (Wikipedia)</w:t>
        </w:r>
      </w:hyperlink>
      <w:r>
        <w:t xml:space="preserve"> and </w:t>
      </w:r>
      <w:hyperlink w:history="1" r:id="rIdu38g5ylaphc_kjfp8ppgu">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7"/>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bqydisdgzyr_6kd_req8p">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8"/>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dta517rrcq9rziqae-krp">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9"/>
    </w:p>
    <w:p>
      <w:pPr>
        <w:spacing w:after="120"/>
      </w:pPr>
      <w:r>
        <w:rPr>
          <w:b/>
          <w:bCs/>
        </w:rPr>
        <w:t xml:space="preserve">Claim: </w:t>
      </w:r>
      <w:r>
        <w:t xml:space="preserve">Same scale length governs both magnetic poles, confirming the dome model accounts for Earth's dipole field.</w:t>
      </w:r>
    </w:p>
    <w:p>
      <w:pPr>
        <w:spacing w:after="120"/>
      </w:pPr>
      <w:r>
        <w:rPr>
          <w:b/>
          <w:bCs/>
        </w:rPr>
        <w:t xml:space="preserve">Evidence: </w:t>
      </w:r>
      <w:r>
        <w:t xml:space="preserve">This WIN directly contradicts the V50.6 model architecture. The dome model describes a monopolar 'aetheric vortex' anchored at the north pole. There is no mechanism in the model for field lines to converge at a southern point. The south magnetic pole exists at 64.1°S, 135.9°E with vertical inclination of −90°, as measured by WMM2025 and ESA Swarm satellites. Field strength increases approaching BOTH poles (~58,500 nT at Resolute Bay, ~66,000 nT at Dumont d'Urville). A monopolar source predicts monotonic decrease from the pole center. Claiming this WIN without changing the underlying model is retroactive accommodation, not prediction.</w:t>
      </w:r>
    </w:p>
    <w:p>
      <w:pPr>
        <w:spacing w:after="120"/>
      </w:pPr>
      <w:r>
        <w:rPr>
          <w:b/>
          <w:bCs/>
        </w:rPr>
        <w:t xml:space="preserve">Verdict: REFUTED BY DATA. </w:t>
      </w:r>
      <w:r>
        <w:t xml:space="preserve">The model's monopolar architecture cannot produce a dipole. The WIN contradicts V50.6 without any mechanism change.</w:t>
      </w:r>
    </w:p>
    <w:p>
      <w:pPr>
        <w:pStyle w:val="Heading3"/>
      </w:pPr>
      <w:bookmarkStart w:name="WIN_062" w:id="10"/>
      <w:r>
        <w:t xml:space="preserve">WIN-062: Tesla Longitudinal Wave Speed = 1.574c</w:t>
      </w:r>
      <w:bookmarkEnd w:id="10"/>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2"/>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3"/>
    </w:p>
    <w:p>
      <w:bookmarkStart w:name="WIN_005" w:id="14"/>
      <w:bookmarkEnd w:id="14"/>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zljetkm6y_byapan39f27">
        <w:r>
          <w:rPr>
            <w:rStyle w:val="Hyperlink"/>
          </w:rPr>
          <w:t xml:space="preserve">CHAOS-7 model</w:t>
        </w:r>
      </w:hyperlink>
      <w:r>
        <w:t xml:space="preserve"> documents the evolution quantitatively. </w:t>
      </w:r>
      <w:hyperlink w:history="1" r:id="rId-bbcizynpkjkvkaya1uro">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5"/>
    </w:p>
    <w:p>
      <w:pPr>
        <w:spacing w:after="120"/>
      </w:pPr>
      <w:r>
        <w:rPr>
          <w:b/>
          <w:bCs/>
        </w:rPr>
        <w:t xml:space="preserve">Evidence: </w:t>
      </w:r>
      <w:r>
        <w:t xml:space="preserve">Normal secular variation documented by </w:t>
      </w:r>
      <w:hyperlink w:history="1" r:id="rIdglxjvbd3zcy1te2ytqj0n">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6"/>
    </w:p>
    <w:p>
      <w:bookmarkStart w:name="WIN_025" w:id="17"/>
      <w:bookmarkEnd w:id="17"/>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8xijfutaxb2rikb6eivvx">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8"/>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9"/>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9u3xwdn1c1qfqbr8dfmk_">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20"/>
    </w:p>
    <w:p>
      <w:bookmarkStart w:name="WIN_036" w:id="21"/>
      <w:bookmarkEnd w:id="21"/>
    </w:p>
    <w:p>
      <w:bookmarkStart w:name="WIN_037" w:id="22"/>
      <w:bookmarkEnd w:id="22"/>
    </w:p>
    <w:p>
      <w:bookmarkStart w:name="WIN_038" w:id="23"/>
      <w:bookmarkEnd w:id="23"/>
    </w:p>
    <w:p>
      <w:bookmarkStart w:name="WIN_039" w:id="24"/>
      <w:bookmarkEnd w:id="24"/>
    </w:p>
    <w:p>
      <w:pPr>
        <w:spacing w:after="120"/>
      </w:pPr>
      <w:r>
        <w:rPr>
          <w:b/>
          <w:bCs/>
        </w:rPr>
        <w:t xml:space="preserve">Evidence: </w:t>
      </w:r>
      <w:r>
        <w:t xml:space="preserve">All five observations already predicted by </w:t>
      </w:r>
      <w:hyperlink w:history="1" r:id="rIdhqcg0nbbpjtzg6wveirpj">
        <w:r>
          <w:rPr>
            <w:rStyle w:val="Hyperlink"/>
          </w:rPr>
          <w:t xml:space="preserve">WMM2025</w:t>
        </w:r>
      </w:hyperlink>
      <w:r>
        <w:t xml:space="preserve">, </w:t>
      </w:r>
      <w:hyperlink w:history="1" r:id="rIdp1os3rrq7ma9tvziit5yi">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25"/>
    </w:p>
    <w:p>
      <w:bookmarkStart w:name="WIN_041" w:id="26"/>
      <w:bookmarkEnd w:id="26"/>
    </w:p>
    <w:p>
      <w:bookmarkStart w:name="WIN_042" w:id="27"/>
      <w:bookmarkEnd w:id="27"/>
    </w:p>
    <w:p>
      <w:bookmarkStart w:name="WIN_043" w:id="28"/>
      <w:bookmarkEnd w:id="28"/>
    </w:p>
    <w:p>
      <w:bookmarkStart w:name="WIN_059" w:id="29"/>
      <w:bookmarkEnd w:id="29"/>
    </w:p>
    <w:p>
      <w:bookmarkStart w:name="WIN_060" w:id="30"/>
      <w:bookmarkEnd w:id="30"/>
    </w:p>
    <w:p>
      <w:bookmarkStart w:name="WIN_061" w:id="31"/>
      <w:bookmarkEnd w:id="31"/>
    </w:p>
    <w:p>
      <w:bookmarkStart w:name="WIN_063" w:id="32"/>
      <w:bookmarkEnd w:id="32"/>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33"/>
    </w:p>
    <w:p>
      <w:bookmarkStart w:name="WIN_046" w:id="34"/>
      <w:bookmarkEnd w:id="34"/>
    </w:p>
    <w:p>
      <w:bookmarkStart w:name="WIN_049" w:id="35"/>
      <w:bookmarkEnd w:id="35"/>
    </w:p>
    <w:p>
      <w:bookmarkStart w:name="WIN_050" w:id="36"/>
      <w:bookmarkEnd w:id="36"/>
    </w:p>
    <w:p>
      <w:bookmarkStart w:name="WIN_051" w:id="37"/>
      <w:bookmarkEnd w:id="37"/>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38"/>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39"/>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40"/>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3dbreobev6sjblf7vx1tn">
        <w:r>
          <w:rPr>
            <w:rStyle w:val="Hyperlink"/>
          </w:rPr>
          <w:t xml:space="preserve">GRACE</w:t>
        </w:r>
      </w:hyperlink>
      <w:r>
        <w:t xml:space="preserve"> and </w:t>
      </w:r>
      <w:hyperlink w:history="1" r:id="rIdczd7dop7lyiuws-fwacy5">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41"/>
    </w:p>
    <w:p>
      <w:bookmarkStart w:name="WIN_012" w:id="42"/>
      <w:bookmarkEnd w:id="42"/>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Verdict: NOT DEMONSTRATED. </w:t>
      </w:r>
    </w:p>
    <w:p>
      <w:pPr>
        <w:pStyle w:val="Heading3"/>
      </w:pPr>
      <w:bookmarkStart w:name="WIN_015" w:id="43"/>
      <w:r>
        <w:t xml:space="preserve">WIN-015: Meyl Scalar Wave Faraday Penetration</w:t>
      </w:r>
      <w:bookmarkEnd w:id="43"/>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44"/>
    </w:p>
    <w:p>
      <w:bookmarkStart w:name="WIN_007" w:id="45"/>
      <w:bookmarkEnd w:id="45"/>
    </w:p>
    <w:p>
      <w:bookmarkStart w:name="WIN_013" w:id="46"/>
      <w:bookmarkEnd w:id="46"/>
    </w:p>
    <w:p>
      <w:bookmarkStart w:name="WIN_014" w:id="47"/>
      <w:bookmarkEnd w:id="47"/>
    </w:p>
    <w:p>
      <w:bookmarkStart w:name="WIN_018" w:id="48"/>
      <w:bookmarkEnd w:id="48"/>
    </w:p>
    <w:p>
      <w:bookmarkStart w:name="WIN_019" w:id="49"/>
      <w:bookmarkEnd w:id="49"/>
    </w:p>
    <w:p>
      <w:bookmarkStart w:name="WIN_021" w:id="50"/>
      <w:bookmarkEnd w:id="50"/>
    </w:p>
    <w:p>
      <w:bookmarkStart w:name="WIN_022" w:id="51"/>
      <w:bookmarkEnd w:id="51"/>
    </w:p>
    <w:p>
      <w:bookmarkStart w:name="WIN_023" w:id="52"/>
      <w:bookmarkEnd w:id="52"/>
    </w:p>
    <w:p>
      <w:bookmarkStart w:name="WIN_024" w:id="53"/>
      <w:bookmarkEnd w:id="53"/>
    </w:p>
    <w:p>
      <w:bookmarkStart w:name="WIN_027" w:id="54"/>
      <w:bookmarkEnd w:id="54"/>
    </w:p>
    <w:p>
      <w:bookmarkStart w:name="WIN_030" w:id="55"/>
      <w:bookmarkEnd w:id="55"/>
    </w:p>
    <w:p>
      <w:bookmarkStart w:name="WIN_031" w:id="56"/>
      <w:bookmarkEnd w:id="56"/>
    </w:p>
    <w:p>
      <w:bookmarkStart w:name="WIN_032" w:id="57"/>
      <w:bookmarkEnd w:id="57"/>
    </w:p>
    <w:p>
      <w:bookmarkStart w:name="WIN_034" w:id="58"/>
      <w:bookmarkEnd w:id="58"/>
    </w:p>
    <w:p>
      <w:bookmarkStart w:name="WIN_044" w:id="59"/>
      <w:bookmarkEnd w:id="59"/>
    </w:p>
    <w:p>
      <w:bookmarkStart w:name="WIN_047" w:id="60"/>
      <w:bookmarkEnd w:id="60"/>
    </w:p>
    <w:p>
      <w:bookmarkStart w:name="WIN_048" w:id="61"/>
      <w:bookmarkEnd w:id="61"/>
    </w:p>
    <w:p>
      <w:bookmarkStart w:name="WIN_052" w:id="62"/>
      <w:bookmarkEnd w:id="62"/>
    </w:p>
    <w:p>
      <w:bookmarkStart w:name="WIN_054" w:id="63"/>
      <w:bookmarkEnd w:id="63"/>
    </w:p>
    <w:p>
      <w:bookmarkStart w:name="WIN_055" w:id="64"/>
      <w:bookmarkEnd w:id="64"/>
    </w:p>
    <w:p>
      <w:bookmarkStart w:name="WIN_056" w:id="65"/>
      <w:bookmarkEnd w:id="65"/>
    </w:p>
    <w:p>
      <w:bookmarkStart w:name="WIN_057" w:id="66"/>
      <w:bookmarkEnd w:id="66"/>
    </w:p>
    <w:p>
      <w:bookmarkStart w:name="WIN_058" w:id="67"/>
      <w:bookmarkEnd w:id="67"/>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globe predicts ~0 nT (no mechanism beyond Chapman ionospheric effect, which is much smaller). This is a genuinely discriminating prediction if both models' thresholds are stated correctly. However, the Chapman mechanism does predict small (~1-5 nT) perturbations, so the 0.0 nT globe prediction is slightly understated. The dome's -17 to -21 nT would be clearly distinguishable from Chapman's ~1-5 nT.</w:t>
      </w:r>
    </w:p>
    <w:p>
      <w:pPr>
        <w:pStyle w:val="Heading3"/>
      </w:pPr>
      <w:r>
        <w:t xml:space="preserve">Is There a Genuinely New Falsifiable Prediction?</w:t>
      </w:r>
    </w:p>
    <w:p>
      <w:pPr>
        <w:spacing w:after="120"/>
      </w:pPr>
      <w:r>
        <w:rPr>
          <w:b/>
          <w:bCs/>
        </w:rPr>
        <w:t xml:space="preserve">August 12, 2026 Eclipse Test: </w:t>
      </w:r>
      <w:r>
        <w:t xml:space="preserve">YES. This is a genuine, falsifiable, discriminating prediction. The dome model predicts a Z-component magnetic anomaly of -17 to -21 nT at seven named European INTERMAGNET stations, conditional on Kp &lt; 2 (quiet geomagnetic conditions). The globe model predicts only the Chapman ionospheric effect (~1-5 nT). If geomagnetic conditions are quiet and the measured anomaly is within the dome's predicted range and far exceeds Chapman predictions, this would be significant evidence requiring explanation. Conversely, if the anomaly is within the Chapman range or absent, the dome model's specific prediction fails.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Of all the claims on the Live Power and Kill-Shot pages, only the August 2026 Eclipse Test represents a genuinely new, time-bound, falsifiable prediction where the dome and globe models make clearly different quantitative predictions. All other 'tests' either use data that already exists and favors the globe, or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seven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12x worse than globe geodesy.</w:t>
      </w:r>
    </w:p>
    <w:p>
      <w:pPr>
        <w:pStyle w:val="Heading2"/>
      </w:pPr>
      <w:r>
        <w:t xml:space="preserve">4.2 Antarctic Observations</w:t>
      </w:r>
    </w:p>
    <w:p>
      <w:pPr>
        <w:spacing w:after="120"/>
      </w:pPr>
      <w:r>
        <w:rPr>
          <w:b/>
          <w:bCs/>
        </w:rPr>
        <w:t xml:space="preserve">The test: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wbcigsv8eqwkv7hicsqfk">
        <w:r>
          <w:rPr>
            <w:rStyle w:val="Hyperlink"/>
          </w:rPr>
          <w:t xml:space="preserve">timeanddate.com/sun/antarctica/south-pole</w:t>
        </w:r>
      </w:hyperlink>
      <w:r>
        <w:t xml:space="preserve">.</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The ISS at 408 km is visible on predictable schedules. Geostationary satellites at 35,786 km. All require unobstructed radio paths. See </w:t>
      </w:r>
      <w:hyperlink w:history="1" r:id="rIdhr_nw1vxytxyuqxvzknjy">
        <w:r>
          <w:rPr>
            <w:rStyle w:val="Hyperlink"/>
          </w:rPr>
          <w:t xml:space="preserve">GPS.gov</w:t>
        </w:r>
      </w:hyperlink>
      <w:r>
        <w:t xml:space="preserve">; </w:t>
      </w:r>
      <w:hyperlink w:history="1" r:id="rIdbv2x8aje86tjlhv48adw3">
        <w:r>
          <w:rPr>
            <w:rStyle w:val="Hyperlink"/>
          </w:rPr>
          <w:t xml:space="preserve">Spot the Station</w:t>
        </w:r>
      </w:hyperlink>
      <w:r>
        <w:t xml:space="preserve">.</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ao7dvhmejku2q2-o3y-u5">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vzesms6vitshwzyf84k9m">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bv4wq2ipf09pibqxjerfr">
        <w:r>
          <w:rPr>
            <w:rStyle w:val="Hyperlink"/>
          </w:rPr>
          <w:t xml:space="preserve">WMM2025</w:t>
        </w:r>
      </w:hyperlink>
      <w:r>
        <w:t xml:space="preserve">). Field strength increases at BOTH poles (~58,500 nT north, ~66,000 nT south). A monopolar vortex predicts weakest field at the disc rim. The V51.0 claim of a 'two-pole model' (WIN-053) contradicts V50.6 architecture without any mechanism change.</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29vz1crfh8velvrh_rz2i">
        <w:r>
          <w:rPr>
            <w:rStyle w:val="Hyperlink"/>
          </w:rPr>
          <w:t xml:space="preserve">National Geodetic Survey</w:t>
        </w:r>
      </w:hyperlink>
      <w:r>
        <w:t xml:space="preserve">.</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25 are standard model observations, 21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pStyle w:val="Heading2"/>
      </w:pPr>
      <w:r>
        <w:t xml:space="preserve">6.2 The Key Test</w:t>
      </w:r>
    </w:p>
    <w:p>
      <w:pPr>
        <w:spacing w:after="120"/>
      </w:pPr>
      <w:r>
        <w:t xml:space="preserve">The August 12, 2026 Eclipse Test remains the single most important prediction. The dome model predicts -17 to -21 nT Z-component anomaly at seven European INTERMAGNET stations under quiet conditions (Kp &lt; 2). The globe model predicts only Chapman ionospheric effects (~1-5 nT). This is time-bound, quantitative, and clearly discriminating. INTERMAGNET data will be public within 72 hours of the eclipse.</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Standard Model Explains: 25 </w:t>
      </w:r>
      <w:r>
        <w:t xml:space="preserve">(observation is real but mainstream physics already accounts for it)</w:t>
      </w:r>
    </w:p>
    <w:p>
      <w:pPr>
        <w:spacing w:after="120"/>
      </w:pPr>
      <w:r>
        <w:rPr>
          <w:b/>
          <w:bCs/>
        </w:rPr>
        <w:t xml:space="preserve">Misleading: 21 </w:t>
      </w:r>
      <w:r>
        <w:t xml:space="preserve">(data misrepresented, duplicated, cherry-picked, or logically contradictory)</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The 28 new WINs added in V51.0 include zero genuinely new, dome-specific predictions. The only genuinely discriminating test is the August 2026 eclipse, which has not yet occurred.</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iuvaddpefczpp6vnogxlx">
        <w:r>
          <w:rPr>
            <w:rStyle w:val="Hyperlink"/>
          </w:rPr>
          <w:t xml:space="preserve">ncei.noaa.gov/products/world-magnetic-model</w:t>
        </w:r>
      </w:hyperlink>
    </w:p>
    <w:p>
      <w:pPr>
        <w:spacing w:after="120"/>
      </w:pPr>
      <w:r>
        <w:rPr>
          <w:b/>
          <w:bCs/>
        </w:rPr>
        <w:t xml:space="preserve">NOAA Wandering Geomagnetic Poles: </w:t>
      </w:r>
      <w:hyperlink w:history="1" r:id="rIdr5pswk253yjzelogd30vr">
        <w:r>
          <w:rPr>
            <w:rStyle w:val="Hyperlink"/>
          </w:rPr>
          <w:t xml:space="preserve">ncei.noaa.gov/products/wandering-geomagnetic-poles</w:t>
        </w:r>
      </w:hyperlink>
    </w:p>
    <w:p>
      <w:pPr>
        <w:spacing w:after="120"/>
      </w:pPr>
      <w:r>
        <w:rPr>
          <w:b/>
          <w:bCs/>
        </w:rPr>
        <w:t xml:space="preserve">CHAOS-7 Geomagnetic Field Model: </w:t>
      </w:r>
      <w:hyperlink w:history="1" r:id="rId0lvoaxlfam-qfhhy6wlqf">
        <w:r>
          <w:rPr>
            <w:rStyle w:val="Hyperlink"/>
          </w:rPr>
          <w:t xml:space="preserve">spacecenter.dk/files/magnetic-models/CHAOS-7</w:t>
        </w:r>
      </w:hyperlink>
    </w:p>
    <w:p>
      <w:pPr>
        <w:spacing w:after="120"/>
      </w:pPr>
      <w:r>
        <w:rPr>
          <w:b/>
          <w:bCs/>
        </w:rPr>
        <w:t xml:space="preserve">ESA Swarm Satellite Mission: </w:t>
      </w:r>
      <w:hyperlink w:history="1" r:id="rIdxksveow1an6jhkd5syccz">
        <w:r>
          <w:rPr>
            <w:rStyle w:val="Hyperlink"/>
          </w:rPr>
          <w:t xml:space="preserve">earth.esa.int/eogateway/missions/swarm</w:t>
        </w:r>
      </w:hyperlink>
    </w:p>
    <w:p>
      <w:pPr>
        <w:spacing w:after="120"/>
      </w:pPr>
      <w:r>
        <w:rPr>
          <w:b/>
          <w:bCs/>
        </w:rPr>
        <w:t xml:space="preserve">INTERMAGNET Observatory Network: </w:t>
      </w:r>
      <w:hyperlink w:history="1" r:id="rIdtgmhl7rindnsdcefgswsz">
        <w:r>
          <w:rPr>
            <w:rStyle w:val="Hyperlink"/>
          </w:rPr>
          <w:t xml:space="preserve">intermagnet.org</w:t>
        </w:r>
      </w:hyperlink>
    </w:p>
    <w:p>
      <w:pPr>
        <w:spacing w:after="120"/>
      </w:pPr>
      <w:r>
        <w:rPr>
          <w:b/>
          <w:bCs/>
        </w:rPr>
        <w:t xml:space="preserve">IGRF-13: </w:t>
      </w:r>
      <w:hyperlink w:history="1" r:id="rIdnr4zxz40bjnvym83rnrzj">
        <w:r>
          <w:rPr>
            <w:rStyle w:val="Hyperlink"/>
          </w:rPr>
          <w:t xml:space="preserve">ncei.noaa.gov/products/international-geomagnetic-reference-field</w:t>
        </w:r>
      </w:hyperlink>
    </w:p>
    <w:p>
      <w:pPr>
        <w:spacing w:after="120"/>
      </w:pPr>
      <w:r>
        <w:rPr>
          <w:b/>
          <w:bCs/>
        </w:rPr>
        <w:t xml:space="preserve">ESA Gaia Data Release 3: </w:t>
      </w:r>
      <w:hyperlink w:history="1" r:id="rIdxehyy3j8jj6w8uz6e8ead">
        <w:r>
          <w:rPr>
            <w:rStyle w:val="Hyperlink"/>
          </w:rPr>
          <w:t xml:space="preserve">cosmos.esa.int/web/gaia/data-release-3</w:t>
        </w:r>
      </w:hyperlink>
    </w:p>
    <w:p>
      <w:pPr>
        <w:spacing w:after="120"/>
      </w:pPr>
      <w:r>
        <w:rPr>
          <w:b/>
          <w:bCs/>
        </w:rPr>
        <w:t xml:space="preserve">Hipparcos Catalogue: </w:t>
      </w:r>
      <w:hyperlink w:history="1" r:id="rIdl0yn5qn6uqfu9rcpbo9f0">
        <w:r>
          <w:rPr>
            <w:rStyle w:val="Hyperlink"/>
          </w:rPr>
          <w:t xml:space="preserve">cosmos.esa.int/web/hipparcos</w:t>
        </w:r>
      </w:hyperlink>
    </w:p>
    <w:p>
      <w:pPr>
        <w:spacing w:after="120"/>
      </w:pPr>
      <w:r>
        <w:rPr>
          <w:b/>
          <w:bCs/>
        </w:rPr>
        <w:t xml:space="preserve">US Patent 787412 (Tesla): </w:t>
      </w:r>
      <w:hyperlink w:history="1" r:id="rIdaiv1xgi8k9wbhk5ckc3hc">
        <w:r>
          <w:rPr>
            <w:rStyle w:val="Hyperlink"/>
          </w:rPr>
          <w:t xml:space="preserve">patents.google.com/patent/US787412A</w:t>
        </w:r>
      </w:hyperlink>
    </w:p>
    <w:p>
      <w:pPr>
        <w:spacing w:after="120"/>
      </w:pPr>
      <w:r>
        <w:rPr>
          <w:b/>
          <w:bCs/>
        </w:rPr>
        <w:t xml:space="preserve">NOAA Solar Position Algorithm: </w:t>
      </w:r>
      <w:hyperlink w:history="1" r:id="rIdzdnpyuzmwsjddnia5rao5">
        <w:r>
          <w:rPr>
            <w:rStyle w:val="Hyperlink"/>
          </w:rPr>
          <w:t xml:space="preserve">gml.noaa.gov/grad/solcalc</w:t>
        </w:r>
      </w:hyperlink>
    </w:p>
    <w:p>
      <w:pPr>
        <w:spacing w:after="120"/>
      </w:pPr>
      <w:r>
        <w:rPr>
          <w:b/>
          <w:bCs/>
        </w:rPr>
        <w:t xml:space="preserve">National Geodetic Survey Gravity: </w:t>
      </w:r>
      <w:hyperlink w:history="1" r:id="rIdqpowqosrgtwoggoem5p4b">
        <w:r>
          <w:rPr>
            <w:rStyle w:val="Hyperlink"/>
          </w:rPr>
          <w:t xml:space="preserve">geodesy.noaa.gov</w:t>
        </w:r>
      </w:hyperlink>
    </w:p>
    <w:p>
      <w:pPr>
        <w:spacing w:after="120"/>
      </w:pPr>
      <w:r>
        <w:rPr>
          <w:b/>
          <w:bCs/>
        </w:rPr>
        <w:t xml:space="preserve">CHIME/FRB Project: </w:t>
      </w:r>
      <w:hyperlink w:history="1" r:id="rIdwmic9xjtgijr9lgot7kwx">
        <w:r>
          <w:rPr>
            <w:rStyle w:val="Hyperlink"/>
          </w:rPr>
          <w:t xml:space="preserve">chime-frb.ca</w:t>
        </w:r>
      </w:hyperlink>
    </w:p>
    <w:p>
      <w:pPr>
        <w:spacing w:after="120"/>
      </w:pPr>
      <w:r>
        <w:rPr>
          <w:b/>
          <w:bCs/>
        </w:rPr>
        <w:t xml:space="preserve">GRACE-FO (gravity mapping): </w:t>
      </w:r>
      <w:hyperlink w:history="1" r:id="rIdk-nbeu_rdgzo-xvnumfv7">
        <w:r>
          <w:rPr>
            <w:rStyle w:val="Hyperlink"/>
          </w:rPr>
          <w:t xml:space="preserve">gracefo.jpl.nasa.gov</w:t>
        </w:r>
      </w:hyperlink>
    </w:p>
    <w:p>
      <w:pPr>
        <w:spacing w:after="120"/>
      </w:pPr>
      <w:r>
        <w:rPr>
          <w:b/>
          <w:bCs/>
        </w:rPr>
        <w:t xml:space="preserve">GOCE (gravity field): </w:t>
      </w:r>
      <w:hyperlink w:history="1" r:id="rIdhgo01vkik2v0i2nujfgt8">
        <w:r>
          <w:rPr>
            <w:rStyle w:val="Hyperlink"/>
          </w:rPr>
          <w:t xml:space="preserve">earth.esa.int/eogateway/missions/goce</w:t>
        </w:r>
      </w:hyperlink>
    </w:p>
    <w:p>
      <w:pPr>
        <w:spacing w:after="120"/>
      </w:pPr>
      <w:r>
        <w:rPr>
          <w:b/>
          <w:bCs/>
        </w:rPr>
        <w:t xml:space="preserve">GPS.gov: </w:t>
      </w:r>
      <w:hyperlink w:history="1" r:id="rIdyhbckcrlwne5agw4lzrni">
        <w:r>
          <w:rPr>
            <w:rStyle w:val="Hyperlink"/>
          </w:rPr>
          <w:t xml:space="preserve">gps.gov</w:t>
        </w:r>
      </w:hyperlink>
    </w:p>
    <w:p>
      <w:pPr>
        <w:spacing w:after="120"/>
      </w:pPr>
      <w:r>
        <w:rPr>
          <w:b/>
          <w:bCs/>
        </w:rPr>
        <w:t xml:space="preserve">CelesTrak TLE Data: </w:t>
      </w:r>
      <w:hyperlink w:history="1" r:id="rIdxhgwclewi_knnlhu12_m7">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identified August 2026 eclipse as the only genuinely discriminating prediction, documented internal version contradictions.</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04iaa6a2dbdglr0mbsgm" Type="http://schemas.openxmlformats.org/officeDocument/2006/relationships/hyperlink" Target="https://patents.google.com/patent/US787412A" TargetMode="External"/><Relationship Id="rId8ogh9nl9jfa1mx663z3dv" Type="http://schemas.openxmlformats.org/officeDocument/2006/relationships/hyperlink" Target="https://cosmos.esa.int/web/gaia/data-release-3" TargetMode="External"/><Relationship Id="rId0d6kja6fmwe7fdk9pfvq0" Type="http://schemas.openxmlformats.org/officeDocument/2006/relationships/hyperlink" Target="https://cosmos.esa.int/web/gaia/data-release-3" TargetMode="External"/><Relationship Id="rId0semgj9o1wxpcxvblzwa8" Type="http://schemas.openxmlformats.org/officeDocument/2006/relationships/hyperlink" Target="https://en.wikipedia.org/wiki/Anticrepuscular_rays" TargetMode="External"/><Relationship Id="rIdu38g5ylaphc_kjfp8ppgu" Type="http://schemas.openxmlformats.org/officeDocument/2006/relationships/hyperlink" Target="https://earthsky.org/earth/how-to-see-anticrepuscular-rays/" TargetMode="External"/><Relationship Id="rIdbqydisdgzyr_6kd_req8p" Type="http://schemas.openxmlformats.org/officeDocument/2006/relationships/hyperlink" Target="https://www.lloyds.com" TargetMode="External"/><Relationship Id="rIddta517rrcq9rziqae-krp" Type="http://schemas.openxmlformats.org/officeDocument/2006/relationships/hyperlink" Target="https://cosmos.esa.int/web/hipparcos" TargetMode="External"/><Relationship Id="rIdzljetkm6y_byapan39f27" Type="http://schemas.openxmlformats.org/officeDocument/2006/relationships/hyperlink" Target="https://spacecenter.dk/files/magnetic-models/CHAOS-7" TargetMode="External"/><Relationship Id="rId-bbcizynpkjkvkaya1uro" Type="http://schemas.openxmlformats.org/officeDocument/2006/relationships/hyperlink" Target="https://earth.esa.int/eogateway/missions/swarm" TargetMode="External"/><Relationship Id="rIdglxjvbd3zcy1te2ytqj0n" Type="http://schemas.openxmlformats.org/officeDocument/2006/relationships/hyperlink" Target="https://ncei.noaa.gov/products/wandering-geomagnetic-poles" TargetMode="External"/><Relationship Id="rId8xijfutaxb2rikb6eivvx" Type="http://schemas.openxmlformats.org/officeDocument/2006/relationships/hyperlink" Target="https://www.intermagnet.org" TargetMode="External"/><Relationship Id="rId9u3xwdn1c1qfqbr8dfmk_" Type="http://schemas.openxmlformats.org/officeDocument/2006/relationships/hyperlink" Target="https://earth.esa.int/eogateway/missions/swarm" TargetMode="External"/><Relationship Id="rIdhqcg0nbbpjtzg6wveirpj" Type="http://schemas.openxmlformats.org/officeDocument/2006/relationships/hyperlink" Target="https://ncei.noaa.gov/products/world-magnetic-model" TargetMode="External"/><Relationship Id="rIdp1os3rrq7ma9tvziit5yi" Type="http://schemas.openxmlformats.org/officeDocument/2006/relationships/hyperlink" Target="https://ncei.noaa.gov/products/international-geomagnetic-reference-field" TargetMode="External"/><Relationship Id="rId3dbreobev6sjblf7vx1tn" Type="http://schemas.openxmlformats.org/officeDocument/2006/relationships/hyperlink" Target="https://gracefo.jpl.nasa.gov" TargetMode="External"/><Relationship Id="rIdczd7dop7lyiuws-fwacy5" Type="http://schemas.openxmlformats.org/officeDocument/2006/relationships/hyperlink" Target="https://earth.esa.int/eogateway/missions/goce" TargetMode="External"/><Relationship Id="rIdwbcigsv8eqwkv7hicsqfk" Type="http://schemas.openxmlformats.org/officeDocument/2006/relationships/hyperlink" Target="https://www.timeanddate.com/sun/antarctica/south-pole" TargetMode="External"/><Relationship Id="rIdhr_nw1vxytxyuqxvzknjy" Type="http://schemas.openxmlformats.org/officeDocument/2006/relationships/hyperlink" Target="https://www.gps.gov" TargetMode="External"/><Relationship Id="rIdbv2x8aje86tjlhv48adw3" Type="http://schemas.openxmlformats.org/officeDocument/2006/relationships/hyperlink" Target="https://spotthestation.nasa.gov" TargetMode="External"/><Relationship Id="rIdao7dvhmejku2q2-o3y-u5" Type="http://schemas.openxmlformats.org/officeDocument/2006/relationships/hyperlink" Target="https://gml.noaa.gov/grad/solcalc" TargetMode="External"/><Relationship Id="rIdvzesms6vitshwzyf84k9m" Type="http://schemas.openxmlformats.org/officeDocument/2006/relationships/hyperlink" Target="https://chime-frb.ca" TargetMode="External"/><Relationship Id="rIdbv4wq2ipf09pibqxjerfr" Type="http://schemas.openxmlformats.org/officeDocument/2006/relationships/hyperlink" Target="https://ncei.noaa.gov/products/world-magnetic-model" TargetMode="External"/><Relationship Id="rId29vz1crfh8velvrh_rz2i" Type="http://schemas.openxmlformats.org/officeDocument/2006/relationships/hyperlink" Target="https://geodesy.noaa.gov" TargetMode="External"/><Relationship Id="rIdiuvaddpefczpp6vnogxlx" Type="http://schemas.openxmlformats.org/officeDocument/2006/relationships/hyperlink" Target="https://ncei.noaa.gov/products/world-magnetic-model" TargetMode="External"/><Relationship Id="rIdr5pswk253yjzelogd30vr" Type="http://schemas.openxmlformats.org/officeDocument/2006/relationships/hyperlink" Target="https://ncei.noaa.gov/products/wandering-geomagnetic-poles" TargetMode="External"/><Relationship Id="rId0lvoaxlfam-qfhhy6wlqf" Type="http://schemas.openxmlformats.org/officeDocument/2006/relationships/hyperlink" Target="https://spacecenter.dk/files/magnetic-models/CHAOS-7" TargetMode="External"/><Relationship Id="rIdxksveow1an6jhkd5syccz" Type="http://schemas.openxmlformats.org/officeDocument/2006/relationships/hyperlink" Target="https://earth.esa.int/eogateway/missions/swarm" TargetMode="External"/><Relationship Id="rIdtgmhl7rindnsdcefgswsz" Type="http://schemas.openxmlformats.org/officeDocument/2006/relationships/hyperlink" Target="https://www.intermagnet.org" TargetMode="External"/><Relationship Id="rIdnr4zxz40bjnvym83rnrzj" Type="http://schemas.openxmlformats.org/officeDocument/2006/relationships/hyperlink" Target="https://ncei.noaa.gov/products/international-geomagnetic-reference-field" TargetMode="External"/><Relationship Id="rIdxehyy3j8jj6w8uz6e8ead" Type="http://schemas.openxmlformats.org/officeDocument/2006/relationships/hyperlink" Target="https://cosmos.esa.int/web/gaia/data-release-3" TargetMode="External"/><Relationship Id="rIdl0yn5qn6uqfu9rcpbo9f0" Type="http://schemas.openxmlformats.org/officeDocument/2006/relationships/hyperlink" Target="https://cosmos.esa.int/web/hipparcos" TargetMode="External"/><Relationship Id="rIdaiv1xgi8k9wbhk5ckc3hc" Type="http://schemas.openxmlformats.org/officeDocument/2006/relationships/hyperlink" Target="https://patents.google.com/patent/US787412A" TargetMode="External"/><Relationship Id="rIdzdnpyuzmwsjddnia5rao5" Type="http://schemas.openxmlformats.org/officeDocument/2006/relationships/hyperlink" Target="https://gml.noaa.gov/grad/solcalc" TargetMode="External"/><Relationship Id="rIdqpowqosrgtwoggoem5p4b" Type="http://schemas.openxmlformats.org/officeDocument/2006/relationships/hyperlink" Target="https://geodesy.noaa.gov" TargetMode="External"/><Relationship Id="rIdwmic9xjtgijr9lgot7kwx" Type="http://schemas.openxmlformats.org/officeDocument/2006/relationships/hyperlink" Target="https://chime-frb.ca" TargetMode="External"/><Relationship Id="rIdk-nbeu_rdgzo-xvnumfv7" Type="http://schemas.openxmlformats.org/officeDocument/2006/relationships/hyperlink" Target="https://gracefo.jpl.nasa.gov" TargetMode="External"/><Relationship Id="rIdhgo01vkik2v0i2nujfgt8" Type="http://schemas.openxmlformats.org/officeDocument/2006/relationships/hyperlink" Target="https://earth.esa.int/eogateway/missions/goce" TargetMode="External"/><Relationship Id="rIdyhbckcrlwne5agw4lzrni" Type="http://schemas.openxmlformats.org/officeDocument/2006/relationships/hyperlink" Target="https://www.gps.gov" TargetMode="External"/><Relationship Id="rIdxhgwclewi_knnlhu12_m7" Type="http://schemas.openxmlformats.org/officeDocument/2006/relationships/hyperlink" Target="https://celestrak.org" TargetMode="External"/><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2026-04-05T06:56:42.126Z</dcterms:created>
  <dcterms:modified xsi:type="dcterms:W3CDTF">2026-04-05T06:56:42.126Z</dcterms:modified>
</cp:coreProperties>
</file>

<file path=docProps/custom.xml><?xml version="1.0" encoding="utf-8"?>
<Properties xmlns="http://schemas.openxmlformats.org/officeDocument/2006/custom-properties" xmlns:vt="http://schemas.openxmlformats.org/officeDocument/2006/docPropsVTypes"/>
</file>