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ACB95" w14:textId="2DB3530F" w:rsidR="00035C22" w:rsidRPr="00392592" w:rsidRDefault="00392592" w:rsidP="001E015F">
      <w:pPr>
        <w:adjustRightInd w:val="0"/>
        <w:snapToGrid w:val="0"/>
        <w:spacing w:line="360" w:lineRule="auto"/>
        <w:rPr>
          <w:rFonts w:ascii="宋体" w:eastAsia="宋体" w:hAnsi="宋体"/>
          <w:b/>
          <w:sz w:val="28"/>
          <w:szCs w:val="28"/>
        </w:rPr>
      </w:pPr>
      <w:r w:rsidRPr="00392592">
        <w:rPr>
          <w:rFonts w:ascii="宋体" w:eastAsia="宋体" w:hAnsi="宋体" w:hint="eastAsia"/>
          <w:b/>
          <w:sz w:val="28"/>
          <w:szCs w:val="28"/>
        </w:rPr>
        <w:t>附件2：</w:t>
      </w:r>
    </w:p>
    <w:p w14:paraId="6F2C6BC7" w14:textId="2E31D811" w:rsidR="001A0AB8" w:rsidRPr="00392592" w:rsidRDefault="0057379B" w:rsidP="001E015F">
      <w:pPr>
        <w:adjustRightInd w:val="0"/>
        <w:snapToGrid w:val="0"/>
        <w:spacing w:line="360" w:lineRule="auto"/>
        <w:jc w:val="center"/>
        <w:rPr>
          <w:rFonts w:ascii="宋体" w:eastAsia="宋体" w:hAnsi="宋体"/>
          <w:b/>
          <w:sz w:val="40"/>
          <w:szCs w:val="40"/>
        </w:rPr>
      </w:pPr>
      <w:r w:rsidRPr="00392592">
        <w:rPr>
          <w:rFonts w:ascii="宋体" w:eastAsia="宋体" w:hAnsi="宋体" w:hint="eastAsia"/>
          <w:b/>
          <w:sz w:val="40"/>
          <w:szCs w:val="40"/>
        </w:rPr>
        <w:t>湖北省及部分地市医疗资源</w:t>
      </w:r>
      <w:r w:rsidR="00926281" w:rsidRPr="00392592">
        <w:rPr>
          <w:rFonts w:ascii="宋体" w:eastAsia="宋体" w:hAnsi="宋体" w:hint="eastAsia"/>
          <w:b/>
          <w:sz w:val="40"/>
          <w:szCs w:val="40"/>
        </w:rPr>
        <w:t>现状</w:t>
      </w:r>
      <w:r w:rsidRPr="00392592">
        <w:rPr>
          <w:rFonts w:ascii="宋体" w:eastAsia="宋体" w:hAnsi="宋体" w:hint="eastAsia"/>
          <w:b/>
          <w:sz w:val="40"/>
          <w:szCs w:val="40"/>
        </w:rPr>
        <w:t>调研</w:t>
      </w:r>
    </w:p>
    <w:p w14:paraId="26DDDF31" w14:textId="77777777" w:rsidR="00C10DF6" w:rsidRPr="002F5D85" w:rsidRDefault="00C10DF6" w:rsidP="001E015F">
      <w:pPr>
        <w:adjustRightInd w:val="0"/>
        <w:snapToGrid w:val="0"/>
        <w:spacing w:line="360" w:lineRule="auto"/>
        <w:jc w:val="center"/>
        <w:rPr>
          <w:rFonts w:ascii="微软雅黑" w:eastAsia="微软雅黑" w:hAnsi="微软雅黑"/>
          <w:b/>
          <w:sz w:val="24"/>
          <w:szCs w:val="24"/>
        </w:rPr>
      </w:pPr>
    </w:p>
    <w:p w14:paraId="7B62FA09" w14:textId="5188CCE7" w:rsidR="0018118D" w:rsidRPr="00392592" w:rsidRDefault="005C1893" w:rsidP="001E015F">
      <w:pPr>
        <w:pStyle w:val="1"/>
        <w:keepNext w:val="0"/>
        <w:keepLines w:val="0"/>
        <w:numPr>
          <w:ilvl w:val="0"/>
          <w:numId w:val="5"/>
        </w:numPr>
        <w:adjustRightInd w:val="0"/>
        <w:snapToGrid w:val="0"/>
        <w:spacing w:before="0" w:after="0" w:line="360" w:lineRule="auto"/>
        <w:ind w:left="0" w:firstLine="0"/>
        <w:rPr>
          <w:rFonts w:ascii="黑体" w:eastAsia="黑体" w:hAnsi="黑体"/>
        </w:rPr>
      </w:pPr>
      <w:r w:rsidRPr="00392592">
        <w:rPr>
          <w:rFonts w:ascii="黑体" w:eastAsia="黑体" w:hAnsi="黑体" w:hint="eastAsia"/>
        </w:rPr>
        <w:t>湖北省</w:t>
      </w:r>
    </w:p>
    <w:p w14:paraId="26DFB9AF" w14:textId="0DCC8DA7" w:rsidR="00707B64" w:rsidRPr="00392592" w:rsidRDefault="00C107D4" w:rsidP="001E015F">
      <w:pPr>
        <w:adjustRightInd w:val="0"/>
        <w:snapToGrid w:val="0"/>
        <w:spacing w:line="360" w:lineRule="auto"/>
        <w:ind w:firstLineChars="200" w:firstLine="472"/>
        <w:rPr>
          <w:rFonts w:ascii="宋体" w:eastAsia="宋体" w:hAnsi="宋体"/>
          <w:sz w:val="24"/>
          <w:szCs w:val="24"/>
        </w:rPr>
      </w:pPr>
      <w:r w:rsidRPr="00392592">
        <w:rPr>
          <w:rFonts w:ascii="宋体" w:eastAsia="宋体" w:hAnsi="宋体" w:hint="eastAsia"/>
          <w:sz w:val="24"/>
          <w:szCs w:val="24"/>
        </w:rPr>
        <w:t>（数据来源</w:t>
      </w:r>
      <w:r w:rsidR="00B67ACA" w:rsidRPr="00392592">
        <w:rPr>
          <w:rFonts w:ascii="宋体" w:eastAsia="宋体" w:hAnsi="宋体" w:hint="eastAsia"/>
          <w:sz w:val="24"/>
          <w:szCs w:val="24"/>
        </w:rPr>
        <w:t>《省人民政府办公厅关于印发湖北省医疗卫生服务体系发展规划（2015—2020年）的通知》</w:t>
      </w:r>
      <w:r w:rsidR="00067B6B" w:rsidRPr="00392592">
        <w:rPr>
          <w:rFonts w:ascii="宋体" w:eastAsia="宋体" w:hAnsi="宋体" w:hint="eastAsia"/>
          <w:sz w:val="24"/>
          <w:szCs w:val="24"/>
        </w:rPr>
        <w:t>鄂政办发〔2015〕86号</w:t>
      </w:r>
      <w:r w:rsidRPr="00392592">
        <w:rPr>
          <w:rFonts w:ascii="宋体" w:eastAsia="宋体" w:hAnsi="宋体" w:hint="eastAsia"/>
          <w:sz w:val="24"/>
          <w:szCs w:val="24"/>
        </w:rPr>
        <w:t>）</w:t>
      </w:r>
    </w:p>
    <w:p w14:paraId="07E40967" w14:textId="0BED3A3C" w:rsidR="007F7CD1" w:rsidRPr="00392592" w:rsidRDefault="00E61DB4"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医疗</w:t>
      </w:r>
      <w:r w:rsidR="00676DD0" w:rsidRPr="00392592">
        <w:rPr>
          <w:rFonts w:ascii="黑体" w:eastAsia="黑体" w:hAnsi="黑体" w:hint="eastAsia"/>
          <w:sz w:val="36"/>
          <w:szCs w:val="36"/>
        </w:rPr>
        <w:t>卫生</w:t>
      </w:r>
      <w:r w:rsidRPr="00392592">
        <w:rPr>
          <w:rFonts w:ascii="黑体" w:eastAsia="黑体" w:hAnsi="黑体" w:hint="eastAsia"/>
          <w:sz w:val="36"/>
          <w:szCs w:val="36"/>
        </w:rPr>
        <w:t>资源</w:t>
      </w:r>
    </w:p>
    <w:p w14:paraId="417212C2" w14:textId="79AD1AA6" w:rsidR="00604751" w:rsidRPr="00392592" w:rsidRDefault="00CD516D" w:rsidP="001E015F">
      <w:pPr>
        <w:pStyle w:val="3"/>
        <w:keepNext w:val="0"/>
        <w:keepLines w:val="0"/>
        <w:numPr>
          <w:ilvl w:val="2"/>
          <w:numId w:val="5"/>
        </w:numPr>
        <w:adjustRightInd w:val="0"/>
        <w:snapToGrid w:val="0"/>
        <w:spacing w:before="0" w:after="0" w:line="360" w:lineRule="auto"/>
        <w:ind w:left="0" w:firstLine="0"/>
        <w:rPr>
          <w:rFonts w:ascii="黑体" w:eastAsia="黑体" w:hAnsi="黑体"/>
        </w:rPr>
      </w:pPr>
      <w:r>
        <w:rPr>
          <w:rFonts w:ascii="黑体" w:eastAsia="黑体" w:hAnsi="黑体" w:hint="eastAsia"/>
        </w:rPr>
        <w:t xml:space="preserve"> </w:t>
      </w:r>
      <w:r w:rsidR="00BD7ADE" w:rsidRPr="00392592">
        <w:rPr>
          <w:rFonts w:ascii="黑体" w:eastAsia="黑体" w:hAnsi="黑体" w:hint="eastAsia"/>
        </w:rPr>
        <w:t>现状</w:t>
      </w:r>
    </w:p>
    <w:p w14:paraId="43BB8D78" w14:textId="59594086" w:rsidR="004C741D" w:rsidRPr="00392592" w:rsidRDefault="004C741D" w:rsidP="001E015F">
      <w:pPr>
        <w:adjustRightInd w:val="0"/>
        <w:snapToGrid w:val="0"/>
        <w:spacing w:line="360" w:lineRule="auto"/>
        <w:ind w:firstLineChars="200" w:firstLine="472"/>
        <w:rPr>
          <w:rFonts w:ascii="宋体" w:eastAsia="宋体" w:hAnsi="宋体"/>
          <w:sz w:val="24"/>
          <w:szCs w:val="24"/>
        </w:rPr>
      </w:pPr>
      <w:r w:rsidRPr="00392592">
        <w:rPr>
          <w:rFonts w:ascii="宋体" w:eastAsia="宋体" w:hAnsi="宋体" w:hint="eastAsia"/>
          <w:sz w:val="24"/>
          <w:szCs w:val="24"/>
        </w:rPr>
        <w:t>全省现有医疗卫生机构36084家，其中医院771家（综合医院483家、中医院119家、专科医院169家），基层医疗卫生机构34502家（乡镇卫生院1186家、社区卫生服务机构1176家、村卫生室24918家、诊所等其他基层医疗机构7222家），专业公共卫生机构703家，其它机构108家。全省医疗卫生机构床位数31.8万张，其中医院床位23.7万张、基层医疗卫生机构床位8.1万张。每千常住人口床位数5.48张,其中医院4.08张、基层医疗卫生机构1.4张。全省医疗卫生人员总数44.35万人，其中执业(助理)医师12.74万人、注册护士14.70万人。每千常住人口执业(助理)医师2.2人、注册护士2.53人。全省床位数、执业（助理）医师数、注册护士数分别排全国第八、第九、第七位。全省基本建立了由医院、基层医疗卫生机构、专业公共卫生机构等组成的覆盖城乡的医疗卫生服务体系。</w:t>
      </w:r>
    </w:p>
    <w:p w14:paraId="0920D478" w14:textId="00E455F5" w:rsidR="00604751" w:rsidRPr="00392592" w:rsidRDefault="00CD516D" w:rsidP="001E015F">
      <w:pPr>
        <w:pStyle w:val="3"/>
        <w:keepNext w:val="0"/>
        <w:keepLines w:val="0"/>
        <w:numPr>
          <w:ilvl w:val="2"/>
          <w:numId w:val="5"/>
        </w:numPr>
        <w:adjustRightInd w:val="0"/>
        <w:snapToGrid w:val="0"/>
        <w:spacing w:before="0" w:after="0" w:line="360" w:lineRule="auto"/>
        <w:ind w:left="0" w:firstLine="0"/>
        <w:rPr>
          <w:rFonts w:ascii="黑体" w:eastAsia="黑体" w:hAnsi="黑体"/>
        </w:rPr>
      </w:pPr>
      <w:r>
        <w:rPr>
          <w:rFonts w:ascii="黑体" w:eastAsia="黑体" w:hAnsi="黑体" w:hint="eastAsia"/>
        </w:rPr>
        <w:t xml:space="preserve"> </w:t>
      </w:r>
      <w:r w:rsidR="00EA176C" w:rsidRPr="00392592">
        <w:rPr>
          <w:rFonts w:ascii="黑体" w:eastAsia="黑体" w:hAnsi="黑体" w:hint="eastAsia"/>
        </w:rPr>
        <w:t>利用</w:t>
      </w:r>
      <w:r w:rsidR="00F26306" w:rsidRPr="00392592">
        <w:rPr>
          <w:rFonts w:ascii="黑体" w:eastAsia="黑体" w:hAnsi="黑体" w:hint="eastAsia"/>
        </w:rPr>
        <w:t>状况</w:t>
      </w:r>
    </w:p>
    <w:p w14:paraId="11391F98" w14:textId="2767B757" w:rsidR="000D7434" w:rsidRPr="00392592" w:rsidRDefault="000D7434" w:rsidP="001E015F">
      <w:pPr>
        <w:adjustRightInd w:val="0"/>
        <w:snapToGrid w:val="0"/>
        <w:spacing w:line="360" w:lineRule="auto"/>
        <w:ind w:firstLineChars="200" w:firstLine="472"/>
        <w:rPr>
          <w:rFonts w:ascii="宋体" w:eastAsia="宋体" w:hAnsi="宋体"/>
          <w:sz w:val="24"/>
          <w:szCs w:val="24"/>
        </w:rPr>
      </w:pPr>
      <w:r w:rsidRPr="00392592">
        <w:rPr>
          <w:rFonts w:ascii="宋体" w:eastAsia="宋体" w:hAnsi="宋体" w:hint="eastAsia"/>
          <w:sz w:val="24"/>
          <w:szCs w:val="24"/>
        </w:rPr>
        <w:t>2014年全省医疗机构诊疗3.8亿人次，出院病人1029万人，均排全国第八位，近五年平均增长率分别为29%和14.7%。医院床位利用率99.8%，基层医疗卫生机构床位利用率79%。县办医院平均住院天数9.2天，市办及以上医院平均住院天数10.8天。</w:t>
      </w:r>
    </w:p>
    <w:p w14:paraId="120CC0D8" w14:textId="773A62C0" w:rsidR="00FE0DDC" w:rsidRPr="00392592" w:rsidRDefault="00401F6D"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居民健康状况</w:t>
      </w:r>
    </w:p>
    <w:p w14:paraId="493550CE" w14:textId="7EC4C84D" w:rsidR="00FE0DDC" w:rsidRPr="00392592" w:rsidRDefault="00B257D7" w:rsidP="001E015F">
      <w:pPr>
        <w:adjustRightInd w:val="0"/>
        <w:snapToGrid w:val="0"/>
        <w:spacing w:line="360" w:lineRule="auto"/>
        <w:ind w:firstLineChars="200" w:firstLine="472"/>
        <w:rPr>
          <w:rFonts w:ascii="宋体" w:eastAsia="宋体" w:hAnsi="宋体"/>
          <w:sz w:val="24"/>
          <w:szCs w:val="24"/>
        </w:rPr>
      </w:pPr>
      <w:r w:rsidRPr="00392592">
        <w:rPr>
          <w:rFonts w:ascii="宋体" w:eastAsia="宋体" w:hAnsi="宋体" w:hint="eastAsia"/>
          <w:sz w:val="24"/>
          <w:szCs w:val="24"/>
        </w:rPr>
        <w:lastRenderedPageBreak/>
        <w:t>2014年全省人均期望寿命76.5岁，婴儿死亡率7.97‰，孕产妇死亡率12.9/10万，5岁以下儿童死亡率10.75‰，主要健康指标优于全国平均水平，位于中西部地区前列。</w:t>
      </w:r>
    </w:p>
    <w:p w14:paraId="0244A5C0" w14:textId="556EF73B" w:rsidR="007336CA" w:rsidRPr="00392592" w:rsidRDefault="00926DCE"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服务需求状况</w:t>
      </w:r>
    </w:p>
    <w:p w14:paraId="756D0A2E" w14:textId="24E27A40" w:rsidR="009D6F1E" w:rsidRPr="001E015F" w:rsidRDefault="009D6F1E" w:rsidP="001E015F">
      <w:pPr>
        <w:adjustRightInd w:val="0"/>
        <w:snapToGrid w:val="0"/>
        <w:spacing w:line="360" w:lineRule="auto"/>
        <w:ind w:firstLineChars="200" w:firstLine="472"/>
        <w:rPr>
          <w:rFonts w:ascii="宋体" w:eastAsia="宋体" w:hAnsi="宋体"/>
          <w:sz w:val="24"/>
          <w:szCs w:val="24"/>
        </w:rPr>
      </w:pPr>
      <w:r w:rsidRPr="001E015F">
        <w:rPr>
          <w:rFonts w:ascii="宋体" w:eastAsia="宋体" w:hAnsi="宋体" w:hint="eastAsia"/>
          <w:sz w:val="24"/>
          <w:szCs w:val="24"/>
        </w:rPr>
        <w:t>第五次全国卫生服务调查显示，全省居民两周患病率为20.8%。两周患病疾病居前五位的分别是：高血压、糖尿病、急性鼻咽炎、上呼吸道感染和椎间盘疾病。两周患病就诊率9.8%，未就诊率24.5%。住院率居前五位的分别是：正常分娩、高血压、脑血管、骨折和椎间盘疾病。城乡居民应住院而未住院的患者中，经济困难为主要因素，占39.8%。</w:t>
      </w:r>
    </w:p>
    <w:p w14:paraId="2AB0561F" w14:textId="43974DD8" w:rsidR="007336CA" w:rsidRPr="00392592" w:rsidRDefault="007336CA"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药房</w:t>
      </w:r>
      <w:r w:rsidR="00E87305" w:rsidRPr="00392592">
        <w:rPr>
          <w:rFonts w:ascii="黑体" w:eastAsia="黑体" w:hAnsi="黑体" w:hint="eastAsia"/>
          <w:sz w:val="36"/>
          <w:szCs w:val="36"/>
        </w:rPr>
        <w:t>分布情况</w:t>
      </w:r>
      <w:r w:rsidR="008C5D2F" w:rsidRPr="00392592">
        <w:rPr>
          <w:rFonts w:ascii="黑体" w:eastAsia="黑体" w:hAnsi="黑体" w:hint="eastAsia"/>
          <w:sz w:val="36"/>
          <w:szCs w:val="36"/>
        </w:rPr>
        <w:t>(</w:t>
      </w:r>
      <w:r w:rsidR="00E13902" w:rsidRPr="00392592">
        <w:rPr>
          <w:rFonts w:ascii="黑体" w:eastAsia="黑体" w:hAnsi="黑体" w:hint="eastAsia"/>
          <w:sz w:val="36"/>
          <w:szCs w:val="36"/>
        </w:rPr>
        <w:t>数据来源：中康智慧终端管理系统</w:t>
      </w:r>
      <w:r w:rsidR="008C5D2F" w:rsidRPr="00392592">
        <w:rPr>
          <w:rFonts w:ascii="黑体" w:eastAsia="黑体" w:hAnsi="黑体"/>
          <w:sz w:val="36"/>
          <w:szCs w:val="36"/>
        </w:rPr>
        <w:t>)</w:t>
      </w:r>
    </w:p>
    <w:p w14:paraId="5379CA40" w14:textId="5FE5EFE6" w:rsidR="00F070A2" w:rsidRPr="001E015F" w:rsidRDefault="00F070A2" w:rsidP="001E015F">
      <w:pPr>
        <w:adjustRightInd w:val="0"/>
        <w:snapToGrid w:val="0"/>
        <w:spacing w:line="360" w:lineRule="auto"/>
        <w:ind w:firstLineChars="200" w:firstLine="472"/>
        <w:rPr>
          <w:rFonts w:ascii="宋体" w:eastAsia="宋体" w:hAnsi="宋体"/>
          <w:sz w:val="24"/>
          <w:szCs w:val="24"/>
        </w:rPr>
      </w:pPr>
      <w:r w:rsidRPr="001E015F">
        <w:rPr>
          <w:rFonts w:ascii="宋体" w:eastAsia="宋体" w:hAnsi="宋体" w:hint="eastAsia"/>
          <w:sz w:val="24"/>
          <w:szCs w:val="24"/>
        </w:rPr>
        <w:t>2014年，湖北省实际经营的药店数量为12383家，门店密度为4697人/店（同期全国均值为3980人/店），全省药品零售市场的销售规模为90亿元，单个门店的平均药品销售额为73万元/年（同期全国平均水平59万元/年）。受药店密度偏小的影响，湖北省单店的药品销售规模大幅高于全国均值，市场竞争压力小，药店盈利能力强。</w:t>
      </w:r>
    </w:p>
    <w:p w14:paraId="74D56776" w14:textId="0E8ABBD1" w:rsidR="00F070A2" w:rsidRPr="001E015F" w:rsidRDefault="00F070A2" w:rsidP="001E015F">
      <w:pPr>
        <w:adjustRightInd w:val="0"/>
        <w:snapToGrid w:val="0"/>
        <w:spacing w:line="360" w:lineRule="auto"/>
        <w:ind w:firstLineChars="200" w:firstLine="472"/>
        <w:rPr>
          <w:rFonts w:ascii="宋体" w:eastAsia="宋体" w:hAnsi="宋体"/>
          <w:sz w:val="24"/>
          <w:szCs w:val="24"/>
        </w:rPr>
      </w:pPr>
      <w:r w:rsidRPr="001E015F">
        <w:rPr>
          <w:rFonts w:ascii="宋体" w:eastAsia="宋体" w:hAnsi="宋体" w:hint="eastAsia"/>
          <w:sz w:val="24"/>
          <w:szCs w:val="24"/>
        </w:rPr>
        <w:t>从药店连锁率来看，湖北省的连锁药店占比46.2%，高于全国均值43.6%。</w:t>
      </w:r>
    </w:p>
    <w:p w14:paraId="73A03286" w14:textId="7D6D485D" w:rsidR="00A47442" w:rsidRPr="001E015F" w:rsidRDefault="009D5C92" w:rsidP="001E015F">
      <w:pPr>
        <w:adjustRightInd w:val="0"/>
        <w:snapToGrid w:val="0"/>
        <w:spacing w:line="360" w:lineRule="auto"/>
        <w:ind w:firstLineChars="200" w:firstLine="472"/>
        <w:rPr>
          <w:rFonts w:ascii="宋体" w:eastAsia="宋体" w:hAnsi="宋体"/>
          <w:sz w:val="24"/>
          <w:szCs w:val="24"/>
        </w:rPr>
      </w:pPr>
      <w:r w:rsidRPr="001E015F">
        <w:rPr>
          <w:rFonts w:ascii="宋体" w:eastAsia="宋体" w:hAnsi="宋体"/>
          <w:noProof/>
          <w:sz w:val="24"/>
          <w:szCs w:val="24"/>
        </w:rPr>
        <w:drawing>
          <wp:anchor distT="0" distB="0" distL="114300" distR="114300" simplePos="0" relativeHeight="251661312" behindDoc="0" locked="0" layoutInCell="1" allowOverlap="1" wp14:anchorId="646E3C54" wp14:editId="55D5465C">
            <wp:simplePos x="0" y="0"/>
            <wp:positionH relativeFrom="column">
              <wp:posOffset>1321049</wp:posOffset>
            </wp:positionH>
            <wp:positionV relativeFrom="paragraph">
              <wp:posOffset>587375</wp:posOffset>
            </wp:positionV>
            <wp:extent cx="2973705" cy="1599565"/>
            <wp:effectExtent l="0" t="0" r="0" b="635"/>
            <wp:wrapTopAndBottom/>
            <wp:docPr id="7" name="图片 7" descr="http://img2.jiemian.com/jiemian/original/20160130/145412444345645100_a580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2.jiemian.com/jiemian/original/20160130/145412444345645100_a580x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59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F070A2" w:rsidRPr="001E015F">
        <w:rPr>
          <w:rFonts w:ascii="宋体" w:eastAsia="宋体" w:hAnsi="宋体" w:hint="eastAsia"/>
          <w:sz w:val="24"/>
          <w:szCs w:val="24"/>
        </w:rPr>
        <w:t>从区域分布来看，湖北省实际经营的药店中，51.1%为城区店，48.9%为乡镇店，城区店的占比高于全国均值2.1个百分点。</w:t>
      </w:r>
    </w:p>
    <w:p w14:paraId="205B7984" w14:textId="7D308A85" w:rsidR="00B376B0" w:rsidRPr="009D5C92" w:rsidRDefault="009D5C92" w:rsidP="001E015F">
      <w:pPr>
        <w:adjustRightInd w:val="0"/>
        <w:snapToGrid w:val="0"/>
        <w:spacing w:line="360" w:lineRule="auto"/>
        <w:jc w:val="center"/>
        <w:rPr>
          <w:sz w:val="18"/>
          <w:szCs w:val="18"/>
        </w:rPr>
      </w:pPr>
      <w:r w:rsidRPr="009D5C92">
        <w:rPr>
          <w:rFonts w:hint="eastAsia"/>
          <w:sz w:val="18"/>
          <w:szCs w:val="18"/>
        </w:rPr>
        <w:t>图</w:t>
      </w:r>
      <w:r w:rsidRPr="009D5C92">
        <w:rPr>
          <w:rFonts w:hint="eastAsia"/>
          <w:sz w:val="18"/>
          <w:szCs w:val="18"/>
        </w:rPr>
        <w:t xml:space="preserve">1  </w:t>
      </w:r>
      <w:r w:rsidRPr="009D5C92">
        <w:rPr>
          <w:rFonts w:hint="eastAsia"/>
          <w:sz w:val="18"/>
          <w:szCs w:val="18"/>
        </w:rPr>
        <w:t>湖北省与全国药店区域分布对比</w:t>
      </w:r>
    </w:p>
    <w:p w14:paraId="52B8F770" w14:textId="311C3A31" w:rsidR="00E32E8A" w:rsidRPr="001E015F" w:rsidRDefault="007F4161" w:rsidP="001E015F">
      <w:pPr>
        <w:adjustRightInd w:val="0"/>
        <w:snapToGrid w:val="0"/>
        <w:spacing w:line="360" w:lineRule="auto"/>
        <w:ind w:firstLineChars="200" w:firstLine="472"/>
        <w:rPr>
          <w:rFonts w:ascii="宋体" w:eastAsia="宋体" w:hAnsi="宋体"/>
          <w:sz w:val="24"/>
          <w:szCs w:val="24"/>
        </w:rPr>
      </w:pPr>
      <w:r w:rsidRPr="001E015F">
        <w:rPr>
          <w:rFonts w:ascii="宋体" w:eastAsia="宋体" w:hAnsi="宋体"/>
          <w:noProof/>
          <w:sz w:val="24"/>
          <w:szCs w:val="24"/>
        </w:rPr>
        <w:lastRenderedPageBreak/>
        <w:drawing>
          <wp:anchor distT="0" distB="0" distL="114300" distR="114300" simplePos="0" relativeHeight="251662336" behindDoc="0" locked="0" layoutInCell="1" allowOverlap="1" wp14:anchorId="19184BCC" wp14:editId="4331D77B">
            <wp:simplePos x="0" y="0"/>
            <wp:positionH relativeFrom="column">
              <wp:posOffset>756285</wp:posOffset>
            </wp:positionH>
            <wp:positionV relativeFrom="paragraph">
              <wp:posOffset>864870</wp:posOffset>
            </wp:positionV>
            <wp:extent cx="3728720" cy="2241550"/>
            <wp:effectExtent l="0" t="0" r="5080" b="6350"/>
            <wp:wrapTopAndBottom/>
            <wp:docPr id="8" name="图片 8" descr="http://img1.jiemian.com/jiemian/original/20160130/145412446275574200_a580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1.jiemian.com/jiemian/original/20160130/145412446275574200_a580x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720" cy="224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15F">
        <w:rPr>
          <w:rFonts w:ascii="宋体" w:eastAsia="宋体" w:hAnsi="宋体" w:hint="eastAsia"/>
          <w:sz w:val="24"/>
          <w:szCs w:val="24"/>
        </w:rPr>
        <w:t>从药店分型来看，湖北省实际经营的药店中，医院周边店比重比全国均值高0.05个百分点，为11.2%，居民区店、工业区店和商业区店的占比均低于全国均值，有40.5%的乡镇药店周围没有特征明显的建筑物。</w:t>
      </w:r>
    </w:p>
    <w:p w14:paraId="3D83A8B5" w14:textId="5E5E4334" w:rsidR="007F4161" w:rsidRDefault="007F4161" w:rsidP="001E015F">
      <w:pPr>
        <w:adjustRightInd w:val="0"/>
        <w:snapToGrid w:val="0"/>
        <w:spacing w:line="360" w:lineRule="auto"/>
        <w:jc w:val="center"/>
        <w:rPr>
          <w:sz w:val="18"/>
          <w:szCs w:val="18"/>
        </w:rPr>
      </w:pPr>
      <w:r w:rsidRPr="007F4161">
        <w:rPr>
          <w:rFonts w:hint="eastAsia"/>
          <w:sz w:val="18"/>
          <w:szCs w:val="18"/>
        </w:rPr>
        <w:t>图</w:t>
      </w:r>
      <w:r w:rsidRPr="007F4161">
        <w:rPr>
          <w:rFonts w:hint="eastAsia"/>
          <w:sz w:val="18"/>
          <w:szCs w:val="18"/>
        </w:rPr>
        <w:t>2  </w:t>
      </w:r>
      <w:r w:rsidRPr="007F4161">
        <w:rPr>
          <w:rFonts w:hint="eastAsia"/>
          <w:sz w:val="18"/>
          <w:szCs w:val="18"/>
        </w:rPr>
        <w:t>湖北省与全国各类药店分布对比</w:t>
      </w:r>
    </w:p>
    <w:p w14:paraId="6145156E" w14:textId="1F6D2397" w:rsidR="00080CA9" w:rsidRDefault="001E015F" w:rsidP="001E015F">
      <w:pPr>
        <w:adjustRightInd w:val="0"/>
        <w:snapToGrid w:val="0"/>
        <w:spacing w:line="360" w:lineRule="auto"/>
        <w:ind w:firstLineChars="200" w:firstLine="472"/>
        <w:rPr>
          <w:sz w:val="24"/>
          <w:szCs w:val="24"/>
        </w:rPr>
      </w:pPr>
      <w:r w:rsidRPr="001E015F">
        <w:rPr>
          <w:rFonts w:ascii="宋体" w:eastAsia="宋体" w:hAnsi="宋体"/>
          <w:noProof/>
          <w:sz w:val="24"/>
          <w:szCs w:val="24"/>
        </w:rPr>
        <w:drawing>
          <wp:anchor distT="0" distB="0" distL="114300" distR="114300" simplePos="0" relativeHeight="251663360" behindDoc="0" locked="0" layoutInCell="1" allowOverlap="1" wp14:anchorId="4A79A88D" wp14:editId="030003F5">
            <wp:simplePos x="0" y="0"/>
            <wp:positionH relativeFrom="column">
              <wp:posOffset>667797</wp:posOffset>
            </wp:positionH>
            <wp:positionV relativeFrom="paragraph">
              <wp:posOffset>1219447</wp:posOffset>
            </wp:positionV>
            <wp:extent cx="4138295" cy="2207895"/>
            <wp:effectExtent l="0" t="0" r="0" b="1905"/>
            <wp:wrapTopAndBottom/>
            <wp:docPr id="9" name="图片 9" descr="http://img2.jiemian.com/jiemian/original/20160130/145412448392972600_a580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jiemian.com/jiemian/original/20160130/145412448392972600_a580x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8295" cy="2207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37858" w:rsidRPr="001E015F">
        <w:rPr>
          <w:rFonts w:ascii="宋体" w:eastAsia="宋体" w:hAnsi="宋体" w:hint="eastAsia"/>
          <w:sz w:val="24"/>
          <w:szCs w:val="24"/>
        </w:rPr>
        <w:t>2014年，湖北省药品零售市场的销售规模在全国排名第八。从细分品类来看，最畅销药品品类TOP10的累计药品销售规模为58.7亿元，累计市场份额为64.9%，累计单店平均药品销售额达到45.5万元。其中，市场份额最高的前三个品类是心脑血管类、感冒药、胃肠道用药。</w:t>
      </w:r>
    </w:p>
    <w:p w14:paraId="122AB0A9" w14:textId="4CC7935D" w:rsidR="0089480F" w:rsidRPr="00B00570" w:rsidRDefault="0089480F" w:rsidP="001E015F">
      <w:pPr>
        <w:adjustRightInd w:val="0"/>
        <w:snapToGrid w:val="0"/>
        <w:spacing w:line="360" w:lineRule="auto"/>
        <w:jc w:val="center"/>
        <w:rPr>
          <w:sz w:val="18"/>
          <w:szCs w:val="18"/>
        </w:rPr>
      </w:pPr>
      <w:r w:rsidRPr="00B00570">
        <w:rPr>
          <w:rFonts w:hint="eastAsia"/>
          <w:sz w:val="18"/>
          <w:szCs w:val="18"/>
        </w:rPr>
        <w:t>表</w:t>
      </w:r>
      <w:r w:rsidRPr="00B00570">
        <w:rPr>
          <w:rFonts w:hint="eastAsia"/>
          <w:sz w:val="18"/>
          <w:szCs w:val="18"/>
        </w:rPr>
        <w:t xml:space="preserve">1 </w:t>
      </w:r>
      <w:r w:rsidRPr="00B00570">
        <w:rPr>
          <w:rFonts w:hint="eastAsia"/>
          <w:sz w:val="18"/>
          <w:szCs w:val="18"/>
        </w:rPr>
        <w:t>湖北省畅销药品品类</w:t>
      </w:r>
      <w:r w:rsidRPr="00B00570">
        <w:rPr>
          <w:rFonts w:hint="eastAsia"/>
          <w:sz w:val="18"/>
          <w:szCs w:val="18"/>
        </w:rPr>
        <w:t>TOP10</w:t>
      </w:r>
    </w:p>
    <w:p w14:paraId="2D6DE614" w14:textId="6ADAD508" w:rsidR="00B00570" w:rsidRPr="00811681" w:rsidRDefault="00AC675F" w:rsidP="001E015F">
      <w:pPr>
        <w:adjustRightInd w:val="0"/>
        <w:snapToGrid w:val="0"/>
        <w:spacing w:line="360" w:lineRule="auto"/>
        <w:ind w:firstLineChars="200" w:firstLine="472"/>
        <w:rPr>
          <w:rFonts w:ascii="宋体" w:eastAsia="宋体" w:hAnsi="宋体"/>
          <w:sz w:val="24"/>
          <w:szCs w:val="24"/>
        </w:rPr>
      </w:pPr>
      <w:r w:rsidRPr="00811681">
        <w:rPr>
          <w:rFonts w:ascii="宋体" w:eastAsia="宋体" w:hAnsi="宋体"/>
          <w:noProof/>
          <w:sz w:val="24"/>
          <w:szCs w:val="24"/>
        </w:rPr>
        <w:lastRenderedPageBreak/>
        <w:drawing>
          <wp:anchor distT="0" distB="0" distL="114300" distR="114300" simplePos="0" relativeHeight="251664384" behindDoc="0" locked="0" layoutInCell="1" allowOverlap="1" wp14:anchorId="6C0AC2E8" wp14:editId="0A5651E4">
            <wp:simplePos x="0" y="0"/>
            <wp:positionH relativeFrom="column">
              <wp:posOffset>748609</wp:posOffset>
            </wp:positionH>
            <wp:positionV relativeFrom="paragraph">
              <wp:posOffset>843915</wp:posOffset>
            </wp:positionV>
            <wp:extent cx="4246245" cy="3267710"/>
            <wp:effectExtent l="0" t="0" r="1905" b="8890"/>
            <wp:wrapTopAndBottom/>
            <wp:docPr id="10" name="图片 10" descr="http://img2.jiemian.com/jiemian/original/20160130/145412450363901100_a580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2.jiemian.com/jiemian/original/20160130/145412450363901100_a580x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245" cy="326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1681">
        <w:rPr>
          <w:rFonts w:ascii="宋体" w:eastAsia="宋体" w:hAnsi="宋体" w:hint="eastAsia"/>
          <w:sz w:val="24"/>
          <w:szCs w:val="24"/>
        </w:rPr>
        <w:t>在湖北省下辖17个地市州中，省会武汉市的实际经营药店数量及连锁率均最高，药店密度最大，市场竞争最为激烈，这与武汉市在湖北省的经济地位密不可分。各地市州实际经营药店数量、分布及连锁率详见下表：</w:t>
      </w:r>
    </w:p>
    <w:p w14:paraId="31C3B97A" w14:textId="70666264" w:rsidR="00AC675F" w:rsidRPr="00AC675F" w:rsidRDefault="00811681" w:rsidP="001E015F">
      <w:pPr>
        <w:adjustRightInd w:val="0"/>
        <w:snapToGrid w:val="0"/>
        <w:spacing w:line="360" w:lineRule="auto"/>
        <w:jc w:val="center"/>
        <w:rPr>
          <w:sz w:val="18"/>
          <w:szCs w:val="18"/>
        </w:rPr>
      </w:pPr>
      <w:r w:rsidRPr="00740AD6">
        <w:rPr>
          <w:noProof/>
          <w:sz w:val="18"/>
          <w:szCs w:val="18"/>
        </w:rPr>
        <w:drawing>
          <wp:anchor distT="0" distB="0" distL="114300" distR="114300" simplePos="0" relativeHeight="251665408" behindDoc="0" locked="0" layoutInCell="1" allowOverlap="1" wp14:anchorId="606FE125" wp14:editId="56561845">
            <wp:simplePos x="0" y="0"/>
            <wp:positionH relativeFrom="column">
              <wp:posOffset>1272128</wp:posOffset>
            </wp:positionH>
            <wp:positionV relativeFrom="paragraph">
              <wp:posOffset>3451423</wp:posOffset>
            </wp:positionV>
            <wp:extent cx="2949575" cy="3406140"/>
            <wp:effectExtent l="0" t="0" r="3175" b="381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9575" cy="3406140"/>
                    </a:xfrm>
                    <a:prstGeom prst="rect">
                      <a:avLst/>
                    </a:prstGeom>
                  </pic:spPr>
                </pic:pic>
              </a:graphicData>
            </a:graphic>
            <wp14:sizeRelH relativeFrom="page">
              <wp14:pctWidth>0</wp14:pctWidth>
            </wp14:sizeRelH>
            <wp14:sizeRelV relativeFrom="page">
              <wp14:pctHeight>0</wp14:pctHeight>
            </wp14:sizeRelV>
          </wp:anchor>
        </w:drawing>
      </w:r>
      <w:r w:rsidR="00AC675F" w:rsidRPr="00AC675F">
        <w:rPr>
          <w:rFonts w:hint="eastAsia"/>
          <w:sz w:val="18"/>
          <w:szCs w:val="18"/>
        </w:rPr>
        <w:t>表</w:t>
      </w:r>
      <w:r w:rsidR="00AC675F" w:rsidRPr="00AC675F">
        <w:rPr>
          <w:rFonts w:hint="eastAsia"/>
          <w:sz w:val="18"/>
          <w:szCs w:val="18"/>
        </w:rPr>
        <w:t xml:space="preserve">2 </w:t>
      </w:r>
      <w:r w:rsidR="00AC675F" w:rsidRPr="00AC675F">
        <w:rPr>
          <w:rFonts w:hint="eastAsia"/>
          <w:sz w:val="18"/>
          <w:szCs w:val="18"/>
        </w:rPr>
        <w:t>湖北省及下辖</w:t>
      </w:r>
      <w:r w:rsidR="00AC675F" w:rsidRPr="00AC675F">
        <w:rPr>
          <w:rFonts w:hint="eastAsia"/>
          <w:sz w:val="18"/>
          <w:szCs w:val="18"/>
        </w:rPr>
        <w:t>17</w:t>
      </w:r>
      <w:r w:rsidR="00AC675F" w:rsidRPr="00AC675F">
        <w:rPr>
          <w:rFonts w:hint="eastAsia"/>
          <w:sz w:val="18"/>
          <w:szCs w:val="18"/>
        </w:rPr>
        <w:t>个地市州药店数量及分型占比</w:t>
      </w:r>
    </w:p>
    <w:p w14:paraId="68A499BF" w14:textId="1F112934" w:rsidR="00AC675F" w:rsidRDefault="00740AD6" w:rsidP="001E015F">
      <w:pPr>
        <w:adjustRightInd w:val="0"/>
        <w:snapToGrid w:val="0"/>
        <w:spacing w:line="360" w:lineRule="auto"/>
        <w:jc w:val="center"/>
        <w:rPr>
          <w:sz w:val="18"/>
          <w:szCs w:val="18"/>
        </w:rPr>
      </w:pPr>
      <w:r w:rsidRPr="00740AD6">
        <w:rPr>
          <w:rFonts w:hint="eastAsia"/>
          <w:sz w:val="18"/>
          <w:szCs w:val="18"/>
        </w:rPr>
        <w:t>表</w:t>
      </w:r>
      <w:r w:rsidRPr="00740AD6">
        <w:rPr>
          <w:rFonts w:hint="eastAsia"/>
          <w:sz w:val="18"/>
          <w:szCs w:val="18"/>
        </w:rPr>
        <w:t xml:space="preserve">3 </w:t>
      </w:r>
      <w:r w:rsidRPr="00740AD6">
        <w:rPr>
          <w:rFonts w:hint="eastAsia"/>
          <w:sz w:val="18"/>
          <w:szCs w:val="18"/>
        </w:rPr>
        <w:t>湖北省及下辖</w:t>
      </w:r>
      <w:r w:rsidRPr="00740AD6">
        <w:rPr>
          <w:rFonts w:hint="eastAsia"/>
          <w:sz w:val="18"/>
          <w:szCs w:val="18"/>
        </w:rPr>
        <w:t>17</w:t>
      </w:r>
      <w:r w:rsidRPr="00740AD6">
        <w:rPr>
          <w:rFonts w:hint="eastAsia"/>
          <w:sz w:val="18"/>
          <w:szCs w:val="18"/>
        </w:rPr>
        <w:t>个地市州连锁药店比例</w:t>
      </w:r>
    </w:p>
    <w:p w14:paraId="118CC385" w14:textId="1F21D008" w:rsidR="00897E2E" w:rsidRPr="008732FD" w:rsidRDefault="00897E2E"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lastRenderedPageBreak/>
        <w:t>截止2015年底，全省药品批发、零售企业有16261家，其中,取得《药品经营质量管理规范》（GSP）证书和批发经营许可证的企业757家，药品零售企业15504家。</w:t>
      </w:r>
      <w:r w:rsidR="00A419F5" w:rsidRPr="008732FD">
        <w:rPr>
          <w:rFonts w:ascii="宋体" w:eastAsia="宋体" w:hAnsi="宋体" w:hint="eastAsia"/>
          <w:sz w:val="24"/>
          <w:szCs w:val="24"/>
        </w:rPr>
        <w:t>(数据来源：湖北省商务厅</w:t>
      </w:r>
      <w:r w:rsidR="00A419F5" w:rsidRPr="008732FD">
        <w:rPr>
          <w:rFonts w:ascii="宋体" w:eastAsia="宋体" w:hAnsi="宋体"/>
          <w:sz w:val="24"/>
          <w:szCs w:val="24"/>
        </w:rPr>
        <w:t>)</w:t>
      </w:r>
    </w:p>
    <w:p w14:paraId="0C0936FD" w14:textId="55784F85" w:rsidR="00E4570A" w:rsidRPr="008732FD" w:rsidRDefault="00897E2E"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全省药品流通行业销售总额达615.19亿元,同比增长14.95%。按销售品类分，药品类销售483.5亿元，占比78.6%；中成药类69.39亿元，占比11.28%；中药材类5.1亿元，占比0.83%；医疗器械类24.2亿元，占比3.93%；其他33亿元，占比5.36%。</w:t>
      </w:r>
      <w:r w:rsidR="00E4570A" w:rsidRPr="008732FD">
        <w:rPr>
          <w:rFonts w:ascii="宋体" w:eastAsia="宋体" w:hAnsi="宋体" w:hint="eastAsia"/>
          <w:sz w:val="24"/>
          <w:szCs w:val="24"/>
        </w:rPr>
        <w:t>(数据来源：湖北省商务厅</w:t>
      </w:r>
      <w:r w:rsidR="00E4570A" w:rsidRPr="008732FD">
        <w:rPr>
          <w:rFonts w:ascii="宋体" w:eastAsia="宋体" w:hAnsi="宋体"/>
          <w:sz w:val="24"/>
          <w:szCs w:val="24"/>
        </w:rPr>
        <w:t>)</w:t>
      </w:r>
    </w:p>
    <w:p w14:paraId="0AC62821" w14:textId="2A911C98" w:rsidR="0071089C" w:rsidRDefault="0071089C" w:rsidP="00B5389D">
      <w:pPr>
        <w:adjustRightInd w:val="0"/>
        <w:snapToGrid w:val="0"/>
        <w:spacing w:line="360" w:lineRule="auto"/>
        <w:rPr>
          <w:sz w:val="24"/>
          <w:szCs w:val="24"/>
        </w:rPr>
      </w:pPr>
    </w:p>
    <w:p w14:paraId="060A94D7" w14:textId="18295003" w:rsidR="00B5389D" w:rsidRDefault="00B5389D" w:rsidP="00B5389D">
      <w:pPr>
        <w:adjustRightInd w:val="0"/>
        <w:snapToGrid w:val="0"/>
        <w:spacing w:line="360" w:lineRule="auto"/>
        <w:rPr>
          <w:sz w:val="24"/>
          <w:szCs w:val="24"/>
        </w:rPr>
      </w:pPr>
    </w:p>
    <w:p w14:paraId="205E67FE" w14:textId="23B6012B" w:rsidR="00B5389D" w:rsidRDefault="00B5389D" w:rsidP="00B5389D">
      <w:pPr>
        <w:adjustRightInd w:val="0"/>
        <w:snapToGrid w:val="0"/>
        <w:spacing w:line="360" w:lineRule="auto"/>
        <w:rPr>
          <w:sz w:val="24"/>
          <w:szCs w:val="24"/>
        </w:rPr>
      </w:pPr>
    </w:p>
    <w:p w14:paraId="7AD8CBDE" w14:textId="3548B163" w:rsidR="00B5389D" w:rsidRDefault="00B5389D" w:rsidP="00B5389D">
      <w:pPr>
        <w:adjustRightInd w:val="0"/>
        <w:snapToGrid w:val="0"/>
        <w:spacing w:line="360" w:lineRule="auto"/>
        <w:rPr>
          <w:sz w:val="24"/>
          <w:szCs w:val="24"/>
        </w:rPr>
      </w:pPr>
    </w:p>
    <w:p w14:paraId="4E6FE7DC" w14:textId="68E0DEE2" w:rsidR="00B5389D" w:rsidRDefault="00B5389D" w:rsidP="00B5389D">
      <w:pPr>
        <w:adjustRightInd w:val="0"/>
        <w:snapToGrid w:val="0"/>
        <w:spacing w:line="360" w:lineRule="auto"/>
        <w:rPr>
          <w:sz w:val="24"/>
          <w:szCs w:val="24"/>
        </w:rPr>
      </w:pPr>
    </w:p>
    <w:p w14:paraId="5295C986" w14:textId="21D0F450" w:rsidR="00B5389D" w:rsidRDefault="00B5389D" w:rsidP="00B5389D">
      <w:pPr>
        <w:adjustRightInd w:val="0"/>
        <w:snapToGrid w:val="0"/>
        <w:spacing w:line="360" w:lineRule="auto"/>
        <w:rPr>
          <w:sz w:val="24"/>
          <w:szCs w:val="24"/>
        </w:rPr>
      </w:pPr>
    </w:p>
    <w:p w14:paraId="3C26359A" w14:textId="61AEBA20" w:rsidR="00B5389D" w:rsidRDefault="00B5389D" w:rsidP="00B5389D">
      <w:pPr>
        <w:adjustRightInd w:val="0"/>
        <w:snapToGrid w:val="0"/>
        <w:spacing w:line="360" w:lineRule="auto"/>
        <w:rPr>
          <w:sz w:val="24"/>
          <w:szCs w:val="24"/>
        </w:rPr>
      </w:pPr>
    </w:p>
    <w:p w14:paraId="47417E49" w14:textId="2B5877B1" w:rsidR="00B5389D" w:rsidRDefault="00B5389D" w:rsidP="00B5389D">
      <w:pPr>
        <w:adjustRightInd w:val="0"/>
        <w:snapToGrid w:val="0"/>
        <w:spacing w:line="360" w:lineRule="auto"/>
        <w:rPr>
          <w:sz w:val="24"/>
          <w:szCs w:val="24"/>
        </w:rPr>
      </w:pPr>
    </w:p>
    <w:p w14:paraId="49358AB5" w14:textId="3396BC08" w:rsidR="00B5389D" w:rsidRDefault="00B5389D" w:rsidP="00B5389D">
      <w:pPr>
        <w:adjustRightInd w:val="0"/>
        <w:snapToGrid w:val="0"/>
        <w:spacing w:line="360" w:lineRule="auto"/>
        <w:rPr>
          <w:sz w:val="24"/>
          <w:szCs w:val="24"/>
        </w:rPr>
      </w:pPr>
    </w:p>
    <w:p w14:paraId="5D9EDE01" w14:textId="71436F32" w:rsidR="00B5389D" w:rsidRDefault="00B5389D" w:rsidP="00B5389D">
      <w:pPr>
        <w:adjustRightInd w:val="0"/>
        <w:snapToGrid w:val="0"/>
        <w:spacing w:line="360" w:lineRule="auto"/>
        <w:rPr>
          <w:sz w:val="24"/>
          <w:szCs w:val="24"/>
        </w:rPr>
      </w:pPr>
    </w:p>
    <w:p w14:paraId="4C7DF2E5" w14:textId="1804FFC2" w:rsidR="00B5389D" w:rsidRDefault="00B5389D" w:rsidP="00B5389D">
      <w:pPr>
        <w:adjustRightInd w:val="0"/>
        <w:snapToGrid w:val="0"/>
        <w:spacing w:line="360" w:lineRule="auto"/>
        <w:rPr>
          <w:sz w:val="24"/>
          <w:szCs w:val="24"/>
        </w:rPr>
      </w:pPr>
    </w:p>
    <w:p w14:paraId="16056FBA" w14:textId="017D243A" w:rsidR="00B5389D" w:rsidRDefault="00B5389D" w:rsidP="00B5389D">
      <w:pPr>
        <w:adjustRightInd w:val="0"/>
        <w:snapToGrid w:val="0"/>
        <w:spacing w:line="360" w:lineRule="auto"/>
        <w:rPr>
          <w:sz w:val="24"/>
          <w:szCs w:val="24"/>
        </w:rPr>
      </w:pPr>
    </w:p>
    <w:p w14:paraId="1BE0D707" w14:textId="45699594" w:rsidR="00B5389D" w:rsidRDefault="00B5389D" w:rsidP="00B5389D">
      <w:pPr>
        <w:adjustRightInd w:val="0"/>
        <w:snapToGrid w:val="0"/>
        <w:spacing w:line="360" w:lineRule="auto"/>
        <w:rPr>
          <w:sz w:val="24"/>
          <w:szCs w:val="24"/>
        </w:rPr>
      </w:pPr>
    </w:p>
    <w:p w14:paraId="7E9C1B30" w14:textId="45CC0B21" w:rsidR="00694376" w:rsidRDefault="00694376" w:rsidP="00B5389D">
      <w:pPr>
        <w:adjustRightInd w:val="0"/>
        <w:snapToGrid w:val="0"/>
        <w:spacing w:line="360" w:lineRule="auto"/>
        <w:rPr>
          <w:sz w:val="24"/>
          <w:szCs w:val="24"/>
        </w:rPr>
      </w:pPr>
    </w:p>
    <w:p w14:paraId="3FD3D338" w14:textId="3C5AEA34" w:rsidR="00694376" w:rsidRDefault="00694376" w:rsidP="00B5389D">
      <w:pPr>
        <w:adjustRightInd w:val="0"/>
        <w:snapToGrid w:val="0"/>
        <w:spacing w:line="360" w:lineRule="auto"/>
        <w:rPr>
          <w:sz w:val="24"/>
          <w:szCs w:val="24"/>
        </w:rPr>
      </w:pPr>
    </w:p>
    <w:p w14:paraId="06D7A516" w14:textId="19E4E874" w:rsidR="00694376" w:rsidRDefault="00694376" w:rsidP="00B5389D">
      <w:pPr>
        <w:adjustRightInd w:val="0"/>
        <w:snapToGrid w:val="0"/>
        <w:spacing w:line="360" w:lineRule="auto"/>
        <w:rPr>
          <w:sz w:val="24"/>
          <w:szCs w:val="24"/>
        </w:rPr>
      </w:pPr>
    </w:p>
    <w:p w14:paraId="7DB66B1A" w14:textId="5A37B0CA" w:rsidR="00694376" w:rsidRDefault="00694376" w:rsidP="00B5389D">
      <w:pPr>
        <w:adjustRightInd w:val="0"/>
        <w:snapToGrid w:val="0"/>
        <w:spacing w:line="360" w:lineRule="auto"/>
        <w:rPr>
          <w:sz w:val="24"/>
          <w:szCs w:val="24"/>
        </w:rPr>
      </w:pPr>
    </w:p>
    <w:p w14:paraId="25862866" w14:textId="26C8A3ED" w:rsidR="00694376" w:rsidRDefault="00694376" w:rsidP="00B5389D">
      <w:pPr>
        <w:adjustRightInd w:val="0"/>
        <w:snapToGrid w:val="0"/>
        <w:spacing w:line="360" w:lineRule="auto"/>
        <w:rPr>
          <w:sz w:val="24"/>
          <w:szCs w:val="24"/>
        </w:rPr>
      </w:pPr>
    </w:p>
    <w:p w14:paraId="7A4590E3" w14:textId="59D453D7" w:rsidR="00694376" w:rsidRDefault="00694376" w:rsidP="00B5389D">
      <w:pPr>
        <w:adjustRightInd w:val="0"/>
        <w:snapToGrid w:val="0"/>
        <w:spacing w:line="360" w:lineRule="auto"/>
        <w:rPr>
          <w:sz w:val="24"/>
          <w:szCs w:val="24"/>
        </w:rPr>
      </w:pPr>
    </w:p>
    <w:p w14:paraId="41A15737" w14:textId="659BB956" w:rsidR="00694376" w:rsidRDefault="00694376" w:rsidP="00B5389D">
      <w:pPr>
        <w:adjustRightInd w:val="0"/>
        <w:snapToGrid w:val="0"/>
        <w:spacing w:line="360" w:lineRule="auto"/>
        <w:rPr>
          <w:sz w:val="24"/>
          <w:szCs w:val="24"/>
        </w:rPr>
      </w:pPr>
    </w:p>
    <w:p w14:paraId="222208B6" w14:textId="0EB4FA3F" w:rsidR="00694376" w:rsidRDefault="00694376" w:rsidP="00B5389D">
      <w:pPr>
        <w:adjustRightInd w:val="0"/>
        <w:snapToGrid w:val="0"/>
        <w:spacing w:line="360" w:lineRule="auto"/>
        <w:rPr>
          <w:sz w:val="24"/>
          <w:szCs w:val="24"/>
        </w:rPr>
      </w:pPr>
    </w:p>
    <w:p w14:paraId="4FF10B57" w14:textId="77777777" w:rsidR="00694376" w:rsidRPr="00897E2E" w:rsidRDefault="00694376" w:rsidP="00B5389D">
      <w:pPr>
        <w:adjustRightInd w:val="0"/>
        <w:snapToGrid w:val="0"/>
        <w:spacing w:line="360" w:lineRule="auto"/>
        <w:rPr>
          <w:sz w:val="24"/>
          <w:szCs w:val="24"/>
        </w:rPr>
      </w:pPr>
    </w:p>
    <w:p w14:paraId="17EC99F0" w14:textId="55E2F4C8" w:rsidR="00C63DDE" w:rsidRPr="00392592" w:rsidRDefault="00C85A88"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lastRenderedPageBreak/>
        <w:t>医疗</w:t>
      </w:r>
      <w:r w:rsidR="005A1FE3" w:rsidRPr="00392592">
        <w:rPr>
          <w:rFonts w:ascii="黑体" w:eastAsia="黑体" w:hAnsi="黑体" w:hint="eastAsia"/>
          <w:sz w:val="36"/>
          <w:szCs w:val="36"/>
        </w:rPr>
        <w:t>卫生</w:t>
      </w:r>
      <w:r w:rsidRPr="00392592">
        <w:rPr>
          <w:rFonts w:ascii="黑体" w:eastAsia="黑体" w:hAnsi="黑体" w:hint="eastAsia"/>
          <w:sz w:val="36"/>
          <w:szCs w:val="36"/>
        </w:rPr>
        <w:t>资源</w:t>
      </w:r>
      <w:r w:rsidR="000D748D" w:rsidRPr="00392592">
        <w:rPr>
          <w:rFonts w:ascii="黑体" w:eastAsia="黑体" w:hAnsi="黑体" w:hint="eastAsia"/>
          <w:sz w:val="36"/>
          <w:szCs w:val="36"/>
        </w:rPr>
        <w:t>规划</w:t>
      </w:r>
    </w:p>
    <w:p w14:paraId="15D224CB" w14:textId="5D0AEFAB" w:rsidR="006F53D2" w:rsidRDefault="00D72E77" w:rsidP="00CD516D">
      <w:pPr>
        <w:adjustRightInd w:val="0"/>
        <w:snapToGrid w:val="0"/>
        <w:spacing w:line="360" w:lineRule="auto"/>
        <w:ind w:firstLineChars="200" w:firstLine="472"/>
        <w:rPr>
          <w:sz w:val="24"/>
          <w:szCs w:val="24"/>
        </w:rPr>
      </w:pPr>
      <w:r w:rsidRPr="008732FD">
        <w:rPr>
          <w:rFonts w:ascii="宋体" w:eastAsia="宋体" w:hAnsi="宋体"/>
          <w:noProof/>
          <w:sz w:val="24"/>
          <w:szCs w:val="24"/>
        </w:rPr>
        <w:drawing>
          <wp:anchor distT="0" distB="0" distL="114300" distR="114300" simplePos="0" relativeHeight="251659264" behindDoc="0" locked="0" layoutInCell="1" allowOverlap="1" wp14:anchorId="4C990358" wp14:editId="2DA3AA25">
            <wp:simplePos x="0" y="0"/>
            <wp:positionH relativeFrom="margin">
              <wp:posOffset>981075</wp:posOffset>
            </wp:positionH>
            <wp:positionV relativeFrom="paragraph">
              <wp:posOffset>3893820</wp:posOffset>
            </wp:positionV>
            <wp:extent cx="3542030" cy="2628900"/>
            <wp:effectExtent l="0" t="0" r="1270" b="0"/>
            <wp:wrapTopAndBottom/>
            <wp:docPr id="4" name="图片 4" descr="http://gkml.hubei.gov.cn/auto5472/auto5473/201512/W020151217605835893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kml.hubei.gov.cn/auto5472/auto5473/201512/W0201512176058358932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203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421" w:rsidRPr="008732FD">
        <w:rPr>
          <w:rFonts w:ascii="宋体" w:eastAsia="宋体" w:hAnsi="宋体"/>
          <w:noProof/>
          <w:sz w:val="24"/>
          <w:szCs w:val="24"/>
        </w:rPr>
        <w:drawing>
          <wp:anchor distT="0" distB="0" distL="114300" distR="114300" simplePos="0" relativeHeight="251658240" behindDoc="0" locked="0" layoutInCell="1" allowOverlap="1" wp14:anchorId="4D044EE7" wp14:editId="304DAB3F">
            <wp:simplePos x="0" y="0"/>
            <wp:positionH relativeFrom="page">
              <wp:align>center</wp:align>
            </wp:positionH>
            <wp:positionV relativeFrom="paragraph">
              <wp:posOffset>1169035</wp:posOffset>
            </wp:positionV>
            <wp:extent cx="3542030" cy="2667000"/>
            <wp:effectExtent l="0" t="0" r="1270" b="0"/>
            <wp:wrapTopAndBottom/>
            <wp:docPr id="2" name="图片 2" descr="http://gkml.hubei.gov.cn/auto5472/auto5473/201512/W020151217605441060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kml.hubei.gov.cn/auto5472/auto5473/201512/W02015121760544106099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203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3C8F" w:rsidRPr="008732FD">
        <w:rPr>
          <w:rFonts w:ascii="宋体" w:eastAsia="宋体" w:hAnsi="宋体" w:hint="eastAsia"/>
          <w:sz w:val="24"/>
          <w:szCs w:val="24"/>
        </w:rPr>
        <w:t>保持医疗卫生资源总量适度发展，优化医疗卫生资源配置布局和结构，构建与全</w:t>
      </w:r>
      <w:r w:rsidR="00433C8F" w:rsidRPr="00433C8F">
        <w:rPr>
          <w:rFonts w:hint="eastAsia"/>
          <w:sz w:val="24"/>
          <w:szCs w:val="24"/>
        </w:rPr>
        <w:t>省</w:t>
      </w:r>
      <w:r w:rsidR="00433C8F" w:rsidRPr="008732FD">
        <w:rPr>
          <w:rFonts w:ascii="宋体" w:eastAsia="宋体" w:hAnsi="宋体" w:hint="eastAsia"/>
          <w:sz w:val="24"/>
          <w:szCs w:val="24"/>
        </w:rPr>
        <w:t>经济社会发展水平和居民健康需求相适应、体系完整、分工明确、功能互补、密切协作的医疗卫生服务体系，满足人民群众多层次、多样化的健康需求，为实现2020年基本建立覆盖城乡居民的基本医疗卫生制度奠定坚实的基础。</w:t>
      </w:r>
    </w:p>
    <w:p w14:paraId="13EB2F44" w14:textId="0B945E6F" w:rsidR="006F53D2" w:rsidRDefault="006F53D2" w:rsidP="001E015F">
      <w:pPr>
        <w:widowControl/>
        <w:spacing w:line="360" w:lineRule="auto"/>
        <w:jc w:val="left"/>
        <w:rPr>
          <w:sz w:val="24"/>
          <w:szCs w:val="24"/>
        </w:rPr>
      </w:pPr>
      <w:r>
        <w:rPr>
          <w:sz w:val="24"/>
          <w:szCs w:val="24"/>
        </w:rPr>
        <w:br w:type="page"/>
      </w:r>
    </w:p>
    <w:p w14:paraId="4A5AF9BF" w14:textId="260EA99D" w:rsidR="00E57D61" w:rsidRPr="00392592" w:rsidRDefault="001E3CF5" w:rsidP="001E015F">
      <w:pPr>
        <w:pStyle w:val="1"/>
        <w:keepNext w:val="0"/>
        <w:keepLines w:val="0"/>
        <w:numPr>
          <w:ilvl w:val="0"/>
          <w:numId w:val="5"/>
        </w:numPr>
        <w:adjustRightInd w:val="0"/>
        <w:snapToGrid w:val="0"/>
        <w:spacing w:before="0" w:after="0" w:line="360" w:lineRule="auto"/>
        <w:ind w:left="0" w:firstLine="0"/>
        <w:rPr>
          <w:rFonts w:ascii="黑体" w:eastAsia="黑体" w:hAnsi="黑体"/>
        </w:rPr>
      </w:pPr>
      <w:r w:rsidRPr="00392592">
        <w:rPr>
          <w:rFonts w:ascii="黑体" w:eastAsia="黑体" w:hAnsi="黑体" w:hint="eastAsia"/>
        </w:rPr>
        <w:lastRenderedPageBreak/>
        <w:t>武汉市</w:t>
      </w:r>
    </w:p>
    <w:p w14:paraId="5E76C9F1" w14:textId="2834FC53" w:rsidR="00E76813" w:rsidRPr="008732FD" w:rsidRDefault="00B16747"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数据来源《</w:t>
      </w:r>
      <w:r w:rsidR="00543BF5" w:rsidRPr="008732FD">
        <w:rPr>
          <w:rFonts w:ascii="宋体" w:eastAsia="宋体" w:hAnsi="宋体" w:hint="eastAsia"/>
          <w:sz w:val="24"/>
          <w:szCs w:val="24"/>
        </w:rPr>
        <w:t>市卫生计生委 市发改委 市财政局关于印发武汉市医疗机构设置规划2016-2020年的通知</w:t>
      </w:r>
      <w:r w:rsidRPr="008732FD">
        <w:rPr>
          <w:rFonts w:ascii="宋体" w:eastAsia="宋体" w:hAnsi="宋体" w:hint="eastAsia"/>
          <w:sz w:val="24"/>
          <w:szCs w:val="24"/>
        </w:rPr>
        <w:t>》</w:t>
      </w:r>
      <w:r w:rsidR="005B4D5E" w:rsidRPr="008732FD">
        <w:rPr>
          <w:rFonts w:ascii="宋体" w:eastAsia="宋体" w:hAnsi="宋体" w:hint="eastAsia"/>
          <w:sz w:val="24"/>
          <w:szCs w:val="24"/>
        </w:rPr>
        <w:t>武卫生计生〔2016〕72 号</w:t>
      </w:r>
    </w:p>
    <w:p w14:paraId="58160A3D" w14:textId="77777777" w:rsidR="006F344E" w:rsidRPr="00392592" w:rsidRDefault="006F344E"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医疗卫生资源</w:t>
      </w:r>
    </w:p>
    <w:p w14:paraId="6093AC70" w14:textId="4EAC1C81" w:rsidR="006F344E" w:rsidRPr="00392592" w:rsidRDefault="00B160B2" w:rsidP="001E015F">
      <w:pPr>
        <w:pStyle w:val="3"/>
        <w:keepNext w:val="0"/>
        <w:keepLines w:val="0"/>
        <w:numPr>
          <w:ilvl w:val="2"/>
          <w:numId w:val="5"/>
        </w:numPr>
        <w:adjustRightInd w:val="0"/>
        <w:snapToGrid w:val="0"/>
        <w:spacing w:before="0" w:after="0" w:line="360" w:lineRule="auto"/>
        <w:ind w:left="0" w:firstLine="0"/>
        <w:rPr>
          <w:rFonts w:ascii="黑体" w:eastAsia="黑体" w:hAnsi="黑体"/>
        </w:rPr>
      </w:pPr>
      <w:r>
        <w:rPr>
          <w:rFonts w:ascii="黑体" w:eastAsia="黑体" w:hAnsi="黑体" w:hint="eastAsia"/>
        </w:rPr>
        <w:t xml:space="preserve"> </w:t>
      </w:r>
      <w:r w:rsidR="006F344E" w:rsidRPr="00392592">
        <w:rPr>
          <w:rFonts w:ascii="黑体" w:eastAsia="黑体" w:hAnsi="黑体" w:hint="eastAsia"/>
        </w:rPr>
        <w:t>现状</w:t>
      </w:r>
    </w:p>
    <w:p w14:paraId="18212F97" w14:textId="5284B605" w:rsidR="009F6421" w:rsidRPr="008732FD" w:rsidRDefault="009F6421"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医疗机构</w:t>
      </w:r>
    </w:p>
    <w:p w14:paraId="7A925A17" w14:textId="7749E644" w:rsidR="009F6421" w:rsidRPr="008732FD" w:rsidRDefault="009F6421"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经过长期发展，全市已经建立了由医院、基层医疗卫生机构、专业公共卫生机构等组成的覆盖城乡的医疗服务体系。截至2015年末，全市常住人口1060.77 万人，户籍人口829.27 万人。共有医疗机构5341 家，其中：医院285 家，按医院性质分，综合医院161 家，中医及中西医结合医院55 家，专科医院69 家；按医院级别分，三级医院46 家，二级医院49 家，一级及以下医院190 家；按举办性质分，公立医院113 家，社会办医院172 家。全市基层医疗卫生机构2222 家，其中：社区卫生服务中心133家，社区卫生服务站317 家，乡镇卫生院69 家，村卫生室1703家；全市妇幼保健机构18 家；全市门诊部、诊所等其他类医疗机构2816 家。与2010 年末相比，全市医疗机构数增加了823 家。</w:t>
      </w:r>
    </w:p>
    <w:p w14:paraId="5B971B6A" w14:textId="0B050ADC" w:rsidR="009F6421" w:rsidRPr="008732FD" w:rsidRDefault="009F6421"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医疗机构床位数</w:t>
      </w:r>
    </w:p>
    <w:p w14:paraId="7AA56A2A" w14:textId="2CBE8B0E" w:rsidR="009F6421" w:rsidRPr="008732FD" w:rsidRDefault="009F6421"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2015 年末，全市医疗机构开放床位80726 张，其中：公立医院床位5.84 万张，社会办医院1.19 万张，基层医疗卫生机构床位1.05 万张，中医及中西医结合医院床位1.08 万张。按照常住人口计算，每千人口拥有床位为7.61 张，其中公立医院床位为5.50 张/千人，社会办医院为1.12 张/千人，基层医疗机构为0.99 张/千人，中医及中西医结合医院床位为1.02 张/千人。与2010 年末相比，全市医疗机构床位数增加了2.95 万张。床位总数和每千人床位数在全国19 个副省级以上城市中分别排第六位和第三位。</w:t>
      </w:r>
    </w:p>
    <w:p w14:paraId="36E6D21B" w14:textId="4239C796" w:rsidR="009F6421" w:rsidRPr="008732FD" w:rsidRDefault="009F6421"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卫生技术人员</w:t>
      </w:r>
    </w:p>
    <w:p w14:paraId="64B91809" w14:textId="38F76B13" w:rsidR="009F6421" w:rsidRPr="008732FD" w:rsidRDefault="009F6421"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2015 年末，全市卫生技术人员总数94653 人，执业（助理）医师32888 人，注册</w:t>
      </w:r>
      <w:r w:rsidRPr="008732FD">
        <w:rPr>
          <w:rFonts w:ascii="宋体" w:eastAsia="宋体" w:hAnsi="宋体" w:hint="eastAsia"/>
          <w:sz w:val="24"/>
          <w:szCs w:val="24"/>
        </w:rPr>
        <w:lastRenderedPageBreak/>
        <w:t>护士45204 人，按常住人口计算，执业（助理）医师3.10 人/千人，注册护士4.26 人/千人。每千人执业（助理）医师数、每千人注册护士数分别在全国19 个副省级及以上城市中排名第九和第六。</w:t>
      </w:r>
    </w:p>
    <w:p w14:paraId="1C4B1C35" w14:textId="188677C2" w:rsidR="006F344E" w:rsidRPr="00392592" w:rsidRDefault="00CD516D" w:rsidP="001E015F">
      <w:pPr>
        <w:pStyle w:val="3"/>
        <w:keepNext w:val="0"/>
        <w:keepLines w:val="0"/>
        <w:numPr>
          <w:ilvl w:val="2"/>
          <w:numId w:val="5"/>
        </w:numPr>
        <w:adjustRightInd w:val="0"/>
        <w:snapToGrid w:val="0"/>
        <w:spacing w:before="0" w:after="0" w:line="360" w:lineRule="auto"/>
        <w:ind w:left="0" w:firstLine="0"/>
        <w:rPr>
          <w:rFonts w:ascii="黑体" w:eastAsia="黑体" w:hAnsi="黑体"/>
        </w:rPr>
      </w:pPr>
      <w:r>
        <w:rPr>
          <w:rFonts w:ascii="黑体" w:eastAsia="黑体" w:hAnsi="黑体" w:hint="eastAsia"/>
        </w:rPr>
        <w:t xml:space="preserve"> </w:t>
      </w:r>
      <w:r w:rsidR="006F344E" w:rsidRPr="00392592">
        <w:rPr>
          <w:rFonts w:ascii="黑体" w:eastAsia="黑体" w:hAnsi="黑体" w:hint="eastAsia"/>
        </w:rPr>
        <w:t>利用状况</w:t>
      </w:r>
    </w:p>
    <w:p w14:paraId="00CD4527" w14:textId="6623FFAB" w:rsidR="008005F1" w:rsidRPr="008732FD" w:rsidRDefault="008005F1"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2015 年，全市医疗机构提供门急诊服务7336.10 万人次，其中：公立医院占比57.57%，社会办医院占5.32%，基层医疗卫生机构占比37.11％。全市出院人数245.89 万人次，其中：公立医院占比80.01%，社会办医院占比11.41%，基层医疗卫生机构占比8.58％。住院病人手术70.59 万人次，其中：公立医院占比84.72%，社会办医院占比15.28%。全市病床使用率90.09%，其中：医院病床使用率为95.76％，基层医疗卫生机构病床使用率为54.04％。出院患者平均住院日9.8 天，其中：医院10.1天，基层医疗卫生机构8.1 天。外地病人出院人数占全市医疗机构出院人数的26.2％，主要集聚在三级医院。部分知名度高、专科优势明显的三级甲等医院外地病人出院人数占总出院人数的50%以上。</w:t>
      </w:r>
    </w:p>
    <w:p w14:paraId="65EFE002" w14:textId="6FD6F2D6" w:rsidR="00754D1C" w:rsidRPr="008732FD" w:rsidRDefault="008005F1"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2015 年，全市出动院前急救车辆11.5 万台次，实施院前急救9.7 万人次。无偿献血191358 人次，采集血液305053 单位，向临床供应血液396022 单位。</w:t>
      </w:r>
    </w:p>
    <w:p w14:paraId="0885D6BA" w14:textId="76720F85" w:rsidR="006F344E" w:rsidRPr="00392592" w:rsidRDefault="006F344E"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民健康状况</w:t>
      </w:r>
    </w:p>
    <w:p w14:paraId="09912EC1" w14:textId="35548A4B" w:rsidR="00955F30" w:rsidRPr="008732FD" w:rsidRDefault="00A862A2"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2015 年，全市人均期望寿命80.55 岁，孕产妇死亡率11.44/10 万，婴儿死亡率2.63‰，5 岁以下儿童死亡率3.22‰，各项指标均位居全国前列。</w:t>
      </w:r>
    </w:p>
    <w:p w14:paraId="1D29CD34" w14:textId="7540F487" w:rsidR="00C63DDE" w:rsidRPr="00392592" w:rsidRDefault="006F344E"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医疗卫生资源规划</w:t>
      </w:r>
    </w:p>
    <w:p w14:paraId="504D7B2B" w14:textId="67144B15" w:rsidR="00CA591F" w:rsidRPr="008732FD" w:rsidRDefault="00CA591F"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区域医疗中心</w:t>
      </w:r>
    </w:p>
    <w:p w14:paraId="478241E2" w14:textId="39A2E30A" w:rsidR="00CA591F" w:rsidRPr="008732FD" w:rsidRDefault="00CA591F"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以汉口、汉阳、武昌三镇地理分布为界，每个区域设置1-2家市级区域医疗中心。市级区域医疗中心可挂靠相关综合性或专科性医疗机构，按照1600 张床位标准配备，负责向周边地区提供急危病症、疑难病症诊疗和专科医疗服务，带动全市医疗卫生事业发展。</w:t>
      </w:r>
    </w:p>
    <w:p w14:paraId="214DC68C" w14:textId="77777777" w:rsidR="00CA591F" w:rsidRPr="008732FD" w:rsidRDefault="00CA591F"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在光谷、蔡甸、黄陂等区域规划建设光谷国际医疗城、后官湖国际健康城和盘龙城</w:t>
      </w:r>
      <w:r w:rsidRPr="008732FD">
        <w:rPr>
          <w:rFonts w:ascii="宋体" w:eastAsia="宋体" w:hAnsi="宋体" w:hint="eastAsia"/>
          <w:sz w:val="24"/>
          <w:szCs w:val="24"/>
        </w:rPr>
        <w:lastRenderedPageBreak/>
        <w:t>国际疗养城，设置若干高技术、高水平、大规模、国际化的高端综合或专科医疗服务机构，形成三大功能集聚区。</w:t>
      </w:r>
    </w:p>
    <w:p w14:paraId="2036ADCD" w14:textId="65FAFF09"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综合医院</w:t>
      </w:r>
    </w:p>
    <w:p w14:paraId="628FE08D" w14:textId="7AA7306D"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按照“总量控制、结构调整、规模适度”的原则，优化调整全市综合医院的数量和规模。原则上全市不再增设政府举办的综合性医院。有条件的中心城区区办综合医院可转型为专科医院或其他医疗机构，有序引导和规范包括国有企业举办的医院在内的部分公立医院重组改制。新城区政府举办的综合医院按每区1-2家标准设置。黄陂、新洲、东西湖区人民医院建成三级甲等综合医院，江夏、蔡甸区人民医院建成三级乙等综合医院。武汉经济技术开发区（汉南区）人民医院建成二级甲等综合医院。</w:t>
      </w:r>
    </w:p>
    <w:p w14:paraId="3E6CD312" w14:textId="59E429B4"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支持社会资本举办综合医院，优先支持其在南湖、常青、后湖、徐东、四新、青菱、杨春湖等人口较密集、医疗资源较薄弱的地区举办非营利性综合医院。</w:t>
      </w:r>
    </w:p>
    <w:p w14:paraId="6FEA31F4" w14:textId="311FE84C"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中医和中西医结合医院</w:t>
      </w:r>
    </w:p>
    <w:p w14:paraId="1528B073" w14:textId="77777777" w:rsidR="00695FA8"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市办中医类医院按照按1 家市级中医医院和1 家市级中西医结合医院设置；区办中医类医院按照每区1 家区级中医医院设置，黄陂、新洲、江夏、蔡甸区中医医院建成三级中医医院，武汉经济技术开发区（汉南区）、东西湖区建成二级中医医院。</w:t>
      </w:r>
    </w:p>
    <w:p w14:paraId="33979E6D" w14:textId="0BA35CB8"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支持社会资本举办中医医院，着重支持社会力量举办非营利性中医专科医院。支持社会力量举办传统中医机构，实现养生保健集团化发展或连锁化经营。鼓励社会资本新建以中医药健康养老为主的护理院、疗养院、探索设立中医药特色医养结合机构。</w:t>
      </w:r>
    </w:p>
    <w:p w14:paraId="34D744B5" w14:textId="3FA0B461"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专科医院</w:t>
      </w:r>
    </w:p>
    <w:p w14:paraId="289287CD" w14:textId="5505E8B1"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加强区域规划布局和医疗资源信息公开，根据现有的专科分布情况，结合实际需求，合理规划设置专科医疗机构。鼓励有条件、综合实力强的大型公立医院举办独立的特色专科医院，引领本地区高端专科医疗服务，打造武汉地区专科医院特色品牌。</w:t>
      </w:r>
    </w:p>
    <w:p w14:paraId="2B4886CA" w14:textId="0A6AF223"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鼓励社会资本举办具备一定规模、高水平的专科医院，鼓励社会资本投资兴办老年、康复、精神、儿科等临床急需和特点明显的专科医院。</w:t>
      </w:r>
    </w:p>
    <w:p w14:paraId="4CAB2EB0" w14:textId="69870A4A"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社区卫生服务机构</w:t>
      </w:r>
    </w:p>
    <w:p w14:paraId="6A91B03C" w14:textId="1E87A90D"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中心城区社区卫生服务中心按照每个街道至少设置一个的原则或每10 万人设置一个的标准进行安排，超过10 万人可设置2 个或以上社区卫生服务中心，社区卫生</w:t>
      </w:r>
      <w:r w:rsidRPr="008732FD">
        <w:rPr>
          <w:rFonts w:ascii="宋体" w:eastAsia="宋体" w:hAnsi="宋体" w:hint="eastAsia"/>
          <w:sz w:val="24"/>
          <w:szCs w:val="24"/>
        </w:rPr>
        <w:lastRenderedPageBreak/>
        <w:t>服务站根据需求合理设置。新建居住区和社区要按照相关规定保障基本医疗卫生设施配套，规划设置社区卫生服务机构。</w:t>
      </w:r>
    </w:p>
    <w:p w14:paraId="7222CAEE" w14:textId="0921F87D"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乡镇卫生院和村卫生室</w:t>
      </w:r>
    </w:p>
    <w:p w14:paraId="44AA8319" w14:textId="2FDB40B5"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新城区每个街道（乡镇）原则上设置1 所政府举办的卫生院，选择具备条件的1/3 的街道（乡镇）设置中心卫生院。中心卫生院负责协助区级医疗卫生机构开展对区域范围内一般卫生院的技术指导等工作。积极支持并科学规划村卫生室建设，按照每个行政村设置1 所村卫生室，在村型较大，人口较多或分散居住的行政村酌情增设，对人口较少或交通便利的村联合设置村卫生室，乡镇卫生院所在地的行政村原则上不设立村卫生室。</w:t>
      </w:r>
    </w:p>
    <w:p w14:paraId="5C74298D" w14:textId="66AECFC6"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妇幼保健机构</w:t>
      </w:r>
    </w:p>
    <w:p w14:paraId="6F6AED65" w14:textId="77777777"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全市妇幼保健机构保持现有数量，不再新增。</w:t>
      </w:r>
    </w:p>
    <w:p w14:paraId="74224076" w14:textId="6C3403C8"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门诊部和诊所</w:t>
      </w:r>
    </w:p>
    <w:p w14:paraId="6F7671C3" w14:textId="77777777" w:rsidR="00695FA8"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原则上不新设置产科、性病科门诊部，其他综合门诊部及专科门诊部在符合区域内规划总量和结构的前提下，不受具体数量和地点的限制。</w:t>
      </w:r>
    </w:p>
    <w:p w14:paraId="48609266" w14:textId="03C31E84"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个体诊所的设置在符合区域内规划总量和结构的前提下，取消数量和地点的限制。</w:t>
      </w:r>
    </w:p>
    <w:p w14:paraId="086BF16B" w14:textId="7EBD6E67"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支持有资质的中医专业技术人员特别是名老中医开办中医门诊部、诊所；鼓励具有中高级职称的执业医师举办私人诊所；鼓励药品经营企业举办中医坐堂医诊所。</w:t>
      </w:r>
    </w:p>
    <w:p w14:paraId="301955F0" w14:textId="720C03A6"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采供血医疗机构</w:t>
      </w:r>
    </w:p>
    <w:p w14:paraId="1AA9555A" w14:textId="4B5FA930"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在江南设置一家市级血液中心，在汉口和汉阳各设置一家市级血液分中心，在汉口片区设置1 个供血点，在武昌片区设置2个供血点，在光谷片区设置1 个供血点，至少设置12 个地铁献血屋和80 个流动献血点，年供血量达到75 吨以上。</w:t>
      </w:r>
    </w:p>
    <w:p w14:paraId="6D3C20AE" w14:textId="47C3A796"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院前急救医疗机构</w:t>
      </w:r>
    </w:p>
    <w:p w14:paraId="640C16C1" w14:textId="15318D75"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健全完善全市急救网络服务体系。设置一家市级急救中心，江夏、黄陂、蔡甸、新洲、东西湖、武汉经济技术开发区（汉南区）等区各设置一家区级急救中心。中心城区新设置3-5 个市直属急救站点和10-15 个网络医院急救站点；新城区每家中心卫生院设立1 个急救站点，其他卫生院根据实际需求设立急救站点，积极鼓励具备条件的社会办医疗机构申办网络医院急救站点。到2020 年，全市急救站点达到80 个以上。健</w:t>
      </w:r>
      <w:r w:rsidRPr="008732FD">
        <w:rPr>
          <w:rFonts w:ascii="宋体" w:eastAsia="宋体" w:hAnsi="宋体" w:hint="eastAsia"/>
          <w:sz w:val="24"/>
          <w:szCs w:val="24"/>
        </w:rPr>
        <w:lastRenderedPageBreak/>
        <w:t>全完善水陆空立体急救网络，充分利用社会资源开展空中医疗急救，在长江、汉水的公安码头上设立水上急救站点，探索建立水陆空急救联动机制。</w:t>
      </w:r>
    </w:p>
    <w:p w14:paraId="3ED1C5FA" w14:textId="2146A4C3"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医学检验机构和血液净化机构</w:t>
      </w:r>
    </w:p>
    <w:p w14:paraId="7679AF3E" w14:textId="3ADD74CA"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引导社会力量在全市开设区域医学检验机构、血液净化机构等独立设置的机构，在确保医疗安全和满足医疗核心功能的前提下，实施规划总量和结构化管理。原则上医学检验机构每区可再规划新设置1-3 家，东湖高新区可设置4-5 家；血液净化机构每区可规划设置1-2 家。</w:t>
      </w:r>
    </w:p>
    <w:p w14:paraId="3544C959" w14:textId="06B0A638"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戒毒医疗机构</w:t>
      </w:r>
    </w:p>
    <w:p w14:paraId="65915385" w14:textId="5CD63D14" w:rsidR="00AE53EB"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全市戒毒医院保持现有13 家，不再新增；美沙酮门诊原则上保持现有的16 家，不再新增。</w:t>
      </w:r>
    </w:p>
    <w:p w14:paraId="133E12F9" w14:textId="2A319B62" w:rsidR="00AE53EB" w:rsidRPr="008732FD" w:rsidRDefault="00AE53EB"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其他医疗机构</w:t>
      </w:r>
    </w:p>
    <w:p w14:paraId="57F1CC23" w14:textId="0DEAD1C2" w:rsidR="00CA037C" w:rsidRPr="008732FD" w:rsidRDefault="00AE53E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探索设立区域性病理诊断机构、医学影像检查机构和消毒供应机构等独立设置的机构，加强信息化建设，整合区域内现有医疗资源，逐步实现区域内医疗资源共享。对于本《规划》中未涉及的其他医疗机构的设置，原则上应符合国家、省级卫生计生行政部门制定的基本标准，根据审批权限和实际情况具体研究，按医疗机构设置审批程序进行审批。</w:t>
      </w:r>
    </w:p>
    <w:p w14:paraId="047DAF0F" w14:textId="64B19309" w:rsidR="00ED2473" w:rsidRDefault="00ED2473" w:rsidP="001E015F">
      <w:pPr>
        <w:widowControl/>
        <w:spacing w:line="360" w:lineRule="auto"/>
        <w:jc w:val="left"/>
        <w:rPr>
          <w:sz w:val="24"/>
          <w:szCs w:val="24"/>
        </w:rPr>
      </w:pPr>
      <w:r>
        <w:rPr>
          <w:sz w:val="24"/>
          <w:szCs w:val="24"/>
        </w:rPr>
        <w:br w:type="page"/>
      </w:r>
    </w:p>
    <w:p w14:paraId="5A62D17A" w14:textId="5A8AA3F8" w:rsidR="00E76813" w:rsidRPr="00392592" w:rsidRDefault="009936D6" w:rsidP="001E015F">
      <w:pPr>
        <w:pStyle w:val="1"/>
        <w:keepNext w:val="0"/>
        <w:keepLines w:val="0"/>
        <w:numPr>
          <w:ilvl w:val="0"/>
          <w:numId w:val="5"/>
        </w:numPr>
        <w:adjustRightInd w:val="0"/>
        <w:snapToGrid w:val="0"/>
        <w:spacing w:before="0" w:after="0" w:line="360" w:lineRule="auto"/>
        <w:ind w:left="0" w:firstLine="0"/>
        <w:rPr>
          <w:rFonts w:ascii="黑体" w:eastAsia="黑体" w:hAnsi="黑体"/>
        </w:rPr>
      </w:pPr>
      <w:r w:rsidRPr="00392592">
        <w:rPr>
          <w:rFonts w:ascii="黑体" w:eastAsia="黑体" w:hAnsi="黑体" w:hint="eastAsia"/>
        </w:rPr>
        <w:lastRenderedPageBreak/>
        <w:t>黄石市</w:t>
      </w:r>
    </w:p>
    <w:p w14:paraId="1996797F" w14:textId="72314689" w:rsidR="00B5448A" w:rsidRPr="00392592" w:rsidRDefault="00B5448A"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医疗卫生资源</w:t>
      </w:r>
    </w:p>
    <w:p w14:paraId="3CBFC42B" w14:textId="3BCE71C8" w:rsidR="00B5448A" w:rsidRPr="00392592" w:rsidRDefault="00B160B2" w:rsidP="001E015F">
      <w:pPr>
        <w:pStyle w:val="3"/>
        <w:keepNext w:val="0"/>
        <w:keepLines w:val="0"/>
        <w:numPr>
          <w:ilvl w:val="2"/>
          <w:numId w:val="5"/>
        </w:numPr>
        <w:adjustRightInd w:val="0"/>
        <w:snapToGrid w:val="0"/>
        <w:spacing w:before="0" w:after="0" w:line="360" w:lineRule="auto"/>
        <w:ind w:left="0" w:firstLine="0"/>
        <w:rPr>
          <w:rFonts w:ascii="黑体" w:eastAsia="黑体" w:hAnsi="黑体"/>
        </w:rPr>
      </w:pPr>
      <w:r>
        <w:rPr>
          <w:rFonts w:ascii="黑体" w:eastAsia="黑体" w:hAnsi="黑体" w:hint="eastAsia"/>
        </w:rPr>
        <w:t xml:space="preserve"> </w:t>
      </w:r>
      <w:r w:rsidR="00B5448A" w:rsidRPr="00392592">
        <w:rPr>
          <w:rFonts w:ascii="黑体" w:eastAsia="黑体" w:hAnsi="黑体" w:hint="eastAsia"/>
        </w:rPr>
        <w:t>现状</w:t>
      </w:r>
    </w:p>
    <w:p w14:paraId="3BFF4D3A" w14:textId="031C2409" w:rsidR="00A9108D" w:rsidRPr="008732FD" w:rsidRDefault="00D162F1"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卫生机构</w:t>
      </w:r>
    </w:p>
    <w:p w14:paraId="7A784E7E" w14:textId="28451B98" w:rsidR="00D162F1" w:rsidRPr="008732FD" w:rsidRDefault="00D162F1"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全市共有卫生机构1103家，包括医院36家（综合医院22家，中医院3家，专科医院11家），其中公立医院21家，民营医院15家；基层医疗卫生机构1051家（社区卫生服务机构62家，卫生院36家，卫生室、诊所、医务室等953家）；公共卫生机构11家；其他卫生机构5家。</w:t>
      </w:r>
    </w:p>
    <w:p w14:paraId="093A3F93" w14:textId="7F65E557" w:rsidR="00A9108D" w:rsidRPr="008732FD" w:rsidRDefault="00D162F1"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床位数</w:t>
      </w:r>
    </w:p>
    <w:p w14:paraId="5AE881FE" w14:textId="77F7BF1F" w:rsidR="00D162F1" w:rsidRPr="008732FD" w:rsidRDefault="00D162F1"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全市卫生机构床位数14888张，按城乡区分，城市床位数8318张，占总床位数55.87%；农村床位数6570张，占总床位数44.13%。按经济类型区分，公立医院床位数12054张，占总床位数80.96%；非公立医院床位数2834张，占总床位数19.04%。每千常住人口床位数6.06张，床位利用率为84.04%，其中三级医院床位利用率95.44%，二级医院床位利用率87.34%，基层医疗卫生机构床位利用率70.07%。</w:t>
      </w:r>
    </w:p>
    <w:p w14:paraId="283D3E2F" w14:textId="6B6AE87D" w:rsidR="00A9108D" w:rsidRPr="008732FD" w:rsidRDefault="00D162F1"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卫生技术人员</w:t>
      </w:r>
    </w:p>
    <w:p w14:paraId="05B3DBF5" w14:textId="44D9A6C0" w:rsidR="00D162F1" w:rsidRPr="008732FD" w:rsidRDefault="00D162F1"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全市卫生技术人员总数16711人，其中执业（助理）医师5212人，注册护士8045人，药师（士）940人，技师（士）932人，其他专技人员1582人。每千人口执业（助理）医师、注册护士分别为2.13人、3.27人，医护比为1:1.54。</w:t>
      </w:r>
    </w:p>
    <w:p w14:paraId="0B484D00" w14:textId="1D1C8D71" w:rsidR="009F4635" w:rsidRPr="008732FD" w:rsidRDefault="009F4635"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经费投入</w:t>
      </w:r>
    </w:p>
    <w:p w14:paraId="12CD22C8" w14:textId="35DF2244" w:rsidR="00CA037C" w:rsidRPr="008732FD" w:rsidRDefault="009F4635"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全市共投入卫生总费用38.82亿元，卫生总费用占GDP的比重为3.18%，人均卫生总费用1572元。其中投入卫生事业费52545.9万元，人均卫生事业费214元，人均基本公共卫生服务经费为40元。</w:t>
      </w:r>
    </w:p>
    <w:p w14:paraId="0D2BF259" w14:textId="77777777" w:rsidR="001738A5" w:rsidRPr="008732FD" w:rsidRDefault="00273F7F" w:rsidP="001E015F">
      <w:pPr>
        <w:pStyle w:val="a7"/>
        <w:numPr>
          <w:ilvl w:val="0"/>
          <w:numId w:val="6"/>
        </w:numPr>
        <w:adjustRightInd w:val="0"/>
        <w:snapToGrid w:val="0"/>
        <w:spacing w:line="360" w:lineRule="auto"/>
        <w:ind w:firstLineChars="0"/>
        <w:rPr>
          <w:rFonts w:ascii="宋体" w:eastAsia="宋体" w:hAnsi="宋体"/>
          <w:sz w:val="24"/>
          <w:szCs w:val="24"/>
        </w:rPr>
      </w:pPr>
      <w:r w:rsidRPr="008732FD">
        <w:rPr>
          <w:rFonts w:ascii="宋体" w:eastAsia="宋体" w:hAnsi="宋体" w:hint="eastAsia"/>
          <w:sz w:val="24"/>
          <w:szCs w:val="24"/>
        </w:rPr>
        <w:t>公立医院管理集团。</w:t>
      </w:r>
    </w:p>
    <w:p w14:paraId="647D3E6A" w14:textId="663B13F6" w:rsidR="00CA037C" w:rsidRPr="008732FD" w:rsidRDefault="00273F7F"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鄂东医疗集团以黄石市中心医院为核心组建，黄石市中医医院、市妇幼保健院成建制划入该集团，其人、财、物和业务由集团统一管理，集团下属各机构仍属于非营利性</w:t>
      </w:r>
      <w:r w:rsidRPr="008732FD">
        <w:rPr>
          <w:rFonts w:ascii="宋体" w:eastAsia="宋体" w:hAnsi="宋体" w:hint="eastAsia"/>
          <w:sz w:val="24"/>
          <w:szCs w:val="24"/>
        </w:rPr>
        <w:lastRenderedPageBreak/>
        <w:t>公益性事业单位。集团下辖3家甲级医院，7个院区，编制床位总数达3200张。集团党委隶属黄石市委社会工作委员会，实行总院长负责制。“十二五”期间，虽然医疗卫生事业取得了较好的成绩，但与群众日益增长的医疗卫生需要相比仍有一定的差距，突出表现在六个方面：一是资源总量相对不足。每千人口执业（助理）医师数低于全省平均水平；全市总体医疗卫生机构医护比1:1.54，与国家和省定1:1.25有一定差距；全市范围内还未购置甲类大型医用设备，部分医用设备使用率较低。二是资源布局不合理。中心城区每千人口床位数达19.02张，大冶、阳新分别为3.56张、4.12张；城区每千人口执业（助理）医师数7.48人，大冶、阳新分别为1.16人、1.41人；基层卫生资源更显紧缺；专科医院发展相对较慢；儿科、精神卫生、康复、老年护理等领域明显薄弱。三是分级诊疗制度落实不够。全市三级、二级、一级医院床位利用率分别为95%、87%、49%，公立医院、社会办医院病床使用率分别为91%、67%，社区首诊、双向转诊、分级诊疗的就医格局尚未完全形成。四是高素质卫技人才不足。执业（助理）医师、注册护士中大学本科及以上学历者分别为54.94%、6.55%；学科带头人和业务专家在全国、全省有影响力和知名度的很少；基层医疗服务人员普遍能力不强；公共卫生人员、全科医生编制不足。五是医疗卫生基层基础薄弱。社区卫生服务中心、乡镇卫生院医疗设备陈旧老化；村卫生室、社区卫生服务机构、政府办二级及以上医院配备使用基本药物总体水平不高。六是公共卫生体系建设亟待加强。传染病、慢性非传染性疾病、精神病、职业病等疾病预防控制难度逐步加大；突发公共卫生事件偶有发生，全市公共卫生应急体系建设有待完善。</w:t>
      </w:r>
    </w:p>
    <w:p w14:paraId="51A7169B" w14:textId="33D05DEC" w:rsidR="00B5448A" w:rsidRPr="00392592" w:rsidRDefault="00B5448A"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居民健康状况</w:t>
      </w:r>
    </w:p>
    <w:p w14:paraId="262259F5" w14:textId="11D7E82A" w:rsidR="00CA037C" w:rsidRPr="008732FD" w:rsidRDefault="00733944"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2015年人均期望寿命76.87岁，婴儿死亡率4.60‰，孕产妇死亡率为7/10万，主要健康指标处于全国中等水平，居鄂东南前列。</w:t>
      </w:r>
    </w:p>
    <w:p w14:paraId="0B2464FA" w14:textId="0EE1E027" w:rsidR="00C63DDE" w:rsidRPr="00392592" w:rsidRDefault="00B5448A" w:rsidP="001E015F">
      <w:pPr>
        <w:pStyle w:val="2"/>
        <w:keepNext w:val="0"/>
        <w:keepLines w:val="0"/>
        <w:numPr>
          <w:ilvl w:val="1"/>
          <w:numId w:val="5"/>
        </w:numPr>
        <w:adjustRightInd w:val="0"/>
        <w:snapToGrid w:val="0"/>
        <w:spacing w:before="0" w:after="0" w:line="360" w:lineRule="auto"/>
        <w:ind w:left="0" w:firstLine="0"/>
        <w:rPr>
          <w:rFonts w:ascii="黑体" w:eastAsia="黑体" w:hAnsi="黑体"/>
          <w:sz w:val="36"/>
          <w:szCs w:val="36"/>
        </w:rPr>
      </w:pPr>
      <w:r w:rsidRPr="00392592">
        <w:rPr>
          <w:rFonts w:ascii="黑体" w:eastAsia="黑体" w:hAnsi="黑体" w:hint="eastAsia"/>
          <w:sz w:val="36"/>
          <w:szCs w:val="36"/>
        </w:rPr>
        <w:t>医疗卫生资源规划</w:t>
      </w:r>
    </w:p>
    <w:p w14:paraId="5F349BDB" w14:textId="77777777" w:rsidR="00102DCB" w:rsidRPr="008732FD" w:rsidRDefault="00102DC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规划期内，我市医疗卫生服务体系发展的基本思路是“稳增长、优布局、调结构、增效率、提能力”。</w:t>
      </w:r>
    </w:p>
    <w:p w14:paraId="01F97CE1" w14:textId="762E2F93" w:rsidR="00102DCB" w:rsidRPr="008732FD" w:rsidRDefault="00102DC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一、促进总量适度增长。争取每千常住人口床位、执业（助理）医师、注册护士等</w:t>
      </w:r>
      <w:r w:rsidRPr="008732FD">
        <w:rPr>
          <w:rFonts w:ascii="宋体" w:eastAsia="宋体" w:hAnsi="宋体" w:hint="eastAsia"/>
          <w:sz w:val="24"/>
          <w:szCs w:val="24"/>
        </w:rPr>
        <w:lastRenderedPageBreak/>
        <w:t>主要医疗卫生资源指标和健康水平在全省领先，基本满足人民群众健康需求。</w:t>
      </w:r>
    </w:p>
    <w:p w14:paraId="167980A8" w14:textId="1F366E8A" w:rsidR="00102DCB" w:rsidRPr="008732FD" w:rsidRDefault="00102DC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二、优化不同区域布局。对医疗资源相对饱和的中心城区，原则上不再设置新的医院。鼓励社会资本在高端医疗服务领域举办医疗机构。大力支持社会资本在农村地区和城乡结合部、城市新区等医疗资源相对薄弱、群众看病不方便的地方举办医疗机构，弥补政府办医疗资源的不足。</w:t>
      </w:r>
    </w:p>
    <w:p w14:paraId="0A25BEED" w14:textId="0CD3A8BA" w:rsidR="00102DCB" w:rsidRPr="008732FD" w:rsidRDefault="00102DC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三、调整资源配置结构。适度控制公立医院扩张，扩大社会办医规模；适度控制综合医院数量，加强儿童、精神、肿瘤、老年病、康复等薄弱专科建设；严格控制公立医院单体规模，从外延式发展向以提高服务质量和绩效为主的内涵式发展转型；积极推进城区富余公立医院（含企业职工医院）改制重组。</w:t>
      </w:r>
    </w:p>
    <w:p w14:paraId="3ADB8086" w14:textId="2C5EE6D3" w:rsidR="00102DCB" w:rsidRPr="008732FD" w:rsidRDefault="00102DCB" w:rsidP="001E015F">
      <w:pPr>
        <w:adjustRightInd w:val="0"/>
        <w:snapToGrid w:val="0"/>
        <w:spacing w:line="360" w:lineRule="auto"/>
        <w:ind w:firstLineChars="200" w:firstLine="472"/>
        <w:rPr>
          <w:rFonts w:ascii="宋体" w:eastAsia="宋体" w:hAnsi="宋体"/>
          <w:sz w:val="24"/>
          <w:szCs w:val="24"/>
        </w:rPr>
      </w:pPr>
      <w:r w:rsidRPr="008732FD">
        <w:rPr>
          <w:rFonts w:ascii="宋体" w:eastAsia="宋体" w:hAnsi="宋体" w:hint="eastAsia"/>
          <w:sz w:val="24"/>
          <w:szCs w:val="24"/>
        </w:rPr>
        <w:t>四、提升资源利用效率。积极推进医疗联合体，实施双向转诊；加强医防结合，适度降低住院率；缩短平均住院床日，加快病床周转。</w:t>
      </w:r>
    </w:p>
    <w:p w14:paraId="0A60EAF9" w14:textId="01BC96AA" w:rsidR="00CA037C" w:rsidRDefault="006C345A" w:rsidP="001E015F">
      <w:pPr>
        <w:adjustRightInd w:val="0"/>
        <w:snapToGrid w:val="0"/>
        <w:spacing w:line="360" w:lineRule="auto"/>
        <w:ind w:firstLineChars="200" w:firstLine="472"/>
        <w:rPr>
          <w:sz w:val="24"/>
          <w:szCs w:val="24"/>
        </w:rPr>
      </w:pPr>
      <w:r w:rsidRPr="008732FD">
        <w:rPr>
          <w:rFonts w:ascii="宋体" w:eastAsia="宋体" w:hAnsi="宋体"/>
          <w:noProof/>
          <w:sz w:val="24"/>
          <w:szCs w:val="24"/>
        </w:rPr>
        <w:drawing>
          <wp:anchor distT="0" distB="0" distL="114300" distR="114300" simplePos="0" relativeHeight="251660288" behindDoc="0" locked="0" layoutInCell="1" allowOverlap="1" wp14:anchorId="22833606" wp14:editId="26E1DA94">
            <wp:simplePos x="0" y="0"/>
            <wp:positionH relativeFrom="column">
              <wp:posOffset>843915</wp:posOffset>
            </wp:positionH>
            <wp:positionV relativeFrom="paragraph">
              <wp:posOffset>2054750</wp:posOffset>
            </wp:positionV>
            <wp:extent cx="3498215" cy="2934970"/>
            <wp:effectExtent l="0" t="0" r="698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8215" cy="2934970"/>
                    </a:xfrm>
                    <a:prstGeom prst="rect">
                      <a:avLst/>
                    </a:prstGeom>
                  </pic:spPr>
                </pic:pic>
              </a:graphicData>
            </a:graphic>
            <wp14:sizeRelH relativeFrom="page">
              <wp14:pctWidth>0</wp14:pctWidth>
            </wp14:sizeRelH>
            <wp14:sizeRelV relativeFrom="page">
              <wp14:pctHeight>0</wp14:pctHeight>
            </wp14:sizeRelV>
          </wp:anchor>
        </w:drawing>
      </w:r>
      <w:r w:rsidR="00102DCB" w:rsidRPr="008732FD">
        <w:rPr>
          <w:rFonts w:ascii="宋体" w:eastAsia="宋体" w:hAnsi="宋体" w:hint="eastAsia"/>
          <w:sz w:val="24"/>
          <w:szCs w:val="24"/>
        </w:rPr>
        <w:t>五、提升医疗卫生服务能力。更加注重人才队伍建设、医学科研、信息化建设、精细化管理，加强功能整合和分工协作，发挥医疗卫生资源的综合效能，提升整体服务能力。到2020年，全市医疗卫生机构床位总数达17710张（每千常驻人口床位数达到7.0张），其中公立医院床位8728张（每千常驻人口3.45张），社会办医院4428张（每千常驻人口1.75张），基层医疗卫生机构3289张（每千常驻人口1.3张），专业公共卫生机构1265张（每千常驻人口0.5张）。在全市每千常驻人口床位数7.0张规划目标中，</w:t>
      </w:r>
      <w:r w:rsidR="00102DCB" w:rsidRPr="00B5389D">
        <w:rPr>
          <w:rFonts w:ascii="宋体" w:eastAsia="宋体" w:hAnsi="宋体" w:hint="eastAsia"/>
          <w:sz w:val="24"/>
          <w:szCs w:val="24"/>
        </w:rPr>
        <w:lastRenderedPageBreak/>
        <w:t>中医类床位占比0.55张，儿科床位占比0.4张，精神卫生床位占比0.4张，康复护理床位占比0.5张。</w:t>
      </w:r>
    </w:p>
    <w:p w14:paraId="4EC1E7FC" w14:textId="5CA359E5" w:rsidR="006C345A" w:rsidRPr="006C345A" w:rsidRDefault="006C345A" w:rsidP="001E015F">
      <w:pPr>
        <w:adjustRightInd w:val="0"/>
        <w:snapToGrid w:val="0"/>
        <w:spacing w:line="360" w:lineRule="auto"/>
        <w:ind w:firstLineChars="200" w:firstLine="472"/>
        <w:rPr>
          <w:sz w:val="24"/>
          <w:szCs w:val="24"/>
        </w:rPr>
      </w:pPr>
    </w:p>
    <w:sectPr w:rsidR="006C345A" w:rsidRPr="006C345A" w:rsidSect="008732FD">
      <w:headerReference w:type="even" r:id="rId16"/>
      <w:headerReference w:type="default" r:id="rId17"/>
      <w:footerReference w:type="even" r:id="rId18"/>
      <w:footerReference w:type="default" r:id="rId19"/>
      <w:headerReference w:type="first" r:id="rId20"/>
      <w:footerReference w:type="first" r:id="rId21"/>
      <w:pgSz w:w="11906" w:h="16838" w:code="9"/>
      <w:pgMar w:top="2098" w:right="1474" w:bottom="1985" w:left="1588" w:header="1247" w:footer="1985" w:gutter="0"/>
      <w:pgNumType w:fmt="numberInDash"/>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93C5C" w14:textId="77777777" w:rsidR="0070435F" w:rsidRDefault="0070435F" w:rsidP="00F623C1">
      <w:r>
        <w:separator/>
      </w:r>
    </w:p>
  </w:endnote>
  <w:endnote w:type="continuationSeparator" w:id="0">
    <w:p w14:paraId="0A86FA53" w14:textId="77777777" w:rsidR="0070435F" w:rsidRDefault="0070435F" w:rsidP="00F6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234425"/>
      <w:docPartObj>
        <w:docPartGallery w:val="Page Numbers (Bottom of Page)"/>
        <w:docPartUnique/>
      </w:docPartObj>
    </w:sdtPr>
    <w:sdtEndPr>
      <w:rPr>
        <w:sz w:val="21"/>
        <w:szCs w:val="21"/>
      </w:rPr>
    </w:sdtEndPr>
    <w:sdtContent>
      <w:p w14:paraId="08B022C9" w14:textId="421EF6D6" w:rsidR="00E61CA7" w:rsidRPr="00E61CA7" w:rsidRDefault="00E61CA7">
        <w:pPr>
          <w:pStyle w:val="a5"/>
          <w:rPr>
            <w:sz w:val="21"/>
            <w:szCs w:val="21"/>
          </w:rPr>
        </w:pPr>
        <w:r w:rsidRPr="00E61CA7">
          <w:rPr>
            <w:sz w:val="21"/>
            <w:szCs w:val="21"/>
          </w:rPr>
          <w:fldChar w:fldCharType="begin"/>
        </w:r>
        <w:r w:rsidRPr="00E61CA7">
          <w:rPr>
            <w:sz w:val="21"/>
            <w:szCs w:val="21"/>
          </w:rPr>
          <w:instrText>PAGE   \* MERGEFORMAT</w:instrText>
        </w:r>
        <w:r w:rsidRPr="00E61CA7">
          <w:rPr>
            <w:sz w:val="21"/>
            <w:szCs w:val="21"/>
          </w:rPr>
          <w:fldChar w:fldCharType="separate"/>
        </w:r>
        <w:r w:rsidRPr="00E61CA7">
          <w:rPr>
            <w:sz w:val="21"/>
            <w:szCs w:val="21"/>
            <w:lang w:val="zh-CN"/>
          </w:rPr>
          <w:t>2</w:t>
        </w:r>
        <w:r w:rsidRPr="00E61CA7">
          <w:rPr>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552037"/>
      <w:docPartObj>
        <w:docPartGallery w:val="Page Numbers (Bottom of Page)"/>
        <w:docPartUnique/>
      </w:docPartObj>
    </w:sdtPr>
    <w:sdtEndPr>
      <w:rPr>
        <w:sz w:val="21"/>
        <w:szCs w:val="21"/>
      </w:rPr>
    </w:sdtEndPr>
    <w:sdtContent>
      <w:bookmarkStart w:id="0" w:name="_GoBack" w:displacedByCustomXml="prev"/>
      <w:bookmarkEnd w:id="0" w:displacedByCustomXml="prev"/>
      <w:p w14:paraId="76FDAB78" w14:textId="4BDAE388" w:rsidR="00E61CA7" w:rsidRPr="00E61CA7" w:rsidRDefault="00E61CA7" w:rsidP="003F1980">
        <w:pPr>
          <w:pStyle w:val="a5"/>
          <w:jc w:val="center"/>
          <w:rPr>
            <w:sz w:val="21"/>
            <w:szCs w:val="21"/>
          </w:rPr>
        </w:pPr>
        <w:r w:rsidRPr="00E61CA7">
          <w:rPr>
            <w:sz w:val="21"/>
            <w:szCs w:val="21"/>
          </w:rPr>
          <w:fldChar w:fldCharType="begin"/>
        </w:r>
        <w:r w:rsidRPr="00E61CA7">
          <w:rPr>
            <w:sz w:val="21"/>
            <w:szCs w:val="21"/>
          </w:rPr>
          <w:instrText>PAGE   \* MERGEFORMAT</w:instrText>
        </w:r>
        <w:r w:rsidRPr="00E61CA7">
          <w:rPr>
            <w:sz w:val="21"/>
            <w:szCs w:val="21"/>
          </w:rPr>
          <w:fldChar w:fldCharType="separate"/>
        </w:r>
        <w:r w:rsidRPr="00E61CA7">
          <w:rPr>
            <w:sz w:val="21"/>
            <w:szCs w:val="21"/>
            <w:lang w:val="zh-CN"/>
          </w:rPr>
          <w:t>2</w:t>
        </w:r>
        <w:r w:rsidRPr="00E61CA7">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7041" w14:textId="77777777" w:rsidR="003F1980" w:rsidRDefault="003F19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B4DE2" w14:textId="77777777" w:rsidR="0070435F" w:rsidRDefault="0070435F" w:rsidP="00F623C1">
      <w:r>
        <w:separator/>
      </w:r>
    </w:p>
  </w:footnote>
  <w:footnote w:type="continuationSeparator" w:id="0">
    <w:p w14:paraId="14A55CA4" w14:textId="77777777" w:rsidR="0070435F" w:rsidRDefault="0070435F" w:rsidP="00F62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81579" w14:textId="77777777" w:rsidR="000866BC" w:rsidRDefault="000866BC" w:rsidP="000866BC">
    <w:pPr>
      <w:pStyle w:val="a3"/>
      <w:pBdr>
        <w:bottom w:val="single" w:sz="4" w:space="1" w:color="auto"/>
      </w:pBdr>
      <w:rPr>
        <w:sz w:val="21"/>
      </w:rPr>
    </w:pPr>
    <w:r>
      <w:rPr>
        <w:noProof/>
      </w:rPr>
      <w:drawing>
        <wp:anchor distT="0" distB="0" distL="114300" distR="114300" simplePos="0" relativeHeight="251660288" behindDoc="0" locked="0" layoutInCell="1" allowOverlap="1" wp14:anchorId="528F18D4" wp14:editId="56B84BFD">
          <wp:simplePos x="0" y="0"/>
          <wp:positionH relativeFrom="column">
            <wp:posOffset>29844</wp:posOffset>
          </wp:positionH>
          <wp:positionV relativeFrom="paragraph">
            <wp:posOffset>154940</wp:posOffset>
          </wp:positionV>
          <wp:extent cx="1152525" cy="370456"/>
          <wp:effectExtent l="0" t="0" r="0" b="0"/>
          <wp:wrapNone/>
          <wp:docPr id="3" name="图片 3" descr="http://www.chutianyun.gov.cn/r/cms/www/default/b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utianyun.gov.cn/r/cms/www/default/bg/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738" cy="389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478E7" w14:textId="4BDEF8D0" w:rsidR="008F19B9" w:rsidRDefault="009A27BB" w:rsidP="009A27BB">
    <w:pPr>
      <w:pStyle w:val="a3"/>
      <w:pBdr>
        <w:bottom w:val="single" w:sz="4" w:space="1" w:color="auto"/>
      </w:pBdr>
      <w:tabs>
        <w:tab w:val="left" w:pos="2798"/>
        <w:tab w:val="center" w:pos="4422"/>
      </w:tabs>
      <w:jc w:val="left"/>
      <w:rPr>
        <w:rFonts w:ascii="微软雅黑" w:eastAsia="微软雅黑" w:hAnsi="微软雅黑"/>
        <w:b/>
        <w:sz w:val="21"/>
      </w:rPr>
    </w:pPr>
    <w:r>
      <w:rPr>
        <w:rFonts w:ascii="微软雅黑" w:eastAsia="微软雅黑" w:hAnsi="微软雅黑"/>
        <w:b/>
        <w:sz w:val="21"/>
      </w:rPr>
      <w:tab/>
    </w:r>
  </w:p>
  <w:p w14:paraId="12347085" w14:textId="77777777" w:rsidR="002B1F03" w:rsidRPr="000866BC" w:rsidRDefault="002B1F03" w:rsidP="000866BC">
    <w:pPr>
      <w:pStyle w:val="a3"/>
      <w:pBdr>
        <w:bottom w:val="single" w:sz="4" w:space="1"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2BC24" w14:textId="13E6D0B7" w:rsidR="00BE507C" w:rsidRDefault="00BE507C" w:rsidP="00E5627D">
    <w:pPr>
      <w:pStyle w:val="a3"/>
      <w:pBdr>
        <w:bottom w:val="single" w:sz="4" w:space="1" w:color="auto"/>
      </w:pBdr>
      <w:rPr>
        <w:sz w:val="21"/>
      </w:rPr>
    </w:pPr>
  </w:p>
  <w:p w14:paraId="066DFA8B" w14:textId="7D3137E6" w:rsidR="00E5627D" w:rsidRPr="00E5627D" w:rsidRDefault="00671CA2" w:rsidP="00E5627D">
    <w:pPr>
      <w:pStyle w:val="a3"/>
      <w:pBdr>
        <w:bottom w:val="single" w:sz="4" w:space="1" w:color="auto"/>
      </w:pBdr>
      <w:rPr>
        <w:rFonts w:ascii="微软雅黑" w:eastAsia="微软雅黑" w:hAnsi="微软雅黑"/>
        <w:b/>
        <w:sz w:val="15"/>
      </w:rPr>
    </w:pPr>
    <w:r>
      <w:rPr>
        <w:noProof/>
      </w:rPr>
      <w:drawing>
        <wp:inline distT="0" distB="0" distL="114300" distR="114300" wp14:anchorId="643A6D49" wp14:editId="307F77BE">
          <wp:extent cx="5256530" cy="333375"/>
          <wp:effectExtent l="0" t="0" r="127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
                  <a:stretch>
                    <a:fillRect/>
                  </a:stretch>
                </pic:blipFill>
                <pic:spPr>
                  <a:xfrm>
                    <a:off x="0" y="0"/>
                    <a:ext cx="5256530" cy="333375"/>
                  </a:xfrm>
                  <a:prstGeom prst="rect">
                    <a:avLst/>
                  </a:prstGeom>
                  <a:noFill/>
                  <a:ln w="9525">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9FE51" w14:textId="77777777" w:rsidR="003F1980" w:rsidRDefault="003F198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309"/>
    <w:multiLevelType w:val="hybridMultilevel"/>
    <w:tmpl w:val="4F086362"/>
    <w:lvl w:ilvl="0" w:tplc="3CC0E518">
      <w:start w:val="1"/>
      <w:numFmt w:val="japaneseCounting"/>
      <w:lvlText w:val="第%1条"/>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421A21"/>
    <w:multiLevelType w:val="hybridMultilevel"/>
    <w:tmpl w:val="256CE3C2"/>
    <w:lvl w:ilvl="0" w:tplc="04090001">
      <w:start w:val="1"/>
      <w:numFmt w:val="bullet"/>
      <w:lvlText w:val=""/>
      <w:lvlJc w:val="left"/>
      <w:pPr>
        <w:ind w:left="892" w:hanging="420"/>
      </w:pPr>
      <w:rPr>
        <w:rFonts w:ascii="Wingdings" w:hAnsi="Wingdings" w:hint="default"/>
      </w:rPr>
    </w:lvl>
    <w:lvl w:ilvl="1" w:tplc="04090003" w:tentative="1">
      <w:start w:val="1"/>
      <w:numFmt w:val="bullet"/>
      <w:lvlText w:val=""/>
      <w:lvlJc w:val="left"/>
      <w:pPr>
        <w:ind w:left="1312" w:hanging="420"/>
      </w:pPr>
      <w:rPr>
        <w:rFonts w:ascii="Wingdings" w:hAnsi="Wingdings" w:hint="default"/>
      </w:rPr>
    </w:lvl>
    <w:lvl w:ilvl="2" w:tplc="04090005" w:tentative="1">
      <w:start w:val="1"/>
      <w:numFmt w:val="bullet"/>
      <w:lvlText w:val=""/>
      <w:lvlJc w:val="left"/>
      <w:pPr>
        <w:ind w:left="1732" w:hanging="420"/>
      </w:pPr>
      <w:rPr>
        <w:rFonts w:ascii="Wingdings" w:hAnsi="Wingdings" w:hint="default"/>
      </w:rPr>
    </w:lvl>
    <w:lvl w:ilvl="3" w:tplc="04090001" w:tentative="1">
      <w:start w:val="1"/>
      <w:numFmt w:val="bullet"/>
      <w:lvlText w:val=""/>
      <w:lvlJc w:val="left"/>
      <w:pPr>
        <w:ind w:left="2152" w:hanging="420"/>
      </w:pPr>
      <w:rPr>
        <w:rFonts w:ascii="Wingdings" w:hAnsi="Wingdings" w:hint="default"/>
      </w:rPr>
    </w:lvl>
    <w:lvl w:ilvl="4" w:tplc="04090003" w:tentative="1">
      <w:start w:val="1"/>
      <w:numFmt w:val="bullet"/>
      <w:lvlText w:val=""/>
      <w:lvlJc w:val="left"/>
      <w:pPr>
        <w:ind w:left="2572" w:hanging="420"/>
      </w:pPr>
      <w:rPr>
        <w:rFonts w:ascii="Wingdings" w:hAnsi="Wingdings" w:hint="default"/>
      </w:rPr>
    </w:lvl>
    <w:lvl w:ilvl="5" w:tplc="04090005" w:tentative="1">
      <w:start w:val="1"/>
      <w:numFmt w:val="bullet"/>
      <w:lvlText w:val=""/>
      <w:lvlJc w:val="left"/>
      <w:pPr>
        <w:ind w:left="2992" w:hanging="420"/>
      </w:pPr>
      <w:rPr>
        <w:rFonts w:ascii="Wingdings" w:hAnsi="Wingdings" w:hint="default"/>
      </w:rPr>
    </w:lvl>
    <w:lvl w:ilvl="6" w:tplc="04090001" w:tentative="1">
      <w:start w:val="1"/>
      <w:numFmt w:val="bullet"/>
      <w:lvlText w:val=""/>
      <w:lvlJc w:val="left"/>
      <w:pPr>
        <w:ind w:left="3412" w:hanging="420"/>
      </w:pPr>
      <w:rPr>
        <w:rFonts w:ascii="Wingdings" w:hAnsi="Wingdings" w:hint="default"/>
      </w:rPr>
    </w:lvl>
    <w:lvl w:ilvl="7" w:tplc="04090003" w:tentative="1">
      <w:start w:val="1"/>
      <w:numFmt w:val="bullet"/>
      <w:lvlText w:val=""/>
      <w:lvlJc w:val="left"/>
      <w:pPr>
        <w:ind w:left="3832" w:hanging="420"/>
      </w:pPr>
      <w:rPr>
        <w:rFonts w:ascii="Wingdings" w:hAnsi="Wingdings" w:hint="default"/>
      </w:rPr>
    </w:lvl>
    <w:lvl w:ilvl="8" w:tplc="04090005" w:tentative="1">
      <w:start w:val="1"/>
      <w:numFmt w:val="bullet"/>
      <w:lvlText w:val=""/>
      <w:lvlJc w:val="left"/>
      <w:pPr>
        <w:ind w:left="4252" w:hanging="420"/>
      </w:pPr>
      <w:rPr>
        <w:rFonts w:ascii="Wingdings" w:hAnsi="Wingdings" w:hint="default"/>
      </w:rPr>
    </w:lvl>
  </w:abstractNum>
  <w:abstractNum w:abstractNumId="2" w15:restartNumberingAfterBreak="0">
    <w:nsid w:val="07672561"/>
    <w:multiLevelType w:val="hybridMultilevel"/>
    <w:tmpl w:val="6A06D47C"/>
    <w:lvl w:ilvl="0" w:tplc="04090013">
      <w:start w:val="1"/>
      <w:numFmt w:val="chineseCountingThousand"/>
      <w:lvlText w:val="%1、"/>
      <w:lvlJc w:val="left"/>
      <w:pPr>
        <w:ind w:left="1052" w:hanging="420"/>
      </w:p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 w15:restartNumberingAfterBreak="0">
    <w:nsid w:val="2BAE7716"/>
    <w:multiLevelType w:val="hybridMultilevel"/>
    <w:tmpl w:val="65DE8092"/>
    <w:lvl w:ilvl="0" w:tplc="95123CBC">
      <w:start w:val="1"/>
      <w:numFmt w:val="japaneseCounting"/>
      <w:lvlText w:val="%1、"/>
      <w:lvlJc w:val="left"/>
      <w:pPr>
        <w:ind w:left="952" w:hanging="48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4" w15:restartNumberingAfterBreak="0">
    <w:nsid w:val="316C4A01"/>
    <w:multiLevelType w:val="hybridMultilevel"/>
    <w:tmpl w:val="A1DAB6DA"/>
    <w:lvl w:ilvl="0" w:tplc="3D0440BA">
      <w:start w:val="1"/>
      <w:numFmt w:val="japaneseCounting"/>
      <w:lvlText w:val="%1、"/>
      <w:lvlJc w:val="left"/>
      <w:pPr>
        <w:ind w:left="1352" w:hanging="72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15:restartNumberingAfterBreak="0">
    <w:nsid w:val="3A797BA9"/>
    <w:multiLevelType w:val="hybridMultilevel"/>
    <w:tmpl w:val="9A2CF9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BF5D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5"/>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01"/>
    <w:rsid w:val="00000729"/>
    <w:rsid w:val="00000F8B"/>
    <w:rsid w:val="000014A1"/>
    <w:rsid w:val="000029C2"/>
    <w:rsid w:val="00004EFF"/>
    <w:rsid w:val="0001606A"/>
    <w:rsid w:val="000179BD"/>
    <w:rsid w:val="000217B1"/>
    <w:rsid w:val="00021AC2"/>
    <w:rsid w:val="000220B9"/>
    <w:rsid w:val="00023DE2"/>
    <w:rsid w:val="00032865"/>
    <w:rsid w:val="000330AB"/>
    <w:rsid w:val="00033BDC"/>
    <w:rsid w:val="000355B6"/>
    <w:rsid w:val="00035C22"/>
    <w:rsid w:val="0004273C"/>
    <w:rsid w:val="00045A2B"/>
    <w:rsid w:val="0004620C"/>
    <w:rsid w:val="00047DB0"/>
    <w:rsid w:val="00050D61"/>
    <w:rsid w:val="00051A58"/>
    <w:rsid w:val="000524DA"/>
    <w:rsid w:val="00060BE3"/>
    <w:rsid w:val="00064CDA"/>
    <w:rsid w:val="00065428"/>
    <w:rsid w:val="0006756B"/>
    <w:rsid w:val="00067B6B"/>
    <w:rsid w:val="00071F3F"/>
    <w:rsid w:val="00072D02"/>
    <w:rsid w:val="00073ABC"/>
    <w:rsid w:val="00073C68"/>
    <w:rsid w:val="00073F4C"/>
    <w:rsid w:val="00075205"/>
    <w:rsid w:val="00080CA9"/>
    <w:rsid w:val="000841A6"/>
    <w:rsid w:val="00086333"/>
    <w:rsid w:val="000863B0"/>
    <w:rsid w:val="000866BC"/>
    <w:rsid w:val="00092914"/>
    <w:rsid w:val="000947C2"/>
    <w:rsid w:val="0009610B"/>
    <w:rsid w:val="000A1474"/>
    <w:rsid w:val="000A1B95"/>
    <w:rsid w:val="000A1EB7"/>
    <w:rsid w:val="000A2DAD"/>
    <w:rsid w:val="000A2DEF"/>
    <w:rsid w:val="000A5BB4"/>
    <w:rsid w:val="000A7463"/>
    <w:rsid w:val="000B1D10"/>
    <w:rsid w:val="000B2442"/>
    <w:rsid w:val="000B7B81"/>
    <w:rsid w:val="000C2FA3"/>
    <w:rsid w:val="000C4A97"/>
    <w:rsid w:val="000D0BCC"/>
    <w:rsid w:val="000D72DF"/>
    <w:rsid w:val="000D72E6"/>
    <w:rsid w:val="000D7434"/>
    <w:rsid w:val="000D748D"/>
    <w:rsid w:val="000D7923"/>
    <w:rsid w:val="000E0FAD"/>
    <w:rsid w:val="000E1EC0"/>
    <w:rsid w:val="000E56F9"/>
    <w:rsid w:val="000E7613"/>
    <w:rsid w:val="000E7AAF"/>
    <w:rsid w:val="000F37BC"/>
    <w:rsid w:val="000F42FA"/>
    <w:rsid w:val="000F4824"/>
    <w:rsid w:val="000F7011"/>
    <w:rsid w:val="00101EE1"/>
    <w:rsid w:val="00102DCB"/>
    <w:rsid w:val="00103F02"/>
    <w:rsid w:val="00113F68"/>
    <w:rsid w:val="00116E35"/>
    <w:rsid w:val="00117983"/>
    <w:rsid w:val="00121261"/>
    <w:rsid w:val="001247F9"/>
    <w:rsid w:val="00125220"/>
    <w:rsid w:val="0012588D"/>
    <w:rsid w:val="001315B8"/>
    <w:rsid w:val="00132BA6"/>
    <w:rsid w:val="00132E16"/>
    <w:rsid w:val="00133F2E"/>
    <w:rsid w:val="001366BF"/>
    <w:rsid w:val="0014240A"/>
    <w:rsid w:val="00142A4D"/>
    <w:rsid w:val="00144CB8"/>
    <w:rsid w:val="00146D0F"/>
    <w:rsid w:val="001471AD"/>
    <w:rsid w:val="00147576"/>
    <w:rsid w:val="00153657"/>
    <w:rsid w:val="00157354"/>
    <w:rsid w:val="001615D6"/>
    <w:rsid w:val="0016211E"/>
    <w:rsid w:val="001738A5"/>
    <w:rsid w:val="00173BAB"/>
    <w:rsid w:val="0018118D"/>
    <w:rsid w:val="00185031"/>
    <w:rsid w:val="001855F8"/>
    <w:rsid w:val="00186ED4"/>
    <w:rsid w:val="00192BD0"/>
    <w:rsid w:val="001952B6"/>
    <w:rsid w:val="00195930"/>
    <w:rsid w:val="001A05D9"/>
    <w:rsid w:val="001A0AB8"/>
    <w:rsid w:val="001A7DF9"/>
    <w:rsid w:val="001B2DD0"/>
    <w:rsid w:val="001B5B2F"/>
    <w:rsid w:val="001B60E7"/>
    <w:rsid w:val="001B622F"/>
    <w:rsid w:val="001C304E"/>
    <w:rsid w:val="001C32D1"/>
    <w:rsid w:val="001C7DF3"/>
    <w:rsid w:val="001C7E1A"/>
    <w:rsid w:val="001D5FE7"/>
    <w:rsid w:val="001D6886"/>
    <w:rsid w:val="001D7C6C"/>
    <w:rsid w:val="001D7CF0"/>
    <w:rsid w:val="001E015F"/>
    <w:rsid w:val="001E02BA"/>
    <w:rsid w:val="001E3CF5"/>
    <w:rsid w:val="001E40D7"/>
    <w:rsid w:val="001E5B2B"/>
    <w:rsid w:val="001F1D1E"/>
    <w:rsid w:val="001F3CD5"/>
    <w:rsid w:val="001F5220"/>
    <w:rsid w:val="001F6CBC"/>
    <w:rsid w:val="00200BA5"/>
    <w:rsid w:val="00201566"/>
    <w:rsid w:val="00201604"/>
    <w:rsid w:val="00205302"/>
    <w:rsid w:val="002055A2"/>
    <w:rsid w:val="00205D6D"/>
    <w:rsid w:val="00211B1C"/>
    <w:rsid w:val="00214A54"/>
    <w:rsid w:val="00221892"/>
    <w:rsid w:val="00222654"/>
    <w:rsid w:val="00223733"/>
    <w:rsid w:val="002251B1"/>
    <w:rsid w:val="00226098"/>
    <w:rsid w:val="002309BD"/>
    <w:rsid w:val="002317BA"/>
    <w:rsid w:val="00232501"/>
    <w:rsid w:val="00233626"/>
    <w:rsid w:val="00236303"/>
    <w:rsid w:val="0023784B"/>
    <w:rsid w:val="00237858"/>
    <w:rsid w:val="002409E0"/>
    <w:rsid w:val="00242CBE"/>
    <w:rsid w:val="00243904"/>
    <w:rsid w:val="00245648"/>
    <w:rsid w:val="0025081B"/>
    <w:rsid w:val="00254415"/>
    <w:rsid w:val="00254CEA"/>
    <w:rsid w:val="00256980"/>
    <w:rsid w:val="00261575"/>
    <w:rsid w:val="00262AEC"/>
    <w:rsid w:val="002637A5"/>
    <w:rsid w:val="0026415E"/>
    <w:rsid w:val="00264494"/>
    <w:rsid w:val="00270C5C"/>
    <w:rsid w:val="00273F7F"/>
    <w:rsid w:val="002749EB"/>
    <w:rsid w:val="002761D2"/>
    <w:rsid w:val="00276314"/>
    <w:rsid w:val="0027739C"/>
    <w:rsid w:val="002841DB"/>
    <w:rsid w:val="00290B61"/>
    <w:rsid w:val="0029598C"/>
    <w:rsid w:val="002A190C"/>
    <w:rsid w:val="002A1DD5"/>
    <w:rsid w:val="002A1E1F"/>
    <w:rsid w:val="002A2583"/>
    <w:rsid w:val="002A7900"/>
    <w:rsid w:val="002B01F3"/>
    <w:rsid w:val="002B083D"/>
    <w:rsid w:val="002B1F03"/>
    <w:rsid w:val="002B4788"/>
    <w:rsid w:val="002B4FC2"/>
    <w:rsid w:val="002C1AFE"/>
    <w:rsid w:val="002D5089"/>
    <w:rsid w:val="002D612E"/>
    <w:rsid w:val="002E25DD"/>
    <w:rsid w:val="002E2647"/>
    <w:rsid w:val="002E3580"/>
    <w:rsid w:val="002E6926"/>
    <w:rsid w:val="002F0E70"/>
    <w:rsid w:val="002F1540"/>
    <w:rsid w:val="002F2346"/>
    <w:rsid w:val="002F2995"/>
    <w:rsid w:val="002F5D85"/>
    <w:rsid w:val="0030064D"/>
    <w:rsid w:val="00300E95"/>
    <w:rsid w:val="0030310F"/>
    <w:rsid w:val="00306CAC"/>
    <w:rsid w:val="003108E4"/>
    <w:rsid w:val="00316C02"/>
    <w:rsid w:val="00322534"/>
    <w:rsid w:val="00327F4C"/>
    <w:rsid w:val="003307F4"/>
    <w:rsid w:val="0033456E"/>
    <w:rsid w:val="00335016"/>
    <w:rsid w:val="0034538A"/>
    <w:rsid w:val="0034570D"/>
    <w:rsid w:val="00352A86"/>
    <w:rsid w:val="00352ABB"/>
    <w:rsid w:val="00353B1E"/>
    <w:rsid w:val="00356F81"/>
    <w:rsid w:val="00361004"/>
    <w:rsid w:val="00362A31"/>
    <w:rsid w:val="00363CE2"/>
    <w:rsid w:val="00364786"/>
    <w:rsid w:val="00366D92"/>
    <w:rsid w:val="003675D8"/>
    <w:rsid w:val="0037188D"/>
    <w:rsid w:val="003739AE"/>
    <w:rsid w:val="00376778"/>
    <w:rsid w:val="00377327"/>
    <w:rsid w:val="00377B31"/>
    <w:rsid w:val="00380F92"/>
    <w:rsid w:val="00382E11"/>
    <w:rsid w:val="003857A3"/>
    <w:rsid w:val="00391306"/>
    <w:rsid w:val="00392592"/>
    <w:rsid w:val="00392F78"/>
    <w:rsid w:val="00394B04"/>
    <w:rsid w:val="00395020"/>
    <w:rsid w:val="003955A4"/>
    <w:rsid w:val="0039679B"/>
    <w:rsid w:val="003A05AA"/>
    <w:rsid w:val="003A2EF6"/>
    <w:rsid w:val="003A3D9E"/>
    <w:rsid w:val="003A56EF"/>
    <w:rsid w:val="003B05E3"/>
    <w:rsid w:val="003B3639"/>
    <w:rsid w:val="003B36C7"/>
    <w:rsid w:val="003B3DF5"/>
    <w:rsid w:val="003B6DC9"/>
    <w:rsid w:val="003B7811"/>
    <w:rsid w:val="003C417D"/>
    <w:rsid w:val="003C60D6"/>
    <w:rsid w:val="003D2E0E"/>
    <w:rsid w:val="003D4137"/>
    <w:rsid w:val="003D4B7B"/>
    <w:rsid w:val="003D7A5B"/>
    <w:rsid w:val="003E2B3A"/>
    <w:rsid w:val="003E2DC8"/>
    <w:rsid w:val="003E3CC0"/>
    <w:rsid w:val="003E50C7"/>
    <w:rsid w:val="003F1980"/>
    <w:rsid w:val="003F2BE3"/>
    <w:rsid w:val="003F4FA6"/>
    <w:rsid w:val="003F56E2"/>
    <w:rsid w:val="003F6ABE"/>
    <w:rsid w:val="003F796E"/>
    <w:rsid w:val="00400D68"/>
    <w:rsid w:val="00401F6D"/>
    <w:rsid w:val="00402437"/>
    <w:rsid w:val="004074EA"/>
    <w:rsid w:val="0040752E"/>
    <w:rsid w:val="0041280E"/>
    <w:rsid w:val="00412DD6"/>
    <w:rsid w:val="004136EC"/>
    <w:rsid w:val="0041675F"/>
    <w:rsid w:val="0041692E"/>
    <w:rsid w:val="00416C04"/>
    <w:rsid w:val="00423FA0"/>
    <w:rsid w:val="00431FC7"/>
    <w:rsid w:val="00433C8F"/>
    <w:rsid w:val="0043737E"/>
    <w:rsid w:val="004402F7"/>
    <w:rsid w:val="004452FB"/>
    <w:rsid w:val="0044590F"/>
    <w:rsid w:val="00446084"/>
    <w:rsid w:val="00446255"/>
    <w:rsid w:val="0044710C"/>
    <w:rsid w:val="00452803"/>
    <w:rsid w:val="0045644A"/>
    <w:rsid w:val="00460BBF"/>
    <w:rsid w:val="0046267E"/>
    <w:rsid w:val="0046426C"/>
    <w:rsid w:val="004671C3"/>
    <w:rsid w:val="00470A6C"/>
    <w:rsid w:val="00474A25"/>
    <w:rsid w:val="00475394"/>
    <w:rsid w:val="004805FE"/>
    <w:rsid w:val="00487D10"/>
    <w:rsid w:val="00496560"/>
    <w:rsid w:val="004972DB"/>
    <w:rsid w:val="004A2160"/>
    <w:rsid w:val="004A36DC"/>
    <w:rsid w:val="004A7247"/>
    <w:rsid w:val="004B50E7"/>
    <w:rsid w:val="004C0200"/>
    <w:rsid w:val="004C1E7A"/>
    <w:rsid w:val="004C717C"/>
    <w:rsid w:val="004C741D"/>
    <w:rsid w:val="004C7CAA"/>
    <w:rsid w:val="004D0FEC"/>
    <w:rsid w:val="004D121F"/>
    <w:rsid w:val="004D3E8E"/>
    <w:rsid w:val="004D7DC7"/>
    <w:rsid w:val="004E2579"/>
    <w:rsid w:val="004E56F8"/>
    <w:rsid w:val="004E776F"/>
    <w:rsid w:val="004F05EB"/>
    <w:rsid w:val="004F097E"/>
    <w:rsid w:val="004F402B"/>
    <w:rsid w:val="004F5579"/>
    <w:rsid w:val="004F6EEF"/>
    <w:rsid w:val="00503ADE"/>
    <w:rsid w:val="0050766F"/>
    <w:rsid w:val="00511C9C"/>
    <w:rsid w:val="00512B38"/>
    <w:rsid w:val="00512BB0"/>
    <w:rsid w:val="00524E9E"/>
    <w:rsid w:val="00525CB8"/>
    <w:rsid w:val="00525E38"/>
    <w:rsid w:val="00530D25"/>
    <w:rsid w:val="005345B1"/>
    <w:rsid w:val="00537E39"/>
    <w:rsid w:val="0054266E"/>
    <w:rsid w:val="00543BF5"/>
    <w:rsid w:val="00551686"/>
    <w:rsid w:val="00554435"/>
    <w:rsid w:val="00555F5E"/>
    <w:rsid w:val="00560877"/>
    <w:rsid w:val="00562772"/>
    <w:rsid w:val="00562F0E"/>
    <w:rsid w:val="00566ECA"/>
    <w:rsid w:val="005675EC"/>
    <w:rsid w:val="00571A9F"/>
    <w:rsid w:val="0057379B"/>
    <w:rsid w:val="00583443"/>
    <w:rsid w:val="0058368A"/>
    <w:rsid w:val="005847A9"/>
    <w:rsid w:val="0058683A"/>
    <w:rsid w:val="00586BC2"/>
    <w:rsid w:val="00594BE3"/>
    <w:rsid w:val="00594DEE"/>
    <w:rsid w:val="005A147A"/>
    <w:rsid w:val="005A1FE3"/>
    <w:rsid w:val="005B0A04"/>
    <w:rsid w:val="005B102F"/>
    <w:rsid w:val="005B32AF"/>
    <w:rsid w:val="005B3D84"/>
    <w:rsid w:val="005B46A2"/>
    <w:rsid w:val="005B4D5E"/>
    <w:rsid w:val="005B5817"/>
    <w:rsid w:val="005B63B5"/>
    <w:rsid w:val="005B63C3"/>
    <w:rsid w:val="005B7DF3"/>
    <w:rsid w:val="005C1893"/>
    <w:rsid w:val="005C3305"/>
    <w:rsid w:val="005C620F"/>
    <w:rsid w:val="005C7517"/>
    <w:rsid w:val="005D1324"/>
    <w:rsid w:val="005D1632"/>
    <w:rsid w:val="005D4E72"/>
    <w:rsid w:val="005E09CB"/>
    <w:rsid w:val="005E36B6"/>
    <w:rsid w:val="005E382B"/>
    <w:rsid w:val="005F33F5"/>
    <w:rsid w:val="005F38C1"/>
    <w:rsid w:val="005F469E"/>
    <w:rsid w:val="00600DE8"/>
    <w:rsid w:val="006010A6"/>
    <w:rsid w:val="00601B25"/>
    <w:rsid w:val="00602FEA"/>
    <w:rsid w:val="00604751"/>
    <w:rsid w:val="006048CF"/>
    <w:rsid w:val="0060509C"/>
    <w:rsid w:val="0060561A"/>
    <w:rsid w:val="00606688"/>
    <w:rsid w:val="006125E7"/>
    <w:rsid w:val="006158DE"/>
    <w:rsid w:val="006162CE"/>
    <w:rsid w:val="00616A62"/>
    <w:rsid w:val="00617E74"/>
    <w:rsid w:val="00623DEE"/>
    <w:rsid w:val="00626C35"/>
    <w:rsid w:val="00630C27"/>
    <w:rsid w:val="00631DE0"/>
    <w:rsid w:val="00637ABA"/>
    <w:rsid w:val="00640508"/>
    <w:rsid w:val="00640855"/>
    <w:rsid w:val="00640A4E"/>
    <w:rsid w:val="006433E6"/>
    <w:rsid w:val="006441A3"/>
    <w:rsid w:val="00651651"/>
    <w:rsid w:val="006542A9"/>
    <w:rsid w:val="006646D5"/>
    <w:rsid w:val="00671A2C"/>
    <w:rsid w:val="00671CA2"/>
    <w:rsid w:val="00676DD0"/>
    <w:rsid w:val="00680D47"/>
    <w:rsid w:val="00681E33"/>
    <w:rsid w:val="006847B9"/>
    <w:rsid w:val="00685934"/>
    <w:rsid w:val="00685EDD"/>
    <w:rsid w:val="00687FB0"/>
    <w:rsid w:val="006902A5"/>
    <w:rsid w:val="00690528"/>
    <w:rsid w:val="00690AA4"/>
    <w:rsid w:val="006942D4"/>
    <w:rsid w:val="00694376"/>
    <w:rsid w:val="00695FA8"/>
    <w:rsid w:val="006A2AD6"/>
    <w:rsid w:val="006A307E"/>
    <w:rsid w:val="006A557B"/>
    <w:rsid w:val="006A5B6D"/>
    <w:rsid w:val="006A636B"/>
    <w:rsid w:val="006A7423"/>
    <w:rsid w:val="006B04EA"/>
    <w:rsid w:val="006B5434"/>
    <w:rsid w:val="006B5EF2"/>
    <w:rsid w:val="006C05E7"/>
    <w:rsid w:val="006C174E"/>
    <w:rsid w:val="006C345A"/>
    <w:rsid w:val="006C53B4"/>
    <w:rsid w:val="006D3375"/>
    <w:rsid w:val="006D59EE"/>
    <w:rsid w:val="006E2452"/>
    <w:rsid w:val="006E4B96"/>
    <w:rsid w:val="006E4FB9"/>
    <w:rsid w:val="006E5C21"/>
    <w:rsid w:val="006E7E50"/>
    <w:rsid w:val="006F344E"/>
    <w:rsid w:val="006F53D2"/>
    <w:rsid w:val="007019D2"/>
    <w:rsid w:val="00703254"/>
    <w:rsid w:val="0070435F"/>
    <w:rsid w:val="00706676"/>
    <w:rsid w:val="00707B64"/>
    <w:rsid w:val="0071089C"/>
    <w:rsid w:val="00710D73"/>
    <w:rsid w:val="00712056"/>
    <w:rsid w:val="00712498"/>
    <w:rsid w:val="00715705"/>
    <w:rsid w:val="00726B51"/>
    <w:rsid w:val="00726C8A"/>
    <w:rsid w:val="00727981"/>
    <w:rsid w:val="0073115E"/>
    <w:rsid w:val="007336CA"/>
    <w:rsid w:val="00733944"/>
    <w:rsid w:val="00734814"/>
    <w:rsid w:val="007402BE"/>
    <w:rsid w:val="00740A4E"/>
    <w:rsid w:val="00740AD6"/>
    <w:rsid w:val="00743CBD"/>
    <w:rsid w:val="00753856"/>
    <w:rsid w:val="00754D1C"/>
    <w:rsid w:val="0075735A"/>
    <w:rsid w:val="007603FD"/>
    <w:rsid w:val="00760B4D"/>
    <w:rsid w:val="007630C4"/>
    <w:rsid w:val="007704DB"/>
    <w:rsid w:val="00771225"/>
    <w:rsid w:val="00775E08"/>
    <w:rsid w:val="00776630"/>
    <w:rsid w:val="00776F15"/>
    <w:rsid w:val="00783DEC"/>
    <w:rsid w:val="00784586"/>
    <w:rsid w:val="00790AD6"/>
    <w:rsid w:val="007955B6"/>
    <w:rsid w:val="007976D3"/>
    <w:rsid w:val="00797A57"/>
    <w:rsid w:val="007A1C20"/>
    <w:rsid w:val="007A2333"/>
    <w:rsid w:val="007A258A"/>
    <w:rsid w:val="007A3B55"/>
    <w:rsid w:val="007A71B1"/>
    <w:rsid w:val="007A7F00"/>
    <w:rsid w:val="007B15F5"/>
    <w:rsid w:val="007B38CF"/>
    <w:rsid w:val="007B4720"/>
    <w:rsid w:val="007B479D"/>
    <w:rsid w:val="007C139D"/>
    <w:rsid w:val="007C3404"/>
    <w:rsid w:val="007C4B06"/>
    <w:rsid w:val="007C5405"/>
    <w:rsid w:val="007C7D4B"/>
    <w:rsid w:val="007D6357"/>
    <w:rsid w:val="007E09E2"/>
    <w:rsid w:val="007E1EF5"/>
    <w:rsid w:val="007E792A"/>
    <w:rsid w:val="007F06FC"/>
    <w:rsid w:val="007F3F7A"/>
    <w:rsid w:val="007F4161"/>
    <w:rsid w:val="007F4E1F"/>
    <w:rsid w:val="007F5732"/>
    <w:rsid w:val="007F74DD"/>
    <w:rsid w:val="007F7AB8"/>
    <w:rsid w:val="007F7CD1"/>
    <w:rsid w:val="00800519"/>
    <w:rsid w:val="008005F1"/>
    <w:rsid w:val="00800B3F"/>
    <w:rsid w:val="00800CF5"/>
    <w:rsid w:val="008054F6"/>
    <w:rsid w:val="00805821"/>
    <w:rsid w:val="008079F0"/>
    <w:rsid w:val="00811681"/>
    <w:rsid w:val="0081370A"/>
    <w:rsid w:val="00813A4E"/>
    <w:rsid w:val="008157E2"/>
    <w:rsid w:val="008209F3"/>
    <w:rsid w:val="00821620"/>
    <w:rsid w:val="00821E7A"/>
    <w:rsid w:val="00822D82"/>
    <w:rsid w:val="00823563"/>
    <w:rsid w:val="008244E9"/>
    <w:rsid w:val="008309B8"/>
    <w:rsid w:val="00830B0F"/>
    <w:rsid w:val="00833DD1"/>
    <w:rsid w:val="008415BD"/>
    <w:rsid w:val="0084164A"/>
    <w:rsid w:val="00841B94"/>
    <w:rsid w:val="0084362C"/>
    <w:rsid w:val="00844352"/>
    <w:rsid w:val="00850EAB"/>
    <w:rsid w:val="0085795E"/>
    <w:rsid w:val="00857F5F"/>
    <w:rsid w:val="008614C0"/>
    <w:rsid w:val="00864581"/>
    <w:rsid w:val="00866AC8"/>
    <w:rsid w:val="0087260F"/>
    <w:rsid w:val="008732FD"/>
    <w:rsid w:val="00876EBA"/>
    <w:rsid w:val="00887B6E"/>
    <w:rsid w:val="00892D22"/>
    <w:rsid w:val="00892EAF"/>
    <w:rsid w:val="0089480F"/>
    <w:rsid w:val="00897E2E"/>
    <w:rsid w:val="008A1766"/>
    <w:rsid w:val="008A187E"/>
    <w:rsid w:val="008A205F"/>
    <w:rsid w:val="008A39CA"/>
    <w:rsid w:val="008A459B"/>
    <w:rsid w:val="008A4E54"/>
    <w:rsid w:val="008A60CE"/>
    <w:rsid w:val="008A6D95"/>
    <w:rsid w:val="008B1AA4"/>
    <w:rsid w:val="008B28CF"/>
    <w:rsid w:val="008B5ED0"/>
    <w:rsid w:val="008B7A16"/>
    <w:rsid w:val="008C1394"/>
    <w:rsid w:val="008C2826"/>
    <w:rsid w:val="008C4021"/>
    <w:rsid w:val="008C4AD2"/>
    <w:rsid w:val="008C51D2"/>
    <w:rsid w:val="008C5D2F"/>
    <w:rsid w:val="008C6CB7"/>
    <w:rsid w:val="008D172D"/>
    <w:rsid w:val="008D38AD"/>
    <w:rsid w:val="008D6115"/>
    <w:rsid w:val="008D7534"/>
    <w:rsid w:val="008D7814"/>
    <w:rsid w:val="008E13D7"/>
    <w:rsid w:val="008E38E8"/>
    <w:rsid w:val="008E7FB2"/>
    <w:rsid w:val="008F19B9"/>
    <w:rsid w:val="008F221C"/>
    <w:rsid w:val="008F3776"/>
    <w:rsid w:val="008F7191"/>
    <w:rsid w:val="00900213"/>
    <w:rsid w:val="00906164"/>
    <w:rsid w:val="00906FA8"/>
    <w:rsid w:val="00910DA6"/>
    <w:rsid w:val="0091508E"/>
    <w:rsid w:val="0091698B"/>
    <w:rsid w:val="00917E41"/>
    <w:rsid w:val="0092011B"/>
    <w:rsid w:val="00921DF6"/>
    <w:rsid w:val="00926281"/>
    <w:rsid w:val="00926DCE"/>
    <w:rsid w:val="00930B7F"/>
    <w:rsid w:val="00931E70"/>
    <w:rsid w:val="00932EB5"/>
    <w:rsid w:val="00933EDB"/>
    <w:rsid w:val="009369AA"/>
    <w:rsid w:val="009424A0"/>
    <w:rsid w:val="0094477A"/>
    <w:rsid w:val="0094486F"/>
    <w:rsid w:val="00944C7F"/>
    <w:rsid w:val="00945BF2"/>
    <w:rsid w:val="0095006E"/>
    <w:rsid w:val="00950760"/>
    <w:rsid w:val="009535A3"/>
    <w:rsid w:val="009559DD"/>
    <w:rsid w:val="00955F30"/>
    <w:rsid w:val="009569B2"/>
    <w:rsid w:val="00960ED8"/>
    <w:rsid w:val="00965CC2"/>
    <w:rsid w:val="00972398"/>
    <w:rsid w:val="00973575"/>
    <w:rsid w:val="009735BE"/>
    <w:rsid w:val="00976AD6"/>
    <w:rsid w:val="0097787E"/>
    <w:rsid w:val="00980053"/>
    <w:rsid w:val="009803AD"/>
    <w:rsid w:val="00980F6C"/>
    <w:rsid w:val="00981714"/>
    <w:rsid w:val="00981FA2"/>
    <w:rsid w:val="00982377"/>
    <w:rsid w:val="00982888"/>
    <w:rsid w:val="00984E9D"/>
    <w:rsid w:val="009868A9"/>
    <w:rsid w:val="009936D6"/>
    <w:rsid w:val="009946A0"/>
    <w:rsid w:val="009961FA"/>
    <w:rsid w:val="009A0D6C"/>
    <w:rsid w:val="009A1E85"/>
    <w:rsid w:val="009A27BB"/>
    <w:rsid w:val="009A32F2"/>
    <w:rsid w:val="009A7DBB"/>
    <w:rsid w:val="009B0444"/>
    <w:rsid w:val="009B250B"/>
    <w:rsid w:val="009B333E"/>
    <w:rsid w:val="009B41A6"/>
    <w:rsid w:val="009C0BE3"/>
    <w:rsid w:val="009C0D51"/>
    <w:rsid w:val="009C2498"/>
    <w:rsid w:val="009C54B0"/>
    <w:rsid w:val="009C5682"/>
    <w:rsid w:val="009D0ACA"/>
    <w:rsid w:val="009D11D5"/>
    <w:rsid w:val="009D2A37"/>
    <w:rsid w:val="009D4305"/>
    <w:rsid w:val="009D5C92"/>
    <w:rsid w:val="009D6F1E"/>
    <w:rsid w:val="009E3FE2"/>
    <w:rsid w:val="009E5D0A"/>
    <w:rsid w:val="009F09D1"/>
    <w:rsid w:val="009F2371"/>
    <w:rsid w:val="009F4635"/>
    <w:rsid w:val="009F6421"/>
    <w:rsid w:val="009F7C73"/>
    <w:rsid w:val="00A1038A"/>
    <w:rsid w:val="00A12DE7"/>
    <w:rsid w:val="00A20BBA"/>
    <w:rsid w:val="00A25483"/>
    <w:rsid w:val="00A25874"/>
    <w:rsid w:val="00A26AF7"/>
    <w:rsid w:val="00A2734F"/>
    <w:rsid w:val="00A3018D"/>
    <w:rsid w:val="00A332C8"/>
    <w:rsid w:val="00A33F33"/>
    <w:rsid w:val="00A35B8C"/>
    <w:rsid w:val="00A366E8"/>
    <w:rsid w:val="00A3780C"/>
    <w:rsid w:val="00A40613"/>
    <w:rsid w:val="00A419F5"/>
    <w:rsid w:val="00A42DB7"/>
    <w:rsid w:val="00A44D17"/>
    <w:rsid w:val="00A45BD5"/>
    <w:rsid w:val="00A47442"/>
    <w:rsid w:val="00A47C55"/>
    <w:rsid w:val="00A5042A"/>
    <w:rsid w:val="00A506C9"/>
    <w:rsid w:val="00A51AA0"/>
    <w:rsid w:val="00A51E4D"/>
    <w:rsid w:val="00A567F4"/>
    <w:rsid w:val="00A60E8F"/>
    <w:rsid w:val="00A62D50"/>
    <w:rsid w:val="00A66872"/>
    <w:rsid w:val="00A668C7"/>
    <w:rsid w:val="00A71FD8"/>
    <w:rsid w:val="00A74CA3"/>
    <w:rsid w:val="00A8084F"/>
    <w:rsid w:val="00A80CCA"/>
    <w:rsid w:val="00A8154C"/>
    <w:rsid w:val="00A81806"/>
    <w:rsid w:val="00A847DA"/>
    <w:rsid w:val="00A851D8"/>
    <w:rsid w:val="00A852B1"/>
    <w:rsid w:val="00A8562A"/>
    <w:rsid w:val="00A862A2"/>
    <w:rsid w:val="00A865DC"/>
    <w:rsid w:val="00A86F87"/>
    <w:rsid w:val="00A87381"/>
    <w:rsid w:val="00A87D70"/>
    <w:rsid w:val="00A9108D"/>
    <w:rsid w:val="00A92362"/>
    <w:rsid w:val="00A93EAD"/>
    <w:rsid w:val="00A940DC"/>
    <w:rsid w:val="00A955A3"/>
    <w:rsid w:val="00A96EF6"/>
    <w:rsid w:val="00A9703A"/>
    <w:rsid w:val="00A9741D"/>
    <w:rsid w:val="00AA0E8F"/>
    <w:rsid w:val="00AA23B4"/>
    <w:rsid w:val="00AA3708"/>
    <w:rsid w:val="00AA4841"/>
    <w:rsid w:val="00AB65B3"/>
    <w:rsid w:val="00AC1359"/>
    <w:rsid w:val="00AC675F"/>
    <w:rsid w:val="00AC74A6"/>
    <w:rsid w:val="00AE53EB"/>
    <w:rsid w:val="00AE622F"/>
    <w:rsid w:val="00AF6826"/>
    <w:rsid w:val="00B00570"/>
    <w:rsid w:val="00B02070"/>
    <w:rsid w:val="00B03E7D"/>
    <w:rsid w:val="00B07E25"/>
    <w:rsid w:val="00B11DCF"/>
    <w:rsid w:val="00B12A00"/>
    <w:rsid w:val="00B160B2"/>
    <w:rsid w:val="00B1668F"/>
    <w:rsid w:val="00B16747"/>
    <w:rsid w:val="00B24EF0"/>
    <w:rsid w:val="00B257D7"/>
    <w:rsid w:val="00B26D76"/>
    <w:rsid w:val="00B27F75"/>
    <w:rsid w:val="00B303E5"/>
    <w:rsid w:val="00B31B4B"/>
    <w:rsid w:val="00B376B0"/>
    <w:rsid w:val="00B37908"/>
    <w:rsid w:val="00B37BA7"/>
    <w:rsid w:val="00B40A52"/>
    <w:rsid w:val="00B510E5"/>
    <w:rsid w:val="00B52A69"/>
    <w:rsid w:val="00B5389D"/>
    <w:rsid w:val="00B53E35"/>
    <w:rsid w:val="00B5448A"/>
    <w:rsid w:val="00B57967"/>
    <w:rsid w:val="00B65E37"/>
    <w:rsid w:val="00B66CF8"/>
    <w:rsid w:val="00B67ACA"/>
    <w:rsid w:val="00B70FB4"/>
    <w:rsid w:val="00B71D3B"/>
    <w:rsid w:val="00B7538E"/>
    <w:rsid w:val="00B75549"/>
    <w:rsid w:val="00B76EDA"/>
    <w:rsid w:val="00B81F58"/>
    <w:rsid w:val="00B8391D"/>
    <w:rsid w:val="00B84743"/>
    <w:rsid w:val="00B91801"/>
    <w:rsid w:val="00B932B8"/>
    <w:rsid w:val="00BA1011"/>
    <w:rsid w:val="00BA1095"/>
    <w:rsid w:val="00BA2EDE"/>
    <w:rsid w:val="00BA37BC"/>
    <w:rsid w:val="00BA56E1"/>
    <w:rsid w:val="00BA695F"/>
    <w:rsid w:val="00BB2D2F"/>
    <w:rsid w:val="00BB4006"/>
    <w:rsid w:val="00BB40C6"/>
    <w:rsid w:val="00BB5864"/>
    <w:rsid w:val="00BC284A"/>
    <w:rsid w:val="00BC36D3"/>
    <w:rsid w:val="00BD7ADE"/>
    <w:rsid w:val="00BD7D6F"/>
    <w:rsid w:val="00BE373D"/>
    <w:rsid w:val="00BE507C"/>
    <w:rsid w:val="00BE6733"/>
    <w:rsid w:val="00BF54B7"/>
    <w:rsid w:val="00C04008"/>
    <w:rsid w:val="00C07BDE"/>
    <w:rsid w:val="00C07E81"/>
    <w:rsid w:val="00C107D4"/>
    <w:rsid w:val="00C10DF6"/>
    <w:rsid w:val="00C165EB"/>
    <w:rsid w:val="00C207D2"/>
    <w:rsid w:val="00C21F1A"/>
    <w:rsid w:val="00C235EC"/>
    <w:rsid w:val="00C23EB9"/>
    <w:rsid w:val="00C245B9"/>
    <w:rsid w:val="00C25D4E"/>
    <w:rsid w:val="00C30F2C"/>
    <w:rsid w:val="00C3368E"/>
    <w:rsid w:val="00C359EC"/>
    <w:rsid w:val="00C36510"/>
    <w:rsid w:val="00C400E6"/>
    <w:rsid w:val="00C40104"/>
    <w:rsid w:val="00C417FC"/>
    <w:rsid w:val="00C47C19"/>
    <w:rsid w:val="00C5083C"/>
    <w:rsid w:val="00C50C2A"/>
    <w:rsid w:val="00C5272A"/>
    <w:rsid w:val="00C54860"/>
    <w:rsid w:val="00C578C7"/>
    <w:rsid w:val="00C60C9F"/>
    <w:rsid w:val="00C6113F"/>
    <w:rsid w:val="00C61ED1"/>
    <w:rsid w:val="00C63DDE"/>
    <w:rsid w:val="00C648F5"/>
    <w:rsid w:val="00C66DAE"/>
    <w:rsid w:val="00C70238"/>
    <w:rsid w:val="00C77A89"/>
    <w:rsid w:val="00C80056"/>
    <w:rsid w:val="00C819D2"/>
    <w:rsid w:val="00C82441"/>
    <w:rsid w:val="00C85A88"/>
    <w:rsid w:val="00C868F2"/>
    <w:rsid w:val="00C86BCB"/>
    <w:rsid w:val="00C86F20"/>
    <w:rsid w:val="00C8796D"/>
    <w:rsid w:val="00C92682"/>
    <w:rsid w:val="00C93BC5"/>
    <w:rsid w:val="00C96C17"/>
    <w:rsid w:val="00C96D9F"/>
    <w:rsid w:val="00CA037C"/>
    <w:rsid w:val="00CA162C"/>
    <w:rsid w:val="00CA190F"/>
    <w:rsid w:val="00CA2269"/>
    <w:rsid w:val="00CA591F"/>
    <w:rsid w:val="00CA5B47"/>
    <w:rsid w:val="00CA5E5F"/>
    <w:rsid w:val="00CA7ADA"/>
    <w:rsid w:val="00CB2AA3"/>
    <w:rsid w:val="00CB4BAF"/>
    <w:rsid w:val="00CB6F35"/>
    <w:rsid w:val="00CC2B1A"/>
    <w:rsid w:val="00CC6230"/>
    <w:rsid w:val="00CD516D"/>
    <w:rsid w:val="00CD604F"/>
    <w:rsid w:val="00CE05FB"/>
    <w:rsid w:val="00CE1998"/>
    <w:rsid w:val="00CE1CDF"/>
    <w:rsid w:val="00CE606E"/>
    <w:rsid w:val="00CE644D"/>
    <w:rsid w:val="00CF0F7F"/>
    <w:rsid w:val="00CF12F2"/>
    <w:rsid w:val="00CF1883"/>
    <w:rsid w:val="00CF3C3E"/>
    <w:rsid w:val="00CF43B6"/>
    <w:rsid w:val="00D0057E"/>
    <w:rsid w:val="00D046E6"/>
    <w:rsid w:val="00D049C8"/>
    <w:rsid w:val="00D05921"/>
    <w:rsid w:val="00D07E5F"/>
    <w:rsid w:val="00D1089E"/>
    <w:rsid w:val="00D162F1"/>
    <w:rsid w:val="00D17A57"/>
    <w:rsid w:val="00D23874"/>
    <w:rsid w:val="00D30F5E"/>
    <w:rsid w:val="00D33884"/>
    <w:rsid w:val="00D33D29"/>
    <w:rsid w:val="00D420D3"/>
    <w:rsid w:val="00D441CA"/>
    <w:rsid w:val="00D44FC8"/>
    <w:rsid w:val="00D52D03"/>
    <w:rsid w:val="00D54145"/>
    <w:rsid w:val="00D545F1"/>
    <w:rsid w:val="00D57C9B"/>
    <w:rsid w:val="00D60A5B"/>
    <w:rsid w:val="00D625E0"/>
    <w:rsid w:val="00D62FDD"/>
    <w:rsid w:val="00D65DDC"/>
    <w:rsid w:val="00D660FA"/>
    <w:rsid w:val="00D71196"/>
    <w:rsid w:val="00D71204"/>
    <w:rsid w:val="00D7205E"/>
    <w:rsid w:val="00D72E77"/>
    <w:rsid w:val="00D73C40"/>
    <w:rsid w:val="00D82370"/>
    <w:rsid w:val="00D82477"/>
    <w:rsid w:val="00D82C95"/>
    <w:rsid w:val="00D82DE4"/>
    <w:rsid w:val="00D83FD7"/>
    <w:rsid w:val="00D84AA0"/>
    <w:rsid w:val="00D85A00"/>
    <w:rsid w:val="00D86358"/>
    <w:rsid w:val="00D900FB"/>
    <w:rsid w:val="00D92D83"/>
    <w:rsid w:val="00D930DB"/>
    <w:rsid w:val="00D94C5A"/>
    <w:rsid w:val="00D95F26"/>
    <w:rsid w:val="00D96006"/>
    <w:rsid w:val="00DA1F8A"/>
    <w:rsid w:val="00DA253F"/>
    <w:rsid w:val="00DA41C9"/>
    <w:rsid w:val="00DA7845"/>
    <w:rsid w:val="00DB1A29"/>
    <w:rsid w:val="00DB2A4B"/>
    <w:rsid w:val="00DC0CEA"/>
    <w:rsid w:val="00DC2312"/>
    <w:rsid w:val="00DC2A7B"/>
    <w:rsid w:val="00DC4867"/>
    <w:rsid w:val="00DD089A"/>
    <w:rsid w:val="00DD51D8"/>
    <w:rsid w:val="00DD7451"/>
    <w:rsid w:val="00DE034A"/>
    <w:rsid w:val="00DE29D4"/>
    <w:rsid w:val="00DE78B5"/>
    <w:rsid w:val="00DF2F55"/>
    <w:rsid w:val="00DF4EE9"/>
    <w:rsid w:val="00DF72E7"/>
    <w:rsid w:val="00E00807"/>
    <w:rsid w:val="00E00EBB"/>
    <w:rsid w:val="00E0337B"/>
    <w:rsid w:val="00E03402"/>
    <w:rsid w:val="00E0395C"/>
    <w:rsid w:val="00E062ED"/>
    <w:rsid w:val="00E10F6D"/>
    <w:rsid w:val="00E12DDE"/>
    <w:rsid w:val="00E13902"/>
    <w:rsid w:val="00E13A63"/>
    <w:rsid w:val="00E22050"/>
    <w:rsid w:val="00E252B6"/>
    <w:rsid w:val="00E26F9B"/>
    <w:rsid w:val="00E30DEB"/>
    <w:rsid w:val="00E32E8A"/>
    <w:rsid w:val="00E33676"/>
    <w:rsid w:val="00E33C93"/>
    <w:rsid w:val="00E362FD"/>
    <w:rsid w:val="00E43586"/>
    <w:rsid w:val="00E437DA"/>
    <w:rsid w:val="00E4562F"/>
    <w:rsid w:val="00E4570A"/>
    <w:rsid w:val="00E52941"/>
    <w:rsid w:val="00E55C19"/>
    <w:rsid w:val="00E5627D"/>
    <w:rsid w:val="00E57D61"/>
    <w:rsid w:val="00E615D8"/>
    <w:rsid w:val="00E61CA7"/>
    <w:rsid w:val="00E61DB4"/>
    <w:rsid w:val="00E7051A"/>
    <w:rsid w:val="00E7516A"/>
    <w:rsid w:val="00E76813"/>
    <w:rsid w:val="00E775DB"/>
    <w:rsid w:val="00E80039"/>
    <w:rsid w:val="00E834FC"/>
    <w:rsid w:val="00E84778"/>
    <w:rsid w:val="00E857D4"/>
    <w:rsid w:val="00E87305"/>
    <w:rsid w:val="00E902CC"/>
    <w:rsid w:val="00E917E2"/>
    <w:rsid w:val="00E93F17"/>
    <w:rsid w:val="00E96BF7"/>
    <w:rsid w:val="00EA0471"/>
    <w:rsid w:val="00EA176C"/>
    <w:rsid w:val="00EA1C22"/>
    <w:rsid w:val="00EA49BD"/>
    <w:rsid w:val="00EA7E75"/>
    <w:rsid w:val="00EB0117"/>
    <w:rsid w:val="00EC29EB"/>
    <w:rsid w:val="00EC3F9E"/>
    <w:rsid w:val="00EC6153"/>
    <w:rsid w:val="00ED010A"/>
    <w:rsid w:val="00ED1401"/>
    <w:rsid w:val="00ED2473"/>
    <w:rsid w:val="00ED5A37"/>
    <w:rsid w:val="00EE26D6"/>
    <w:rsid w:val="00EE3BF6"/>
    <w:rsid w:val="00EE73BF"/>
    <w:rsid w:val="00EE7988"/>
    <w:rsid w:val="00F01415"/>
    <w:rsid w:val="00F01862"/>
    <w:rsid w:val="00F018E2"/>
    <w:rsid w:val="00F040DA"/>
    <w:rsid w:val="00F04FEE"/>
    <w:rsid w:val="00F070A2"/>
    <w:rsid w:val="00F07B8A"/>
    <w:rsid w:val="00F13335"/>
    <w:rsid w:val="00F14841"/>
    <w:rsid w:val="00F1649C"/>
    <w:rsid w:val="00F2143A"/>
    <w:rsid w:val="00F22E2C"/>
    <w:rsid w:val="00F236FE"/>
    <w:rsid w:val="00F239E6"/>
    <w:rsid w:val="00F2447B"/>
    <w:rsid w:val="00F26306"/>
    <w:rsid w:val="00F26E10"/>
    <w:rsid w:val="00F34238"/>
    <w:rsid w:val="00F36ED3"/>
    <w:rsid w:val="00F406DB"/>
    <w:rsid w:val="00F41EC9"/>
    <w:rsid w:val="00F42979"/>
    <w:rsid w:val="00F42F1D"/>
    <w:rsid w:val="00F4403D"/>
    <w:rsid w:val="00F4539F"/>
    <w:rsid w:val="00F458F5"/>
    <w:rsid w:val="00F50F18"/>
    <w:rsid w:val="00F55B61"/>
    <w:rsid w:val="00F55F97"/>
    <w:rsid w:val="00F5697B"/>
    <w:rsid w:val="00F57231"/>
    <w:rsid w:val="00F57D6C"/>
    <w:rsid w:val="00F623C1"/>
    <w:rsid w:val="00F62C5C"/>
    <w:rsid w:val="00F63352"/>
    <w:rsid w:val="00F634D9"/>
    <w:rsid w:val="00F6693A"/>
    <w:rsid w:val="00F71460"/>
    <w:rsid w:val="00F723F5"/>
    <w:rsid w:val="00F74795"/>
    <w:rsid w:val="00F75853"/>
    <w:rsid w:val="00F81FF1"/>
    <w:rsid w:val="00F85EB2"/>
    <w:rsid w:val="00F9424F"/>
    <w:rsid w:val="00F95683"/>
    <w:rsid w:val="00F96565"/>
    <w:rsid w:val="00F97CDF"/>
    <w:rsid w:val="00FA0579"/>
    <w:rsid w:val="00FA3532"/>
    <w:rsid w:val="00FA51CB"/>
    <w:rsid w:val="00FA58AD"/>
    <w:rsid w:val="00FA6B86"/>
    <w:rsid w:val="00FB1068"/>
    <w:rsid w:val="00FB6501"/>
    <w:rsid w:val="00FC17A0"/>
    <w:rsid w:val="00FC2D4E"/>
    <w:rsid w:val="00FC5863"/>
    <w:rsid w:val="00FC6D52"/>
    <w:rsid w:val="00FC7F67"/>
    <w:rsid w:val="00FD193D"/>
    <w:rsid w:val="00FD37A3"/>
    <w:rsid w:val="00FD4265"/>
    <w:rsid w:val="00FD4454"/>
    <w:rsid w:val="00FD4D7A"/>
    <w:rsid w:val="00FD5556"/>
    <w:rsid w:val="00FD5DE5"/>
    <w:rsid w:val="00FE0B14"/>
    <w:rsid w:val="00FE0DDC"/>
    <w:rsid w:val="00FE0E17"/>
    <w:rsid w:val="00FE1FED"/>
    <w:rsid w:val="00FE3D86"/>
    <w:rsid w:val="00FE4994"/>
    <w:rsid w:val="00FF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1C855"/>
  <w15:chartTrackingRefBased/>
  <w15:docId w15:val="{24B2B00F-A27E-40B0-8414-EE95831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heme="minorBidi"/>
        <w:color w:val="000000" w:themeColor="text1"/>
        <w:kern w:val="2"/>
        <w:sz w:val="32"/>
        <w:szCs w:val="8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48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52E"/>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BD7ADE"/>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3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3C1"/>
    <w:rPr>
      <w:sz w:val="18"/>
      <w:szCs w:val="18"/>
    </w:rPr>
  </w:style>
  <w:style w:type="paragraph" w:styleId="a5">
    <w:name w:val="footer"/>
    <w:basedOn w:val="a"/>
    <w:link w:val="a6"/>
    <w:uiPriority w:val="99"/>
    <w:unhideWhenUsed/>
    <w:rsid w:val="00F623C1"/>
    <w:pPr>
      <w:tabs>
        <w:tab w:val="center" w:pos="4153"/>
        <w:tab w:val="right" w:pos="8306"/>
      </w:tabs>
      <w:snapToGrid w:val="0"/>
      <w:jc w:val="left"/>
    </w:pPr>
    <w:rPr>
      <w:sz w:val="18"/>
      <w:szCs w:val="18"/>
    </w:rPr>
  </w:style>
  <w:style w:type="character" w:customStyle="1" w:styleId="a6">
    <w:name w:val="页脚 字符"/>
    <w:basedOn w:val="a0"/>
    <w:link w:val="a5"/>
    <w:uiPriority w:val="99"/>
    <w:rsid w:val="00F623C1"/>
    <w:rPr>
      <w:sz w:val="18"/>
      <w:szCs w:val="18"/>
    </w:rPr>
  </w:style>
  <w:style w:type="paragraph" w:styleId="a7">
    <w:name w:val="List Paragraph"/>
    <w:basedOn w:val="a"/>
    <w:uiPriority w:val="34"/>
    <w:qFormat/>
    <w:rsid w:val="00586BC2"/>
    <w:pPr>
      <w:ind w:firstLineChars="200" w:firstLine="420"/>
    </w:pPr>
  </w:style>
  <w:style w:type="paragraph" w:styleId="a8">
    <w:name w:val="Date"/>
    <w:basedOn w:val="a"/>
    <w:next w:val="a"/>
    <w:link w:val="a9"/>
    <w:uiPriority w:val="99"/>
    <w:semiHidden/>
    <w:unhideWhenUsed/>
    <w:rsid w:val="000220B9"/>
    <w:pPr>
      <w:ind w:leftChars="2500" w:left="100"/>
    </w:pPr>
  </w:style>
  <w:style w:type="character" w:customStyle="1" w:styleId="a9">
    <w:name w:val="日期 字符"/>
    <w:basedOn w:val="a0"/>
    <w:link w:val="a8"/>
    <w:uiPriority w:val="99"/>
    <w:semiHidden/>
    <w:rsid w:val="000220B9"/>
  </w:style>
  <w:style w:type="character" w:customStyle="1" w:styleId="10">
    <w:name w:val="标题 1 字符"/>
    <w:basedOn w:val="a0"/>
    <w:link w:val="1"/>
    <w:uiPriority w:val="9"/>
    <w:rsid w:val="00C648F5"/>
    <w:rPr>
      <w:b/>
      <w:bCs/>
      <w:kern w:val="44"/>
      <w:sz w:val="44"/>
      <w:szCs w:val="44"/>
    </w:rPr>
  </w:style>
  <w:style w:type="paragraph" w:styleId="aa">
    <w:name w:val="Normal (Web)"/>
    <w:basedOn w:val="a"/>
    <w:uiPriority w:val="99"/>
    <w:semiHidden/>
    <w:unhideWhenUsed/>
    <w:rsid w:val="00142A4D"/>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20">
    <w:name w:val="标题 2 字符"/>
    <w:basedOn w:val="a0"/>
    <w:link w:val="2"/>
    <w:uiPriority w:val="9"/>
    <w:rsid w:val="0040752E"/>
    <w:rPr>
      <w:rFonts w:asciiTheme="majorHAnsi" w:eastAsiaTheme="majorEastAsia" w:hAnsiTheme="majorHAnsi" w:cstheme="majorBidi"/>
      <w:b/>
      <w:bCs/>
      <w:szCs w:val="32"/>
    </w:rPr>
  </w:style>
  <w:style w:type="character" w:customStyle="1" w:styleId="30">
    <w:name w:val="标题 3 字符"/>
    <w:basedOn w:val="a0"/>
    <w:link w:val="3"/>
    <w:uiPriority w:val="9"/>
    <w:rsid w:val="00BD7ADE"/>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32729">
      <w:bodyDiv w:val="1"/>
      <w:marLeft w:val="0"/>
      <w:marRight w:val="0"/>
      <w:marTop w:val="0"/>
      <w:marBottom w:val="0"/>
      <w:divBdr>
        <w:top w:val="none" w:sz="0" w:space="0" w:color="auto"/>
        <w:left w:val="none" w:sz="0" w:space="0" w:color="auto"/>
        <w:bottom w:val="none" w:sz="0" w:space="0" w:color="auto"/>
        <w:right w:val="none" w:sz="0" w:space="0" w:color="auto"/>
      </w:divBdr>
    </w:div>
    <w:div w:id="777915952">
      <w:bodyDiv w:val="1"/>
      <w:marLeft w:val="0"/>
      <w:marRight w:val="0"/>
      <w:marTop w:val="0"/>
      <w:marBottom w:val="0"/>
      <w:divBdr>
        <w:top w:val="none" w:sz="0" w:space="0" w:color="auto"/>
        <w:left w:val="none" w:sz="0" w:space="0" w:color="auto"/>
        <w:bottom w:val="none" w:sz="0" w:space="0" w:color="auto"/>
        <w:right w:val="none" w:sz="0" w:space="0" w:color="auto"/>
      </w:divBdr>
    </w:div>
    <w:div w:id="10186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03E07-7532-D842-BD12-7437F330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15</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kinedy wang</dc:creator>
  <cp:keywords/>
  <dc:description/>
  <cp:lastModifiedBy>Devin Wang</cp:lastModifiedBy>
  <cp:revision>1130</cp:revision>
  <cp:lastPrinted>2018-04-13T03:08:00Z</cp:lastPrinted>
  <dcterms:created xsi:type="dcterms:W3CDTF">2018-04-03T07:40:00Z</dcterms:created>
  <dcterms:modified xsi:type="dcterms:W3CDTF">2018-04-24T08:43:00Z</dcterms:modified>
</cp:coreProperties>
</file>