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D828FC">
        <w:rPr>
          <w:rFonts w:ascii="黑体" w:eastAsia="黑体" w:hAnsi="黑体" w:cs="方正小标宋简体"/>
          <w:sz w:val="40"/>
          <w:szCs w:val="40"/>
          <w:u w:val="single"/>
        </w:rPr>
        <w:t>8</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D828FC">
        <w:rPr>
          <w:rFonts w:ascii="楷体" w:eastAsia="楷体" w:hAnsi="楷体" w:cs="楷体"/>
          <w:sz w:val="28"/>
          <w:szCs w:val="28"/>
          <w:u w:val="single"/>
        </w:rPr>
        <w:t>2</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A530E6">
        <w:rPr>
          <w:rFonts w:ascii="楷体" w:eastAsia="楷体" w:hAnsi="楷体" w:cs="楷体" w:hint="eastAsia"/>
          <w:sz w:val="28"/>
          <w:szCs w:val="28"/>
          <w:u w:val="single"/>
        </w:rPr>
        <w:t>22</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D828FC">
        <w:rPr>
          <w:rFonts w:ascii="楷体" w:eastAsia="楷体" w:hAnsi="楷体" w:cs="楷体"/>
          <w:sz w:val="28"/>
          <w:szCs w:val="28"/>
          <w:u w:val="single"/>
        </w:rPr>
        <w:t>2</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D828FC">
        <w:rPr>
          <w:rFonts w:ascii="楷体" w:eastAsia="楷体" w:hAnsi="楷体" w:cs="楷体" w:hint="eastAsia"/>
          <w:sz w:val="28"/>
          <w:szCs w:val="28"/>
          <w:u w:val="single"/>
        </w:rPr>
        <w:t>2</w:t>
      </w:r>
      <w:r w:rsidR="00D828FC">
        <w:rPr>
          <w:rFonts w:ascii="楷体" w:eastAsia="楷体" w:hAnsi="楷体" w:cs="楷体"/>
          <w:sz w:val="28"/>
          <w:szCs w:val="28"/>
          <w:u w:val="single"/>
        </w:rPr>
        <w:t>4</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D828FC" w:rsidRDefault="00F3634E" w:rsidP="00D828FC">
      <w:pPr>
        <w:spacing w:line="500" w:lineRule="atLeast"/>
        <w:ind w:firstLineChars="200" w:firstLine="560"/>
        <w:rPr>
          <w:rFonts w:ascii="宋体" w:eastAsia="宋体" w:hAnsi="宋体" w:cs="宋体"/>
          <w:bCs/>
          <w:sz w:val="28"/>
          <w:szCs w:val="28"/>
        </w:rPr>
      </w:pPr>
      <w:r w:rsidRPr="00812318">
        <w:rPr>
          <w:rFonts w:ascii="宋体" w:eastAsia="宋体" w:hAnsi="宋体" w:cs="宋体" w:hint="eastAsia"/>
          <w:bCs/>
          <w:sz w:val="28"/>
          <w:szCs w:val="28"/>
        </w:rPr>
        <w:t>1、</w:t>
      </w:r>
      <w:r w:rsidR="00D828FC">
        <w:rPr>
          <w:rFonts w:ascii="宋体" w:eastAsia="宋体" w:hAnsi="宋体" w:cs="宋体" w:hint="eastAsia"/>
          <w:bCs/>
          <w:sz w:val="28"/>
          <w:szCs w:val="28"/>
        </w:rPr>
        <w:t>项目招标：根据调研情况、客户协商，复旦微电子的招标公示已于2月14日挂网。目前凯歌软件、快杏方、复旦微电子三家公司的相关材料已经提交并转交给招标公司，</w:t>
      </w:r>
      <w:r w:rsidR="00D828FC" w:rsidRPr="00D828FC">
        <w:rPr>
          <w:rFonts w:ascii="宋体" w:eastAsia="宋体" w:hAnsi="宋体" w:cs="宋体" w:hint="eastAsia"/>
          <w:bCs/>
          <w:sz w:val="28"/>
          <w:szCs w:val="28"/>
        </w:rPr>
        <w:t>等投资协议签署后即可挂网公示</w:t>
      </w:r>
      <w:r w:rsidR="00D828FC">
        <w:rPr>
          <w:rFonts w:ascii="宋体" w:eastAsia="宋体" w:hAnsi="宋体" w:cs="宋体" w:hint="eastAsia"/>
          <w:bCs/>
          <w:sz w:val="28"/>
          <w:szCs w:val="28"/>
        </w:rPr>
        <w:t>。</w:t>
      </w:r>
    </w:p>
    <w:p w:rsidR="00D828FC" w:rsidRPr="00D828FC" w:rsidRDefault="00D828FC" w:rsidP="00D828FC">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2、卫计委协议签署：2月1</w:t>
      </w:r>
      <w:r>
        <w:rPr>
          <w:rFonts w:ascii="宋体" w:eastAsia="宋体" w:hAnsi="宋体" w:cs="宋体"/>
          <w:bCs/>
          <w:sz w:val="28"/>
          <w:szCs w:val="28"/>
        </w:rPr>
        <w:t>4</w:t>
      </w:r>
      <w:r>
        <w:rPr>
          <w:rFonts w:ascii="宋体" w:eastAsia="宋体" w:hAnsi="宋体" w:cs="宋体" w:hint="eastAsia"/>
          <w:bCs/>
          <w:sz w:val="28"/>
          <w:szCs w:val="28"/>
        </w:rPr>
        <w:t>日，卫计委已经签署了与楚天云的投资合作协议。待公司与集团过会签署后，武汉智慧健康项目各类运营即正式深入展开。</w:t>
      </w:r>
    </w:p>
    <w:p w:rsidR="00897F79" w:rsidRPr="00B12FB0" w:rsidRDefault="00812318" w:rsidP="00812318">
      <w:pPr>
        <w:pStyle w:val="a8"/>
        <w:spacing w:line="500" w:lineRule="atLeast"/>
        <w:ind w:firstLineChars="0" w:firstLine="0"/>
        <w:rPr>
          <w:rFonts w:ascii="新宋体" w:eastAsia="新宋体" w:hAnsi="新宋体"/>
          <w:sz w:val="28"/>
          <w:szCs w:val="28"/>
        </w:rPr>
      </w:pPr>
      <w:r>
        <w:rPr>
          <w:rFonts w:ascii="宋体" w:eastAsia="宋体" w:hAnsi="宋体" w:cs="宋体" w:hint="eastAsia"/>
          <w:b/>
          <w:bCs/>
          <w:sz w:val="28"/>
          <w:szCs w:val="28"/>
        </w:rPr>
        <w:t>二、</w:t>
      </w:r>
      <w:r w:rsidR="00897F79" w:rsidRPr="0075348A">
        <w:rPr>
          <w:rFonts w:ascii="宋体" w:eastAsia="宋体" w:hAnsi="宋体" w:cs="宋体" w:hint="eastAsia"/>
          <w:b/>
          <w:bCs/>
          <w:sz w:val="28"/>
          <w:szCs w:val="28"/>
        </w:rPr>
        <w:t>本周主要工作进展：</w:t>
      </w:r>
    </w:p>
    <w:p w:rsidR="00E51B09" w:rsidRPr="007962A5" w:rsidRDefault="00BE54BC" w:rsidP="007962A5">
      <w:pPr>
        <w:pStyle w:val="a8"/>
        <w:spacing w:line="500" w:lineRule="atLeast"/>
        <w:ind w:firstLine="562"/>
        <w:rPr>
          <w:rFonts w:ascii="宋体" w:eastAsia="宋体" w:hAnsi="宋体" w:cs="宋体"/>
          <w:b/>
          <w:bCs/>
          <w:sz w:val="28"/>
          <w:szCs w:val="28"/>
        </w:rPr>
      </w:pPr>
      <w:r w:rsidRPr="007962A5">
        <w:rPr>
          <w:rFonts w:ascii="宋体" w:eastAsia="宋体" w:hAnsi="宋体" w:cs="宋体" w:hint="eastAsia"/>
          <w:b/>
          <w:bCs/>
          <w:sz w:val="28"/>
          <w:szCs w:val="28"/>
        </w:rPr>
        <w:t>（一）</w:t>
      </w:r>
      <w:r w:rsidR="007962A5" w:rsidRPr="007962A5">
        <w:rPr>
          <w:rFonts w:ascii="宋体" w:eastAsia="宋体" w:hAnsi="宋体" w:cs="宋体" w:hint="eastAsia"/>
          <w:b/>
          <w:bCs/>
          <w:sz w:val="28"/>
          <w:szCs w:val="28"/>
        </w:rPr>
        <w:t>项目推进</w:t>
      </w:r>
    </w:p>
    <w:p w:rsidR="00B8282B" w:rsidRDefault="007962A5" w:rsidP="00E51B09">
      <w:pPr>
        <w:pStyle w:val="aa"/>
        <w:ind w:firstLine="560"/>
        <w:rPr>
          <w:rFonts w:ascii="宋体" w:eastAsia="宋体" w:hAnsi="宋体" w:cs="宋体"/>
          <w:bCs/>
          <w:sz w:val="28"/>
          <w:szCs w:val="28"/>
        </w:rPr>
      </w:pPr>
      <w:r>
        <w:rPr>
          <w:color w:val="000000" w:themeColor="text1"/>
          <w:sz w:val="28"/>
        </w:rPr>
        <w:t>1</w:t>
      </w:r>
      <w:r w:rsidR="00E51B09" w:rsidRPr="007E3DC5">
        <w:rPr>
          <w:rFonts w:hint="eastAsia"/>
          <w:color w:val="000000" w:themeColor="text1"/>
          <w:sz w:val="28"/>
        </w:rPr>
        <w:t>、</w:t>
      </w:r>
      <w:r w:rsidRPr="007962A5">
        <w:rPr>
          <w:rFonts w:ascii="宋体" w:eastAsia="宋体" w:hAnsi="宋体" w:cs="宋体" w:hint="eastAsia"/>
          <w:bCs/>
          <w:sz w:val="28"/>
          <w:szCs w:val="28"/>
        </w:rPr>
        <w:t>目前，</w:t>
      </w:r>
      <w:r w:rsidRPr="007962A5">
        <w:rPr>
          <w:rFonts w:ascii="宋体" w:eastAsia="宋体" w:hAnsi="宋体" w:cs="宋体" w:hint="eastAsia"/>
          <w:bCs/>
          <w:sz w:val="28"/>
          <w:szCs w:val="28"/>
        </w:rPr>
        <w:t>除炎黄电子、联影、中科院提交了项目需求材料，并交卫计委审核通过外，其他厂商暂未提交材料也未咨询项目推进进度。</w:t>
      </w:r>
    </w:p>
    <w:p w:rsidR="007962A5" w:rsidRDefault="007962A5" w:rsidP="00E51B09">
      <w:pPr>
        <w:pStyle w:val="aa"/>
        <w:ind w:firstLine="560"/>
        <w:rPr>
          <w:rFonts w:ascii="宋体" w:eastAsia="宋体" w:hAnsi="宋体" w:cs="宋体" w:hint="eastAsia"/>
          <w:bCs/>
          <w:sz w:val="28"/>
          <w:szCs w:val="28"/>
        </w:rPr>
      </w:pPr>
      <w:r>
        <w:rPr>
          <w:rFonts w:ascii="宋体" w:eastAsia="宋体" w:hAnsi="宋体" w:cs="宋体" w:hint="eastAsia"/>
          <w:bCs/>
          <w:sz w:val="28"/>
          <w:szCs w:val="28"/>
        </w:rPr>
        <w:t>2、与卫计委</w:t>
      </w:r>
      <w:r w:rsidRPr="007962A5">
        <w:rPr>
          <w:rFonts w:ascii="宋体" w:eastAsia="宋体" w:hAnsi="宋体" w:cs="宋体" w:hint="eastAsia"/>
          <w:bCs/>
          <w:sz w:val="28"/>
          <w:szCs w:val="28"/>
        </w:rPr>
        <w:t>沟通智慧健康和国家卡管平台对接问题，协调技术完成系统配置。</w:t>
      </w:r>
    </w:p>
    <w:p w:rsidR="007962A5" w:rsidRDefault="007962A5" w:rsidP="00E51B09">
      <w:pPr>
        <w:pStyle w:val="aa"/>
        <w:ind w:firstLine="560"/>
        <w:rPr>
          <w:rFonts w:ascii="宋体" w:eastAsia="宋体" w:hAnsi="宋体" w:cs="宋体"/>
          <w:bCs/>
          <w:sz w:val="28"/>
          <w:szCs w:val="28"/>
        </w:rPr>
      </w:pPr>
      <w:r>
        <w:rPr>
          <w:rFonts w:ascii="宋体" w:eastAsia="宋体" w:hAnsi="宋体" w:cs="宋体"/>
          <w:bCs/>
          <w:sz w:val="28"/>
          <w:szCs w:val="28"/>
        </w:rPr>
        <w:t>3</w:t>
      </w:r>
      <w:r>
        <w:rPr>
          <w:rFonts w:ascii="宋体" w:eastAsia="宋体" w:hAnsi="宋体" w:cs="宋体" w:hint="eastAsia"/>
          <w:bCs/>
          <w:sz w:val="28"/>
          <w:szCs w:val="28"/>
        </w:rPr>
        <w:t>、技术组本周已经开始入驻卫计委开展工作，预计下周全面现场办公。</w:t>
      </w:r>
    </w:p>
    <w:p w:rsidR="007962A5" w:rsidRDefault="007962A5" w:rsidP="00E51B09">
      <w:pPr>
        <w:pStyle w:val="aa"/>
        <w:ind w:firstLine="560"/>
        <w:rPr>
          <w:rFonts w:ascii="宋体" w:eastAsia="宋体" w:hAnsi="宋体" w:cs="宋体" w:hint="eastAsia"/>
          <w:bCs/>
          <w:sz w:val="28"/>
          <w:szCs w:val="28"/>
        </w:rPr>
      </w:pPr>
      <w:r>
        <w:rPr>
          <w:rFonts w:ascii="宋体" w:eastAsia="宋体" w:hAnsi="宋体" w:cs="宋体"/>
          <w:bCs/>
          <w:sz w:val="28"/>
          <w:szCs w:val="28"/>
        </w:rPr>
        <w:t>4、</w:t>
      </w:r>
      <w:r>
        <w:rPr>
          <w:rFonts w:ascii="宋体" w:eastAsia="宋体" w:hAnsi="宋体" w:cs="宋体" w:hint="eastAsia"/>
          <w:bCs/>
          <w:sz w:val="28"/>
          <w:szCs w:val="28"/>
        </w:rPr>
        <w:t>技术组对武汉健康项目的各系统进行梳理，完成整体轮廓图</w:t>
      </w:r>
      <w:r>
        <w:rPr>
          <w:rFonts w:ascii="宋体" w:eastAsia="宋体" w:hAnsi="宋体" w:cs="宋体" w:hint="eastAsia"/>
          <w:bCs/>
          <w:sz w:val="28"/>
          <w:szCs w:val="28"/>
        </w:rPr>
        <w:lastRenderedPageBreak/>
        <w:t>解、业务范围及数据流向图解。深入分析了默联统一支付系统、索引管理系统、复旦微电子虚拟卡管理系统、认证注册等几个系统，并输出了图解流程。</w:t>
      </w:r>
    </w:p>
    <w:p w:rsidR="00B8282B" w:rsidRDefault="00871B61" w:rsidP="0074500B">
      <w:pPr>
        <w:pStyle w:val="a8"/>
        <w:spacing w:line="500" w:lineRule="atLeast"/>
        <w:ind w:firstLine="562"/>
        <w:rPr>
          <w:rFonts w:ascii="宋体" w:eastAsia="宋体" w:hAnsi="宋体" w:cs="宋体"/>
          <w:b/>
          <w:bCs/>
          <w:sz w:val="28"/>
          <w:szCs w:val="28"/>
        </w:rPr>
      </w:pPr>
      <w:r w:rsidRPr="00E55205">
        <w:rPr>
          <w:rFonts w:ascii="宋体" w:eastAsia="宋体" w:hAnsi="宋体" w:cs="宋体" w:hint="eastAsia"/>
          <w:b/>
          <w:bCs/>
          <w:sz w:val="28"/>
          <w:szCs w:val="28"/>
        </w:rPr>
        <w:t>（二）</w:t>
      </w:r>
      <w:r w:rsidR="0074500B">
        <w:rPr>
          <w:rFonts w:ascii="宋体" w:eastAsia="宋体" w:hAnsi="宋体" w:cs="宋体" w:hint="eastAsia"/>
          <w:b/>
          <w:bCs/>
          <w:sz w:val="28"/>
          <w:szCs w:val="28"/>
        </w:rPr>
        <w:t>集团调研</w:t>
      </w:r>
    </w:p>
    <w:p w:rsidR="00812318" w:rsidRDefault="0074500B" w:rsidP="0074500B">
      <w:pPr>
        <w:spacing w:line="500" w:lineRule="atLeast"/>
        <w:ind w:firstLineChars="200" w:firstLine="560"/>
        <w:rPr>
          <w:rFonts w:ascii="宋体" w:eastAsia="宋体" w:hAnsi="宋体" w:cs="宋体"/>
          <w:bCs/>
          <w:sz w:val="28"/>
          <w:szCs w:val="28"/>
        </w:rPr>
      </w:pPr>
      <w:r>
        <w:rPr>
          <w:rFonts w:ascii="宋体" w:eastAsia="宋体" w:hAnsi="宋体" w:cs="宋体" w:hint="eastAsia"/>
          <w:bCs/>
          <w:sz w:val="28"/>
          <w:szCs w:val="28"/>
        </w:rPr>
        <w:t>1、根据节后集团分管领导王总对医疗健康事业部的相关指示，集团财务部领导、中经资本领导莅临公司调研医疗健康方面的进展情况。</w:t>
      </w:r>
    </w:p>
    <w:p w:rsidR="0074500B" w:rsidRDefault="0074500B" w:rsidP="0074500B">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2、部门向调研领导介绍了楚天云开展医疗健康行业线的背景与决策</w:t>
      </w:r>
      <w:r w:rsidR="00F67A8E">
        <w:rPr>
          <w:rFonts w:ascii="宋体" w:eastAsia="宋体" w:hAnsi="宋体" w:cs="宋体" w:hint="eastAsia"/>
          <w:bCs/>
          <w:sz w:val="28"/>
          <w:szCs w:val="28"/>
        </w:rPr>
        <w:t>依据，汇报了业务开展的具体情况与商业计划书内容，并且对中经资本提出的业务与技术问题做出了应答。</w:t>
      </w:r>
    </w:p>
    <w:p w:rsidR="00F67A8E" w:rsidRDefault="00F67A8E" w:rsidP="0074500B">
      <w:pPr>
        <w:spacing w:line="500" w:lineRule="atLeast"/>
        <w:ind w:firstLineChars="200" w:firstLine="560"/>
        <w:rPr>
          <w:rFonts w:ascii="宋体" w:eastAsia="宋体" w:hAnsi="宋体" w:cs="宋体" w:hint="eastAsia"/>
          <w:bCs/>
          <w:sz w:val="28"/>
          <w:szCs w:val="28"/>
        </w:rPr>
      </w:pPr>
      <w:r>
        <w:rPr>
          <w:rFonts w:ascii="宋体" w:eastAsia="宋体" w:hAnsi="宋体" w:cs="宋体"/>
          <w:bCs/>
          <w:sz w:val="28"/>
          <w:szCs w:val="28"/>
        </w:rPr>
        <w:t>3、</w:t>
      </w:r>
      <w:r>
        <w:rPr>
          <w:rFonts w:ascii="宋体" w:eastAsia="宋体" w:hAnsi="宋体" w:cs="宋体" w:hint="eastAsia"/>
          <w:bCs/>
          <w:sz w:val="28"/>
          <w:szCs w:val="28"/>
        </w:rPr>
        <w:t>集团领导对医疗健康行业线及武汉智慧健康项目的工作事宜表达了支持，并且给出了建议。其中，对商业计划书的建议主要有一下几点：</w:t>
      </w:r>
    </w:p>
    <w:p w:rsidR="00F67A8E" w:rsidRDefault="00F67A8E" w:rsidP="00F67A8E">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（1）项目中数据最具价值，需要详细陈述数据的获取方式、当前采集情况、预估数据产量；</w:t>
      </w:r>
    </w:p>
    <w:p w:rsidR="00F67A8E" w:rsidRPr="00F67A8E" w:rsidRDefault="00F67A8E" w:rsidP="0074500B">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（2）收入推导需要有医院数据的论证，希望能有更多的论据，并细化商业模式。</w:t>
      </w:r>
    </w:p>
    <w:p w:rsidR="00C55BF4" w:rsidRPr="009A37C5" w:rsidRDefault="005740B6" w:rsidP="00E55205">
      <w:pPr>
        <w:spacing w:line="500" w:lineRule="atLeast"/>
        <w:rPr>
          <w:rFonts w:ascii="新宋体" w:eastAsia="新宋体" w:hAnsi="新宋体"/>
          <w:b/>
          <w:sz w:val="28"/>
          <w:szCs w:val="28"/>
        </w:rPr>
      </w:pPr>
      <w:r>
        <w:rPr>
          <w:rFonts w:ascii="宋体" w:eastAsia="宋体" w:hAnsi="宋体" w:cs="宋体" w:hint="eastAsia"/>
          <w:b/>
          <w:bCs/>
          <w:sz w:val="28"/>
          <w:szCs w:val="28"/>
        </w:rPr>
        <w:t>三</w:t>
      </w:r>
      <w:r w:rsidR="00C55BF4">
        <w:rPr>
          <w:rFonts w:ascii="宋体" w:eastAsia="宋体" w:hAnsi="宋体" w:cs="宋体" w:hint="eastAsia"/>
          <w:b/>
          <w:bCs/>
          <w:sz w:val="28"/>
          <w:szCs w:val="28"/>
        </w:rPr>
        <w:t>、下周工作计划</w:t>
      </w:r>
    </w:p>
    <w:p w:rsidR="00742C95" w:rsidRDefault="001C5507" w:rsidP="00C30743">
      <w:pPr>
        <w:ind w:firstLineChars="200" w:firstLine="560"/>
        <w:rPr>
          <w:rFonts w:ascii="宋体" w:eastAsia="宋体" w:hAnsi="宋体" w:cs="宋体"/>
          <w:bCs/>
          <w:sz w:val="28"/>
          <w:szCs w:val="28"/>
        </w:rPr>
      </w:pPr>
      <w:r w:rsidRPr="006D5987">
        <w:rPr>
          <w:rFonts w:ascii="宋体" w:eastAsia="宋体" w:hAnsi="宋体" w:cs="宋体" w:hint="eastAsia"/>
          <w:bCs/>
          <w:sz w:val="28"/>
          <w:szCs w:val="28"/>
        </w:rPr>
        <w:t>（一）</w:t>
      </w:r>
      <w:r w:rsidR="00F67A8E">
        <w:rPr>
          <w:rFonts w:ascii="宋体" w:eastAsia="宋体" w:hAnsi="宋体" w:cs="宋体" w:hint="eastAsia"/>
          <w:bCs/>
          <w:sz w:val="28"/>
          <w:szCs w:val="28"/>
        </w:rPr>
        <w:t>根据集团财务部及中经资本的建议，完善商业计划书；</w:t>
      </w:r>
    </w:p>
    <w:p w:rsidR="00266EE6" w:rsidRDefault="006170B4" w:rsidP="00266EE6">
      <w:pPr>
        <w:ind w:firstLineChars="200" w:firstLine="560"/>
        <w:rPr>
          <w:rFonts w:ascii="宋体" w:eastAsia="宋体" w:hAnsi="宋体" w:cs="宋体" w:hint="eastAsia"/>
          <w:bCs/>
          <w:sz w:val="28"/>
          <w:szCs w:val="28"/>
        </w:rPr>
      </w:pPr>
      <w:r>
        <w:rPr>
          <w:rFonts w:ascii="宋体" w:eastAsia="宋体" w:hAnsi="宋体" w:cs="宋体" w:hint="eastAsia"/>
          <w:bCs/>
          <w:sz w:val="28"/>
          <w:szCs w:val="28"/>
        </w:rPr>
        <w:t>（</w:t>
      </w:r>
      <w:r w:rsidR="00C30743">
        <w:rPr>
          <w:rFonts w:ascii="宋体" w:eastAsia="宋体" w:hAnsi="宋体" w:cs="宋体" w:hint="eastAsia"/>
          <w:bCs/>
          <w:sz w:val="28"/>
          <w:szCs w:val="28"/>
        </w:rPr>
        <w:t>二</w:t>
      </w:r>
      <w:r>
        <w:rPr>
          <w:rFonts w:ascii="宋体" w:eastAsia="宋体" w:hAnsi="宋体" w:cs="宋体" w:hint="eastAsia"/>
          <w:bCs/>
          <w:sz w:val="28"/>
          <w:szCs w:val="28"/>
        </w:rPr>
        <w:t>）</w:t>
      </w:r>
      <w:r w:rsidR="00266EE6">
        <w:rPr>
          <w:rFonts w:ascii="宋体" w:eastAsia="宋体" w:hAnsi="宋体" w:cs="宋体" w:hint="eastAsia"/>
          <w:bCs/>
          <w:sz w:val="28"/>
          <w:szCs w:val="28"/>
        </w:rPr>
        <w:t>推进北京衔众的战略合作协议签署；</w:t>
      </w:r>
    </w:p>
    <w:p w:rsidR="00266EE6" w:rsidRDefault="00266EE6" w:rsidP="00266EE6">
      <w:pPr>
        <w:ind w:firstLineChars="200" w:firstLine="560"/>
        <w:rPr>
          <w:rFonts w:ascii="宋体" w:eastAsia="宋体" w:hAnsi="宋体" w:cs="宋体" w:hint="eastAsia"/>
          <w:bCs/>
          <w:sz w:val="28"/>
          <w:szCs w:val="28"/>
        </w:rPr>
      </w:pPr>
      <w:r>
        <w:rPr>
          <w:rFonts w:ascii="宋体" w:eastAsia="宋体" w:hAnsi="宋体" w:cs="宋体" w:hint="eastAsia"/>
          <w:bCs/>
          <w:sz w:val="28"/>
          <w:szCs w:val="28"/>
        </w:rPr>
        <w:lastRenderedPageBreak/>
        <w:t>（三）推进投资协议签署，推动公告挂网；</w:t>
      </w:r>
    </w:p>
    <w:p w:rsidR="00266EE6" w:rsidRDefault="00266EE6" w:rsidP="00266EE6">
      <w:pPr>
        <w:ind w:firstLineChars="200" w:firstLine="560"/>
        <w:rPr>
          <w:rFonts w:ascii="宋体" w:eastAsia="宋体" w:hAnsi="宋体" w:cs="宋体"/>
          <w:bCs/>
          <w:sz w:val="28"/>
          <w:szCs w:val="28"/>
        </w:rPr>
      </w:pPr>
      <w:r>
        <w:rPr>
          <w:rFonts w:ascii="宋体" w:eastAsia="宋体" w:hAnsi="宋体" w:cs="宋体" w:hint="eastAsia"/>
          <w:bCs/>
          <w:sz w:val="28"/>
          <w:szCs w:val="28"/>
        </w:rPr>
        <w:t>（四）推进竞争性磋商厂家招标材料提供事宜；</w:t>
      </w:r>
    </w:p>
    <w:p w:rsidR="00266EE6" w:rsidRDefault="00266EE6" w:rsidP="00266EE6">
      <w:pPr>
        <w:ind w:firstLineChars="200" w:firstLine="560"/>
        <w:rPr>
          <w:rFonts w:ascii="宋体" w:eastAsia="宋体" w:hAnsi="宋体" w:cs="宋体" w:hint="eastAsia"/>
          <w:bCs/>
          <w:sz w:val="28"/>
          <w:szCs w:val="28"/>
        </w:rPr>
      </w:pPr>
      <w:r>
        <w:rPr>
          <w:rFonts w:ascii="宋体" w:eastAsia="宋体" w:hAnsi="宋体" w:cs="宋体" w:hint="eastAsia"/>
          <w:bCs/>
          <w:sz w:val="28"/>
          <w:szCs w:val="28"/>
        </w:rPr>
        <w:t>（五）技术组现场办公，梳理智领云、万达、默联系统细节；</w:t>
      </w:r>
    </w:p>
    <w:p w:rsidR="00266EE6" w:rsidRDefault="00266EE6" w:rsidP="00266EE6">
      <w:pPr>
        <w:ind w:firstLineChars="200" w:firstLine="560"/>
        <w:rPr>
          <w:rFonts w:ascii="宋体" w:eastAsia="宋体" w:hAnsi="宋体" w:cs="宋体"/>
          <w:bCs/>
          <w:sz w:val="28"/>
          <w:szCs w:val="28"/>
        </w:rPr>
      </w:pPr>
      <w:r>
        <w:rPr>
          <w:rFonts w:ascii="宋体" w:eastAsia="宋体" w:hAnsi="宋体" w:cs="宋体" w:hint="eastAsia"/>
          <w:bCs/>
          <w:sz w:val="28"/>
          <w:szCs w:val="28"/>
        </w:rPr>
        <w:t>（六）以武汉健康APP为入口，全面梳理业务线路。</w:t>
      </w:r>
    </w:p>
    <w:p w:rsidR="001C5507" w:rsidRPr="004534D8" w:rsidRDefault="001C5507">
      <w:pPr>
        <w:rPr>
          <w:rFonts w:ascii="宋体" w:hAnsi="宋体"/>
          <w:sz w:val="24"/>
        </w:rPr>
      </w:pPr>
      <w:bookmarkStart w:id="0" w:name="_GoBack"/>
      <w:bookmarkEnd w:id="0"/>
    </w:p>
    <w:p w:rsidR="001C5507" w:rsidRPr="00F31F70" w:rsidRDefault="001C5507">
      <w:pPr>
        <w:rPr>
          <w:rFonts w:ascii="宋体" w:hAnsi="宋体"/>
          <w:sz w:val="24"/>
        </w:rPr>
      </w:pPr>
    </w:p>
    <w:p w:rsidR="001C5507" w:rsidRDefault="001C5507">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C30743" w:rsidRDefault="00C30743">
      <w:pPr>
        <w:rPr>
          <w:rFonts w:ascii="宋体" w:hAnsi="宋体"/>
          <w:sz w:val="24"/>
        </w:rPr>
      </w:pPr>
    </w:p>
    <w:p w:rsidR="005268DD" w:rsidRDefault="005268DD">
      <w:pPr>
        <w:rPr>
          <w:rFonts w:ascii="宋体" w:hAnsi="宋体"/>
          <w:sz w:val="24"/>
        </w:rPr>
      </w:pPr>
    </w:p>
    <w:p w:rsidR="007C2033" w:rsidRDefault="007C2033">
      <w:pPr>
        <w:rPr>
          <w:rFonts w:ascii="宋体" w:hAnsi="宋体"/>
          <w:sz w:val="24"/>
        </w:rPr>
      </w:pPr>
    </w:p>
    <w:p w:rsidR="007C2033" w:rsidRDefault="007C2033">
      <w:pPr>
        <w:rPr>
          <w:rFonts w:ascii="宋体" w:hAnsi="宋体"/>
          <w:sz w:val="24"/>
        </w:rPr>
      </w:pPr>
    </w:p>
    <w:p w:rsidR="001C5507" w:rsidRPr="004534D8" w:rsidRDefault="001C5507">
      <w:pPr>
        <w:rPr>
          <w:rFonts w:ascii="宋体" w:hAnsi="宋体"/>
          <w:sz w:val="24"/>
        </w:rPr>
      </w:pPr>
    </w:p>
    <w:p w:rsidR="002730EB" w:rsidRDefault="00B05A9C">
      <w:pPr>
        <w:rPr>
          <w:rFonts w:ascii="宋体" w:hAnsi="宋体"/>
          <w:sz w:val="24"/>
        </w:rPr>
      </w:pPr>
      <w:bookmarkStart w:id="1" w:name="OLE_LINK1"/>
      <w:r>
        <w:rPr>
          <w:rFonts w:ascii="宋体" w:hAnsi="宋体" w:hint="eastAsia"/>
          <w:sz w:val="24"/>
        </w:rPr>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DF3" w:rsidRDefault="007F4DF3">
      <w:r>
        <w:separator/>
      </w:r>
    </w:p>
  </w:endnote>
  <w:endnote w:type="continuationSeparator" w:id="0">
    <w:p w:rsidR="007F4DF3" w:rsidRDefault="007F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altName w:val="微软雅黑"/>
    <w:panose1 w:val="020B0604020202020204"/>
    <w:charset w:val="86"/>
    <w:family w:val="modern"/>
    <w:pitch w:val="fixed"/>
    <w:sig w:usb0="00000003" w:usb1="288F0000"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7F4DF3">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1pt;margin-top:0;width:5.1pt;height:11.5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DF3" w:rsidRDefault="007F4DF3">
      <w:r>
        <w:separator/>
      </w:r>
    </w:p>
  </w:footnote>
  <w:footnote w:type="continuationSeparator" w:id="0">
    <w:p w:rsidR="007F4DF3" w:rsidRDefault="007F4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w:t>
    </w:r>
    <w:r>
      <w:rPr>
        <w:rFonts w:ascii="隶书" w:eastAsia="隶书" w:hAnsi="隶书" w:cs="隶书" w:hint="eastAsia"/>
        <w:sz w:val="44"/>
        <w:szCs w:val="44"/>
      </w:rPr>
      <w:t>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C034E"/>
    <w:multiLevelType w:val="hybridMultilevel"/>
    <w:tmpl w:val="A0E60E38"/>
    <w:lvl w:ilvl="0" w:tplc="5AD412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F3449"/>
    <w:rsid w:val="000F7F33"/>
    <w:rsid w:val="001007A7"/>
    <w:rsid w:val="00102A0B"/>
    <w:rsid w:val="001146C2"/>
    <w:rsid w:val="00124416"/>
    <w:rsid w:val="001254BE"/>
    <w:rsid w:val="0012792A"/>
    <w:rsid w:val="001312DB"/>
    <w:rsid w:val="00131C3F"/>
    <w:rsid w:val="0013236C"/>
    <w:rsid w:val="00137757"/>
    <w:rsid w:val="0015170F"/>
    <w:rsid w:val="00151765"/>
    <w:rsid w:val="00153B4B"/>
    <w:rsid w:val="0015440B"/>
    <w:rsid w:val="00154720"/>
    <w:rsid w:val="00165F72"/>
    <w:rsid w:val="00166E4F"/>
    <w:rsid w:val="001703D3"/>
    <w:rsid w:val="00180EC2"/>
    <w:rsid w:val="001825FF"/>
    <w:rsid w:val="001A6B74"/>
    <w:rsid w:val="001B1976"/>
    <w:rsid w:val="001B264F"/>
    <w:rsid w:val="001B7B16"/>
    <w:rsid w:val="001C2F2E"/>
    <w:rsid w:val="001C5507"/>
    <w:rsid w:val="001C6689"/>
    <w:rsid w:val="001E6D98"/>
    <w:rsid w:val="001F0477"/>
    <w:rsid w:val="001F341E"/>
    <w:rsid w:val="00204946"/>
    <w:rsid w:val="00223C09"/>
    <w:rsid w:val="00225637"/>
    <w:rsid w:val="002310C3"/>
    <w:rsid w:val="0023361D"/>
    <w:rsid w:val="00241194"/>
    <w:rsid w:val="002437F1"/>
    <w:rsid w:val="002462C8"/>
    <w:rsid w:val="00253605"/>
    <w:rsid w:val="00253DDE"/>
    <w:rsid w:val="00257D46"/>
    <w:rsid w:val="00263068"/>
    <w:rsid w:val="00263E6B"/>
    <w:rsid w:val="00266E3B"/>
    <w:rsid w:val="00266EE6"/>
    <w:rsid w:val="002724F6"/>
    <w:rsid w:val="002730EB"/>
    <w:rsid w:val="002757D6"/>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614FC"/>
    <w:rsid w:val="00362E2E"/>
    <w:rsid w:val="00366512"/>
    <w:rsid w:val="003870D1"/>
    <w:rsid w:val="00396AC9"/>
    <w:rsid w:val="00397731"/>
    <w:rsid w:val="003A0681"/>
    <w:rsid w:val="003B7DDF"/>
    <w:rsid w:val="003C3B54"/>
    <w:rsid w:val="003C61A5"/>
    <w:rsid w:val="003C794C"/>
    <w:rsid w:val="003D25D5"/>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3E9E"/>
    <w:rsid w:val="00444BFD"/>
    <w:rsid w:val="004534D8"/>
    <w:rsid w:val="00457266"/>
    <w:rsid w:val="00463E59"/>
    <w:rsid w:val="00467391"/>
    <w:rsid w:val="0047387E"/>
    <w:rsid w:val="00476EBC"/>
    <w:rsid w:val="004774E7"/>
    <w:rsid w:val="0048581B"/>
    <w:rsid w:val="00491AE5"/>
    <w:rsid w:val="004953D7"/>
    <w:rsid w:val="004A506A"/>
    <w:rsid w:val="004A7E86"/>
    <w:rsid w:val="004B27F0"/>
    <w:rsid w:val="004B59D3"/>
    <w:rsid w:val="004C0486"/>
    <w:rsid w:val="004C1B4A"/>
    <w:rsid w:val="004C25C3"/>
    <w:rsid w:val="004D3865"/>
    <w:rsid w:val="004E1187"/>
    <w:rsid w:val="004E1AEA"/>
    <w:rsid w:val="004F3417"/>
    <w:rsid w:val="004F784B"/>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61AC6"/>
    <w:rsid w:val="006772A3"/>
    <w:rsid w:val="00684F5D"/>
    <w:rsid w:val="006856D4"/>
    <w:rsid w:val="006938EA"/>
    <w:rsid w:val="00696C4D"/>
    <w:rsid w:val="00696CBB"/>
    <w:rsid w:val="00697C36"/>
    <w:rsid w:val="006C031C"/>
    <w:rsid w:val="006C10B6"/>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4500B"/>
    <w:rsid w:val="0075348A"/>
    <w:rsid w:val="007563E8"/>
    <w:rsid w:val="007666F3"/>
    <w:rsid w:val="00766B21"/>
    <w:rsid w:val="00767D62"/>
    <w:rsid w:val="00767F2F"/>
    <w:rsid w:val="007717F4"/>
    <w:rsid w:val="00773AA1"/>
    <w:rsid w:val="00773AB1"/>
    <w:rsid w:val="00791BA5"/>
    <w:rsid w:val="0079327A"/>
    <w:rsid w:val="007962A5"/>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80D52"/>
    <w:rsid w:val="00890043"/>
    <w:rsid w:val="00897F79"/>
    <w:rsid w:val="008A0B14"/>
    <w:rsid w:val="008A0C47"/>
    <w:rsid w:val="008A35CC"/>
    <w:rsid w:val="008B1AE9"/>
    <w:rsid w:val="008B1E62"/>
    <w:rsid w:val="008B6A18"/>
    <w:rsid w:val="008B7FC1"/>
    <w:rsid w:val="008E416F"/>
    <w:rsid w:val="008F7B38"/>
    <w:rsid w:val="009024A7"/>
    <w:rsid w:val="00904E66"/>
    <w:rsid w:val="00906726"/>
    <w:rsid w:val="00913218"/>
    <w:rsid w:val="00916172"/>
    <w:rsid w:val="0092006E"/>
    <w:rsid w:val="00924367"/>
    <w:rsid w:val="00926DF4"/>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524B"/>
    <w:rsid w:val="009B6B1D"/>
    <w:rsid w:val="009C2636"/>
    <w:rsid w:val="009C3572"/>
    <w:rsid w:val="009D4C36"/>
    <w:rsid w:val="009D6F9A"/>
    <w:rsid w:val="009F35DA"/>
    <w:rsid w:val="009F778E"/>
    <w:rsid w:val="00A12535"/>
    <w:rsid w:val="00A308E0"/>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3679"/>
    <w:rsid w:val="00AC5E61"/>
    <w:rsid w:val="00AD3981"/>
    <w:rsid w:val="00AD7D41"/>
    <w:rsid w:val="00AE0B21"/>
    <w:rsid w:val="00AE1937"/>
    <w:rsid w:val="00AE720E"/>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AD6"/>
    <w:rsid w:val="00CF2C4C"/>
    <w:rsid w:val="00CF4CC9"/>
    <w:rsid w:val="00D02414"/>
    <w:rsid w:val="00D0441E"/>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7424"/>
    <w:rsid w:val="00F10A85"/>
    <w:rsid w:val="00F11DBC"/>
    <w:rsid w:val="00F140FC"/>
    <w:rsid w:val="00F20364"/>
    <w:rsid w:val="00F228D6"/>
    <w:rsid w:val="00F303DA"/>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71A"/>
    <w:rsid w:val="00F812AB"/>
    <w:rsid w:val="00F83953"/>
    <w:rsid w:val="00F87DA6"/>
    <w:rsid w:val="00FB5948"/>
    <w:rsid w:val="00FB786F"/>
    <w:rsid w:val="00FC5383"/>
    <w:rsid w:val="00FD10DB"/>
    <w:rsid w:val="00FD1E5E"/>
    <w:rsid w:val="00FD2A75"/>
    <w:rsid w:val="00FE4740"/>
    <w:rsid w:val="00FE6007"/>
    <w:rsid w:val="00FF1259"/>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04E3FE"/>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223</cp:revision>
  <cp:lastPrinted>2016-03-18T07:18:00Z</cp:lastPrinted>
  <dcterms:created xsi:type="dcterms:W3CDTF">2017-10-29T13:20:00Z</dcterms:created>
  <dcterms:modified xsi:type="dcterms:W3CDTF">2018-02-24T12:30:00Z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