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9 · Team CJF</w:t>
      </w:r>
    </w:p>
    <w:p>
      <w:pPr>
        <w:jc w:val="left"/>
      </w:pPr>
      <w:r>
        <w:rPr>
          <w:b/>
          <w:sz w:val="24"/>
        </w:rPr>
        <w:t>Matthew Lausev — CQ3 report contributions</w:t>
      </w:r>
    </w:p>
    <w:p>
      <w:r>
        <w:rPr>
          <w:color w:val="555D58"/>
          <w:sz w:val="18"/>
        </w:rPr>
        <w:t>October 28, 2026  |  Protégé 5.6.9 · Snap SPARQL Query · HermiT</w:t>
      </w:r>
    </w:p>
    <w:p>
      <w:pPr>
        <w:pStyle w:val="Heading1"/>
      </w:pPr>
      <w:r>
        <w:t>1. Ontology changes and semantic impact</w:t>
      </w:r>
    </w:p>
    <w:p>
      <w:r>
        <w:t>For CQ3, I reviewed the Assignment 9 ontology and the annotated sample individuals. No additional OWL axioms or individuals were necessary for my queries, so I made no new changes to the RDF ontology files this week. The existing Support and Challenge relationship individuals already connect conversation moves to Platform A, while the existing OWL property chains (makesSupports followed by isAimedAtSupports implies supports; makesChallenges followed by isAimedAtChallenges implies challenges) allow direct relationships to be inferred. I revised the CQ3 use-case documentation to match the tested SPARQL answers and to distinguish recorded state annotations from inferred relationships.</w:t>
      </w:r>
    </w:p>
    <w:p>
      <w:pPr>
        <w:pStyle w:val="Heading1"/>
      </w:pPr>
      <w:r>
        <w:t>2. Something I learned</w:t>
      </w:r>
    </w:p>
    <w:p>
      <w:r>
        <w:t>I learned how SPARQL can retrieve explicit relationships through relationship individuals, and how OWL property chains let the same question be answered through inferred direct properties. I also learned that a successful query result does not necessarily mean the result was inferred; the reasoner setting and the assertions in the data matter.</w:t>
      </w:r>
    </w:p>
    <w:p>
      <w:pPr>
        <w:pStyle w:val="Heading1"/>
      </w:pPr>
      <w:r>
        <w:t>3. Difficulties encountered</w:t>
      </w:r>
    </w:p>
    <w:p>
      <w:r>
        <w:t>The main difficulty was getting SPARQL to run reliably in Protégé. The standard SPARQL view failed to initialize because of a missing Java dependency, so I used the Snap SPARQL Query plugin instead. I also had to simplify the initial query because Snap rejected the VALUES clause. Later, queries against state assignments returned no rows until I selected Reasoner &gt; None for asserted-data retrieval. For reasoning-dependent queries, I started HermiT and checked the resulting answers separately.</w:t>
      </w:r>
    </w:p>
    <w:p>
      <w:pPr>
        <w:pStyle w:val="Heading1"/>
      </w:pPr>
      <w:r>
        <w:t>4. How individuals answer CQ3</w:t>
      </w:r>
    </w:p>
    <w:p>
      <w:r>
        <w:t>CQ3 asks which Claims or Issues support or challenge Platform A and whether any Claims are contested. I used OE_8_TeamCJF_Individuals.rdf, which imports the OE_9_TeamCJF.rdf schema, with Platform A represented by OCT21_A-M0003. The asserted-data queries traverse the Support and Challenge relationship individuals to return six supporting Claims (M0004, M0008, M0018, M0019, M0038, M0060) and six challenging conversation moves (Issues M0010, M0014, M0050 and Claims M0013, M0015, M0016). A separate query retrieves Claim OCT21_A-M0023, its current state individual at Turn 12, and Issue OCT21_A-M0028 as the challenger. The state assignment's annotation records the reference state SupportedContested; that query does not itself establish an OWL-inferred SupportedContested classification. These queries require individual data; without the populated sample, the ontology alone cannot identify the specific contributions or their evidence.</w:t>
      </w:r>
    </w:p>
    <w:p>
      <w:r>
        <w:br w:type="page"/>
      </w:r>
    </w:p>
    <w:p>
      <w:pPr>
        <w:pStyle w:val="Heading1"/>
      </w:pPr>
      <w:r>
        <w:t>CQ3 query testing evidence</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DCEBDD"/>
          </w:tcPr>
          <w:p>
            <w:pPr>
              <w:spacing w:after="0"/>
            </w:pPr>
            <w:r>
              <w:rPr>
                <w:b/>
                <w:sz w:val="16"/>
              </w:rPr>
              <w:t>Query</w:t>
            </w:r>
          </w:p>
        </w:tc>
        <w:tc>
          <w:tcPr>
            <w:tcW w:type="dxa" w:w="2469"/>
            <w:vAlign w:val="center"/>
            <w:shd w:fill="DCEBDD"/>
          </w:tcPr>
          <w:p>
            <w:pPr>
              <w:spacing w:after="0"/>
            </w:pPr>
            <w:r>
              <w:rPr>
                <w:b/>
                <w:sz w:val="16"/>
              </w:rPr>
              <w:t>Reasoner</w:t>
            </w:r>
          </w:p>
        </w:tc>
        <w:tc>
          <w:tcPr>
            <w:tcW w:type="dxa" w:w="2469"/>
            <w:vAlign w:val="center"/>
            <w:shd w:fill="DCEBDD"/>
          </w:tcPr>
          <w:p>
            <w:pPr>
              <w:spacing w:after="0"/>
            </w:pPr>
            <w:r>
              <w:rPr>
                <w:b/>
                <w:sz w:val="16"/>
              </w:rPr>
              <w:t>Observed</w:t>
            </w:r>
          </w:p>
        </w:tc>
        <w:tc>
          <w:tcPr>
            <w:tcW w:type="dxa" w:w="2469"/>
            <w:vAlign w:val="center"/>
            <w:shd w:fill="DCEBDD"/>
          </w:tcPr>
          <w:p>
            <w:pPr>
              <w:spacing w:after="0"/>
            </w:pPr>
            <w:r>
              <w:rPr>
                <w:b/>
                <w:sz w:val="16"/>
              </w:rPr>
              <w:t>Notes / sample IDs</w:t>
            </w:r>
          </w:p>
        </w:tc>
      </w:tr>
      <w:tr>
        <w:tc>
          <w:tcPr>
            <w:tcW w:type="dxa" w:w="2469"/>
            <w:vAlign w:val="center"/>
          </w:tcPr>
          <w:p>
            <w:pPr>
              <w:spacing w:after="0"/>
            </w:pPr>
            <w:r>
              <w:rPr>
                <w:sz w:val="16"/>
              </w:rPr>
              <w:t>A1 — asserted supports</w:t>
            </w:r>
          </w:p>
        </w:tc>
        <w:tc>
          <w:tcPr>
            <w:tcW w:type="dxa" w:w="2469"/>
            <w:vAlign w:val="center"/>
          </w:tcPr>
          <w:p>
            <w:pPr>
              <w:spacing w:after="0"/>
            </w:pPr>
            <w:r>
              <w:rPr>
                <w:sz w:val="16"/>
              </w:rPr>
              <w:t>None</w:t>
            </w:r>
          </w:p>
        </w:tc>
        <w:tc>
          <w:tcPr>
            <w:tcW w:type="dxa" w:w="2469"/>
            <w:vAlign w:val="center"/>
          </w:tcPr>
          <w:p>
            <w:pPr>
              <w:spacing w:after="0"/>
            </w:pPr>
            <w:r>
              <w:rPr>
                <w:sz w:val="16"/>
              </w:rPr>
              <w:t>6 Claims</w:t>
            </w:r>
          </w:p>
        </w:tc>
        <w:tc>
          <w:tcPr>
            <w:tcW w:type="dxa" w:w="2469"/>
            <w:vAlign w:val="center"/>
          </w:tcPr>
          <w:p>
            <w:pPr>
              <w:spacing w:after="0"/>
            </w:pPr>
            <w:r>
              <w:rPr>
                <w:sz w:val="16"/>
              </w:rPr>
              <w:t>M0004, M0008, M0018, M0019, M0038, M0060</w:t>
            </w:r>
          </w:p>
        </w:tc>
      </w:tr>
      <w:tr>
        <w:tc>
          <w:tcPr>
            <w:tcW w:type="dxa" w:w="2469"/>
            <w:vAlign w:val="center"/>
          </w:tcPr>
          <w:p>
            <w:pPr>
              <w:spacing w:after="0"/>
            </w:pPr>
            <w:r>
              <w:rPr>
                <w:sz w:val="16"/>
              </w:rPr>
              <w:t>A2 — asserted challenges</w:t>
            </w:r>
          </w:p>
        </w:tc>
        <w:tc>
          <w:tcPr>
            <w:tcW w:type="dxa" w:w="2469"/>
            <w:vAlign w:val="center"/>
          </w:tcPr>
          <w:p>
            <w:pPr>
              <w:spacing w:after="0"/>
            </w:pPr>
            <w:r>
              <w:rPr>
                <w:sz w:val="16"/>
              </w:rPr>
              <w:t>None</w:t>
            </w:r>
          </w:p>
        </w:tc>
        <w:tc>
          <w:tcPr>
            <w:tcW w:type="dxa" w:w="2469"/>
            <w:vAlign w:val="center"/>
          </w:tcPr>
          <w:p>
            <w:pPr>
              <w:spacing w:after="0"/>
            </w:pPr>
            <w:r>
              <w:rPr>
                <w:sz w:val="16"/>
              </w:rPr>
              <w:t>6 moves</w:t>
            </w:r>
          </w:p>
        </w:tc>
        <w:tc>
          <w:tcPr>
            <w:tcW w:type="dxa" w:w="2469"/>
            <w:vAlign w:val="center"/>
          </w:tcPr>
          <w:p>
            <w:pPr>
              <w:spacing w:after="0"/>
            </w:pPr>
            <w:r>
              <w:rPr>
                <w:sz w:val="16"/>
              </w:rPr>
              <w:t>M0010, M0013, M0014, M0015, M0016, M0050</w:t>
            </w:r>
          </w:p>
        </w:tc>
      </w:tr>
      <w:tr>
        <w:tc>
          <w:tcPr>
            <w:tcW w:type="dxa" w:w="2469"/>
            <w:vAlign w:val="center"/>
          </w:tcPr>
          <w:p>
            <w:pPr>
              <w:spacing w:after="0"/>
            </w:pPr>
            <w:r>
              <w:rPr>
                <w:sz w:val="16"/>
              </w:rPr>
              <w:t>B — recorded contested case</w:t>
            </w:r>
          </w:p>
        </w:tc>
        <w:tc>
          <w:tcPr>
            <w:tcW w:type="dxa" w:w="2469"/>
            <w:vAlign w:val="center"/>
          </w:tcPr>
          <w:p>
            <w:pPr>
              <w:spacing w:after="0"/>
            </w:pPr>
            <w:r>
              <w:rPr>
                <w:sz w:val="16"/>
              </w:rPr>
              <w:t>None</w:t>
            </w:r>
          </w:p>
        </w:tc>
        <w:tc>
          <w:tcPr>
            <w:tcW w:type="dxa" w:w="2469"/>
            <w:vAlign w:val="center"/>
          </w:tcPr>
          <w:p>
            <w:pPr>
              <w:spacing w:after="0"/>
            </w:pPr>
            <w:r>
              <w:rPr>
                <w:sz w:val="16"/>
              </w:rPr>
              <w:t>1 Claim</w:t>
            </w:r>
          </w:p>
        </w:tc>
        <w:tc>
          <w:tcPr>
            <w:tcW w:type="dxa" w:w="2469"/>
            <w:vAlign w:val="center"/>
          </w:tcPr>
          <w:p>
            <w:pPr>
              <w:spacing w:after="0"/>
            </w:pPr>
            <w:r>
              <w:rPr>
                <w:sz w:val="16"/>
              </w:rPr>
              <w:t>M0023; current state at Turn 12; challenger M0028</w:t>
            </w:r>
          </w:p>
        </w:tc>
      </w:tr>
      <w:tr>
        <w:tc>
          <w:tcPr>
            <w:tcW w:type="dxa" w:w="2469"/>
            <w:vAlign w:val="center"/>
          </w:tcPr>
          <w:p>
            <w:pPr>
              <w:spacing w:after="0"/>
            </w:pPr>
            <w:r>
              <w:rPr>
                <w:sz w:val="16"/>
              </w:rPr>
              <w:t>C1 — direct supports</w:t>
            </w:r>
          </w:p>
        </w:tc>
        <w:tc>
          <w:tcPr>
            <w:tcW w:type="dxa" w:w="2469"/>
            <w:vAlign w:val="center"/>
          </w:tcPr>
          <w:p>
            <w:pPr>
              <w:spacing w:after="0"/>
            </w:pPr>
            <w:r>
              <w:rPr>
                <w:sz w:val="16"/>
              </w:rPr>
              <w:t>None / HermiT</w:t>
            </w:r>
          </w:p>
        </w:tc>
        <w:tc>
          <w:tcPr>
            <w:tcW w:type="dxa" w:w="2469"/>
            <w:vAlign w:val="center"/>
          </w:tcPr>
          <w:p>
            <w:pPr>
              <w:spacing w:after="0"/>
            </w:pPr>
            <w:r>
              <w:rPr>
                <w:sz w:val="16"/>
              </w:rPr>
              <w:t>0 / 6</w:t>
            </w:r>
          </w:p>
        </w:tc>
        <w:tc>
          <w:tcPr>
            <w:tcW w:type="dxa" w:w="2469"/>
            <w:vAlign w:val="center"/>
          </w:tcPr>
          <w:p>
            <w:pPr>
              <w:spacing w:after="0"/>
            </w:pPr>
            <w:r>
              <w:rPr>
                <w:sz w:val="16"/>
              </w:rPr>
              <w:t>Property-chain entailment confirmed by comparison</w:t>
            </w:r>
          </w:p>
        </w:tc>
      </w:tr>
      <w:tr>
        <w:tc>
          <w:tcPr>
            <w:tcW w:type="dxa" w:w="2469"/>
            <w:vAlign w:val="center"/>
          </w:tcPr>
          <w:p>
            <w:pPr>
              <w:spacing w:after="0"/>
            </w:pPr>
            <w:r>
              <w:rPr>
                <w:sz w:val="16"/>
              </w:rPr>
              <w:t>C2 — direct challenges</w:t>
            </w:r>
          </w:p>
        </w:tc>
        <w:tc>
          <w:tcPr>
            <w:tcW w:type="dxa" w:w="2469"/>
            <w:vAlign w:val="center"/>
          </w:tcPr>
          <w:p>
            <w:pPr>
              <w:spacing w:after="0"/>
            </w:pPr>
            <w:r>
              <w:rPr>
                <w:sz w:val="16"/>
              </w:rPr>
              <w:t>HermiT</w:t>
            </w:r>
          </w:p>
        </w:tc>
        <w:tc>
          <w:tcPr>
            <w:tcW w:type="dxa" w:w="2469"/>
            <w:vAlign w:val="center"/>
          </w:tcPr>
          <w:p>
            <w:pPr>
              <w:spacing w:after="0"/>
            </w:pPr>
            <w:r>
              <w:rPr>
                <w:sz w:val="16"/>
              </w:rPr>
              <w:t>6 moves</w:t>
            </w:r>
          </w:p>
        </w:tc>
        <w:tc>
          <w:tcPr>
            <w:tcW w:type="dxa" w:w="2469"/>
            <w:vAlign w:val="center"/>
          </w:tcPr>
          <w:p>
            <w:pPr>
              <w:spacing w:after="0"/>
            </w:pPr>
            <w:r>
              <w:rPr>
                <w:sz w:val="16"/>
              </w:rPr>
              <w:t>M0010, M0013, M0014, M0015, M0016, M0050</w:t>
            </w:r>
          </w:p>
        </w:tc>
      </w:tr>
    </w:tbl>
    <w:p>
      <w:pPr>
        <w:spacing w:before="80"/>
      </w:pPr>
      <w:r>
        <w:rPr>
          <w:b/>
        </w:rPr>
        <w:t>Interpretation:</w:t>
      </w:r>
      <w:r>
        <w:t xml:space="preserve"> The six direct supports results appear only with HermiT active in the tested setup; this is evidence of OWL property-chain inference. Query B retrieves an annotated reference state, not an inferred state type. No separate repository hygiene or full regression-test result is claimed here.</w:t>
      </w:r>
    </w:p>
    <w:p>
      <w:pPr>
        <w:pStyle w:val="Heading1"/>
      </w:pPr>
      <w:r>
        <w:t>5. How I used AI</w:t>
      </w:r>
    </w:p>
    <w:p>
      <w:r>
        <w:t>I used ChatGPT to help draft and revise the CQ3 SPARQL queries, inspect the ontology terminology, propose simpler query structures compatible with Snap SPARQL, and update the CQ3 use-case text. I checked the suggestions against the actual RDF data and tested the final queries in Protégé. Some initial guidance overlooked the Protégé reasoner setting, so I corrected the approach based on the tool output rather than treating the AI-generated queries as automatically verified.</w:t>
      </w:r>
    </w:p>
    <w:p>
      <w:pPr>
        <w:pStyle w:val="Heading1"/>
      </w:pPr>
      <w:r>
        <w:t>6. Statement of contribution</w:t>
      </w:r>
    </w:p>
    <w:p>
      <w:r>
        <w:t>Matthew Lausev: Developed and tested the CQ3 SPARQL queries, documented the asserted-versus-inferred results, and revised the CQ3 section of the Assignment 9 use case. I did not make new Assignment 9 ontology edits. Team-wide ontology changes, consolidated query files, and final merge/validation are handled through the team's review process.</w:t>
      </w: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26E"/>
        <w:sz w:val="16"/>
      </w:rPr>
      <w:t>Matthew · CQ3 | Individual contribution text for the team’s Assignment 9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5F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21472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