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9 · Team CJF</w:t>
      </w:r>
    </w:p>
    <w:p>
      <w:pPr>
        <w:jc w:val="left"/>
      </w:pPr>
      <w:r>
        <w:rPr>
          <w:b/>
          <w:sz w:val="24"/>
        </w:rPr>
        <w:t>Matthew Lausev — CQ3 report contributions</w:t>
      </w:r>
    </w:p>
    <w:p>
      <w:r>
        <w:rPr>
          <w:color w:val="555D58"/>
          <w:sz w:val="18"/>
        </w:rPr>
        <w:t>October 29, 2026  |  Protégé 5.6.9 · Snap SPARQL Query · HermiT</w:t>
      </w:r>
    </w:p>
    <w:p>
      <w:pPr>
        <w:pStyle w:val="Heading1"/>
      </w:pPr>
      <w:r>
        <w:t>1. Ontology changes and semantic impact</w:t>
      </w:r>
    </w:p>
    <w:p>
      <w:r>
        <w:t>For my Assignment 9 CQ3 work, I updated the queries and documentation to match the regenerated sample individuals and the revised competency question. I did not add new OWL axioms or edit the team’s ontology. Existing Support and Challenge relationship individuals explicitly connect Claims and Issues to the Platform A Option; OWL property chains can additionally derive direct supports and challenges links. The new queries identify the current Supported status of Claims through their StateAssignment individuals, which is different from merely supporting an Option.</w:t>
      </w:r>
    </w:p>
    <w:p>
      <w:pPr>
        <w:pStyle w:val="Heading1"/>
      </w:pPr>
      <w:r>
        <w:t>2. Something I learned</w:t>
      </w:r>
    </w:p>
    <w:p>
      <w:r>
        <w:t>I learned that a Claim can support an Option without its own current state being Supported. For example, M0019 supports Platform A but is currently Unassessed. I also learned to retrieve readable conversation evidence by following the SIO_000206 property from a move to a TextSpan and reading its hasConversationText value.</w:t>
      </w:r>
    </w:p>
    <w:p>
      <w:pPr>
        <w:pStyle w:val="Heading1"/>
      </w:pPr>
      <w:r>
        <w:t>3. Difficulties encountered</w:t>
      </w:r>
    </w:p>
    <w:p>
      <w:r>
        <w:t>The largest difficulty was adapting queries to the latest team data and Snap SPARQL syntax. The generated individuals changed their IRIs from the original OCT21_A-M#### pattern to CQSample/Move_OCT21_A-M####, and summaries were not stored as rdfs:comment on moves. I corrected the Option prefix and retrieved source utterances through their supporting text spans. I also had to distinguish a query returning seven text-span rows from six unique challenging moves, and ensure HermiT was active for the Supported-state queries.</w:t>
      </w:r>
    </w:p>
    <w:p>
      <w:pPr>
        <w:pStyle w:val="Heading1"/>
      </w:pPr>
      <w:r>
        <w:t>4. How individuals answer CQ3</w:t>
      </w:r>
    </w:p>
    <w:p>
      <w:r>
        <w:t>CQ3 now asks which Claims or Issues support or challenge Platform A and which of those Claims are currently Supported. I tested against OE_9_TeamCJF_Individuals_CurrentStateAdded.rdf, importing OE_9_TeamCJF.rdf, with Platform A represented by CQSample/Move_OCT21_A-M0003. Explicit relationship queries retrieved six supporting Claims (M0004, M0008, M0018, M0019, M0038, M0060) and six distinct challenging moves: Claims M0013, M0015, M0016 and Issues M0010, M0014, M0050. The latter produced seven evidence rows because M0050 has two associated text spans. With HermiT active, five supporting Claims (M0004, M0008, M0018, M0038, M0060) and one challenging Claim (M0013) had current States classified Supported. M0019 remained Unassessed. These tests identify specific individuals and their source evidence, not merely class-level ontology constraints.</w:t>
      </w:r>
    </w:p>
    <w:p>
      <w:r>
        <w:br w:type="page"/>
      </w:r>
    </w:p>
    <w:p>
      <w:pPr>
        <w:pStyle w:val="Heading1"/>
      </w:pPr>
      <w:r>
        <w:t>CQ3 query testing evidence — regenerated Assignment 9 sample</w:t>
      </w:r>
    </w:p>
    <w:tbl>
      <w:tblPr>
        <w:tblStyle w:val="LightShading-Accent1"/>
        <w:tblW w:type="auto" w:w="0"/>
        <w:jc w:val="center"/>
        <w:tblLook w:firstColumn="1" w:firstRow="1" w:lastColumn="0" w:lastRow="0" w:noHBand="0" w:noVBand="1" w:val="04A0"/>
      </w:tblPr>
      <w:tblGrid>
        <w:gridCol w:w="2469"/>
        <w:gridCol w:w="2469"/>
        <w:gridCol w:w="2469"/>
        <w:gridCol w:w="2469"/>
      </w:tblGrid>
      <w:tr>
        <w:tc>
          <w:tcPr>
            <w:tcW w:type="dxa" w:w="2469"/>
            <w:vAlign w:val="center"/>
            <w:shd w:fill="DCEBDD"/>
          </w:tcPr>
          <w:p>
            <w:r>
              <w:t>Query</w:t>
            </w:r>
          </w:p>
        </w:tc>
        <w:tc>
          <w:tcPr>
            <w:tcW w:type="dxa" w:w="2469"/>
            <w:vAlign w:val="center"/>
            <w:shd w:fill="DCEBDD"/>
          </w:tcPr>
          <w:p>
            <w:r>
              <w:t>Reasoner</w:t>
            </w:r>
          </w:p>
        </w:tc>
        <w:tc>
          <w:tcPr>
            <w:tcW w:type="dxa" w:w="2469"/>
            <w:vAlign w:val="center"/>
            <w:shd w:fill="DCEBDD"/>
          </w:tcPr>
          <w:p>
            <w:r>
              <w:t>Observed</w:t>
            </w:r>
          </w:p>
        </w:tc>
        <w:tc>
          <w:tcPr>
            <w:tcW w:type="dxa" w:w="2469"/>
            <w:vAlign w:val="center"/>
            <w:shd w:fill="DCEBDD"/>
          </w:tcPr>
          <w:p>
            <w:r>
              <w:t>Notes / sample IDs</w:t>
            </w:r>
          </w:p>
        </w:tc>
      </w:tr>
      <w:tr>
        <w:tc>
          <w:tcPr>
            <w:tcW w:type="dxa" w:w="2469"/>
            <w:vAlign w:val="center"/>
          </w:tcPr>
          <w:p>
            <w:r>
              <w:t>A1 — supports</w:t>
            </w:r>
          </w:p>
        </w:tc>
        <w:tc>
          <w:tcPr>
            <w:tcW w:type="dxa" w:w="2469"/>
            <w:vAlign w:val="center"/>
          </w:tcPr>
          <w:p>
            <w:r>
              <w:t>None</w:t>
            </w:r>
          </w:p>
        </w:tc>
        <w:tc>
          <w:tcPr>
            <w:tcW w:type="dxa" w:w="2469"/>
            <w:vAlign w:val="center"/>
          </w:tcPr>
          <w:p>
            <w:r>
              <w:t>6 rows / 6 Claims</w:t>
            </w:r>
          </w:p>
        </w:tc>
        <w:tc>
          <w:tcPr>
            <w:tcW w:type="dxa" w:w="2469"/>
            <w:vAlign w:val="center"/>
          </w:tcPr>
          <w:p>
            <w:r>
              <w:t>M0004, M0008, M0018, M0019, M0038, M0060; text populated</w:t>
            </w:r>
          </w:p>
        </w:tc>
      </w:tr>
      <w:tr>
        <w:tc>
          <w:tcPr>
            <w:tcW w:type="dxa" w:w="2469"/>
            <w:vAlign w:val="center"/>
          </w:tcPr>
          <w:p>
            <w:r>
              <w:t>A2 — challenges</w:t>
            </w:r>
          </w:p>
        </w:tc>
        <w:tc>
          <w:tcPr>
            <w:tcW w:type="dxa" w:w="2469"/>
            <w:vAlign w:val="center"/>
          </w:tcPr>
          <w:p>
            <w:r>
              <w:t>None</w:t>
            </w:r>
          </w:p>
        </w:tc>
        <w:tc>
          <w:tcPr>
            <w:tcW w:type="dxa" w:w="2469"/>
            <w:vAlign w:val="center"/>
          </w:tcPr>
          <w:p>
            <w:r>
              <w:t>7 rows / 6 moves</w:t>
            </w:r>
          </w:p>
        </w:tc>
        <w:tc>
          <w:tcPr>
            <w:tcW w:type="dxa" w:w="2469"/>
            <w:vAlign w:val="center"/>
          </w:tcPr>
          <w:p>
            <w:r>
              <w:t>M0010, M0013, M0014, M0015, M0016, M0050 (2 text spans)</w:t>
            </w:r>
          </w:p>
        </w:tc>
      </w:tr>
      <w:tr>
        <w:tc>
          <w:tcPr>
            <w:tcW w:type="dxa" w:w="2469"/>
            <w:vAlign w:val="center"/>
          </w:tcPr>
          <w:p>
            <w:r>
              <w:t>B1 — supporting Claims currently Supported</w:t>
            </w:r>
          </w:p>
        </w:tc>
        <w:tc>
          <w:tcPr>
            <w:tcW w:type="dxa" w:w="2469"/>
            <w:vAlign w:val="center"/>
          </w:tcPr>
          <w:p>
            <w:r>
              <w:t>HermiT</w:t>
            </w:r>
          </w:p>
        </w:tc>
        <w:tc>
          <w:tcPr>
            <w:tcW w:type="dxa" w:w="2469"/>
            <w:vAlign w:val="center"/>
          </w:tcPr>
          <w:p>
            <w:r>
              <w:t>5 Claims</w:t>
            </w:r>
          </w:p>
        </w:tc>
        <w:tc>
          <w:tcPr>
            <w:tcW w:type="dxa" w:w="2469"/>
            <w:vAlign w:val="center"/>
          </w:tcPr>
          <w:p>
            <w:r>
              <w:t>M0004, M0008, M0018, M0038, M0060</w:t>
            </w:r>
          </w:p>
        </w:tc>
      </w:tr>
      <w:tr>
        <w:tc>
          <w:tcPr>
            <w:tcW w:type="dxa" w:w="2469"/>
            <w:vAlign w:val="center"/>
          </w:tcPr>
          <w:p>
            <w:r>
              <w:t>B2 — challenging Claims currently Supported</w:t>
            </w:r>
          </w:p>
        </w:tc>
        <w:tc>
          <w:tcPr>
            <w:tcW w:type="dxa" w:w="2469"/>
            <w:vAlign w:val="center"/>
          </w:tcPr>
          <w:p>
            <w:r>
              <w:t>HermiT</w:t>
            </w:r>
          </w:p>
        </w:tc>
        <w:tc>
          <w:tcPr>
            <w:tcW w:type="dxa" w:w="2469"/>
            <w:vAlign w:val="center"/>
          </w:tcPr>
          <w:p>
            <w:r>
              <w:t>1 Claim</w:t>
            </w:r>
          </w:p>
        </w:tc>
        <w:tc>
          <w:tcPr>
            <w:tcW w:type="dxa" w:w="2469"/>
            <w:vAlign w:val="center"/>
          </w:tcPr>
          <w:p>
            <w:r>
              <w:t>M0013</w:t>
            </w:r>
          </w:p>
        </w:tc>
      </w:tr>
      <w:tr>
        <w:tc>
          <w:tcPr>
            <w:tcW w:type="dxa" w:w="2469"/>
            <w:vAlign w:val="center"/>
          </w:tcPr>
          <w:p>
            <w:r>
              <w:t>Earlier C1 — direct supports</w:t>
            </w:r>
          </w:p>
        </w:tc>
        <w:tc>
          <w:tcPr>
            <w:tcW w:type="dxa" w:w="2469"/>
            <w:vAlign w:val="center"/>
          </w:tcPr>
          <w:p>
            <w:r>
              <w:t>None / HermiT</w:t>
            </w:r>
          </w:p>
        </w:tc>
        <w:tc>
          <w:tcPr>
            <w:tcW w:type="dxa" w:w="2469"/>
            <w:vAlign w:val="center"/>
          </w:tcPr>
          <w:p>
            <w:r>
              <w:t>0 / 6 previously</w:t>
            </w:r>
          </w:p>
        </w:tc>
        <w:tc>
          <w:tcPr>
            <w:tcW w:type="dxa" w:w="2469"/>
            <w:vAlign w:val="center"/>
          </w:tcPr>
          <w:p>
            <w:r>
              <w:t>Previous individuals format; not yet re-tested on new data</w:t>
            </w:r>
          </w:p>
        </w:tc>
      </w:tr>
      <w:tr>
        <w:tc>
          <w:tcPr>
            <w:tcW w:type="dxa" w:w="2469"/>
          </w:tcPr>
          <w:p>
            <w:r>
              <w:t>Earlier C2 — direct challenges</w:t>
            </w:r>
          </w:p>
        </w:tc>
        <w:tc>
          <w:tcPr>
            <w:tcW w:type="dxa" w:w="2469"/>
          </w:tcPr>
          <w:p>
            <w:r>
              <w:t>HermiT</w:t>
            </w:r>
          </w:p>
        </w:tc>
        <w:tc>
          <w:tcPr>
            <w:tcW w:type="dxa" w:w="2469"/>
          </w:tcPr>
          <w:p>
            <w:r>
              <w:t>6 previously</w:t>
            </w:r>
          </w:p>
        </w:tc>
        <w:tc>
          <w:tcPr>
            <w:tcW w:type="dxa" w:w="2469"/>
          </w:tcPr>
          <w:p>
            <w:r>
              <w:t>Previous individuals format; not yet re-tested on new data</w:t>
            </w:r>
          </w:p>
        </w:tc>
      </w:tr>
    </w:tbl>
    <w:p>
      <w:pPr>
        <w:spacing w:before="80"/>
      </w:pPr>
      <w:r>
        <w:rPr>
          <w:b/>
        </w:rPr>
        <w:t>Interpretation: A1/A2 retrieve explicitly recorded relationships and associated text. B1/B2 check the current State individual’s Supported classification while HermiT is active; we have not performed a None-versus-HermiT comparison for those state classifications. Earlier direct supports/challenges reasoning demonstrations used the previous individuals representation and must be re-tested with the new CQSample identifiers before being claimed as current-dataset results.</w:t>
      </w:r>
      <w:r/>
    </w:p>
    <w:p>
      <w:pPr>
        <w:pStyle w:val="Heading1"/>
      </w:pPr>
      <w:r>
        <w:t>5. How I used AI</w:t>
      </w:r>
    </w:p>
    <w:p>
      <w:r>
        <w:t>I used ChatGPT to help draft and refine the CQ3 SPARQL queries and update the use case and report text. I tested the relevant queries in Protégé/Snap SPARQL, checked actual result counts, and corrected AI-suggested assumptions when they did not match the current file structure or the reviewer’s feedback.</w:t>
      </w:r>
    </w:p>
    <w:p>
      <w:pPr>
        <w:pStyle w:val="Heading1"/>
      </w:pPr>
      <w:r>
        <w:t>6. Statement of contribution</w:t>
      </w:r>
    </w:p>
    <w:p>
      <w:r>
        <w:t>Matthew Lausev: Revised and tested CQ3-A1/A2 to report move identifiers, types, and utterance text; revised and tested CQ3-B1/B2 to identify current Supported Claims among those linked to Platform A; and updated the CQ3 use case and report. Team-wide ontology changes and final integration remain the responsibility of the team. No new Assignment 9 ontology axioms or individual assertions were added as part of this CQ3 query revision.</w:t>
      </w:r>
    </w:p>
    <w:sectPr w:rsidR="00FC693F" w:rsidRPr="0006063C" w:rsidSect="00034616">
      <w:footerReference w:type="default" r:id="rId9"/>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26E"/>
        <w:sz w:val="16"/>
      </w:rPr>
      <w:t>Matthew · CQ3 | Individual contribution text for the team’s Assignment 9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85F33"/>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ptos Display" w:hAnsi="Aptos Display"/>
      <w:b/>
      <w:color w:val="21472E"/>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