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 the last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 to 50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Usually on mobile and I use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these sort of games to pass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What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’s the point in playing a long game like that for under an hour at a time, you barely make any progress, and maybe you just want a farming sesh so you’d need to devote a considerable amount of time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I tend to rage-quit these games if i consistently get bad scores, however, if i progress quickly I tend to spend more time on these sort of games.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Pixel art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highlight w:val="yellow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3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3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4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4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Pirate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highlight w:val="yellow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6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health system would you think is easier to have in a running game?</w:t>
      </w:r>
    </w:p>
    <w:tbl>
      <w:tblPr>
        <w:tblStyle w:val="Table12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Health bar (HP)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Easier to mathematically code health deductions in accordance to enemy weapon ai and such.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So I can prove I am better than Isaac 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5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3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have a combat system but do include enemies !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Pretty good ideas tho m8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Ayo Oluyede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20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22/09/16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4.jpg"/><Relationship Id="rId7" Type="http://schemas.openxmlformats.org/officeDocument/2006/relationships/image" Target="media/image07.png"/><Relationship Id="rId8" Type="http://schemas.openxmlformats.org/officeDocument/2006/relationships/image" Target="media/image06.gif"/></Relationships>
</file>