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20 to 50 hours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PC/Mac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I en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joy other competitive games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“” “”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2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highlight w:val="green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highlight w:val="red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6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2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Gives incentives to play the game and gain acknowledgement for your own achievements.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3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4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5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A main theme/ story line that is interesting/engaging. (e.g fantasy)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7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Fantasy. Similar to WoW, LoTD or more Maplestory/Fire Emblem.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Dillon Lieu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21/09/2016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6.gif"/></Relationships>
</file>