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14C66" w14:textId="416416A4" w:rsidR="003F5F41" w:rsidRDefault="008120FF" w:rsidP="008120FF">
      <w:pPr>
        <w:jc w:val="center"/>
      </w:pPr>
      <w:r>
        <w:t>Portfolio Reflection</w:t>
      </w:r>
    </w:p>
    <w:p w14:paraId="7024A728" w14:textId="77777777" w:rsidR="00491E7E" w:rsidRPr="00491E7E" w:rsidRDefault="00491E7E" w:rsidP="00491E7E">
      <w:pPr>
        <w:ind w:firstLine="720"/>
      </w:pPr>
      <w:r w:rsidRPr="00491E7E">
        <w:t>This project moved me from “fix security later” to “build security in.” I adopted the SEI CERT C and C++ rules as the baseline and mapped ten rules to Green Pace’s principles (for example STR50 and STR53 for string and range safety, CTR50 for indices, INT50 for enums, MEM50 for memory lifetime, ERR61 for exceptions, DCL50 for language safety, MSC50 and MSC11 for randomness and assertions, OOP52 for virtual destructors). I wrote noncompliant and compliant examples, then enforced them in the workflow: warnings as errors, clang-tidy with a CERT profile, Sonar or CodeQL or Semgrep on every pull request, and unit and integration tests with ASan and UBSan. The result is that security shapes design and code up front, and violations fail fast in CI instead of surfacing late.</w:t>
      </w:r>
    </w:p>
    <w:p w14:paraId="2D4EC590" w14:textId="64C32537" w:rsidR="00491E7E" w:rsidRPr="00491E7E" w:rsidRDefault="00491E7E" w:rsidP="00491E7E">
      <w:pPr>
        <w:ind w:firstLine="720"/>
      </w:pPr>
      <w:r w:rsidRPr="00491E7E">
        <w:t>I scored each standard by severity, likelihood, remediation cost, priority, and level, then compared expected loss to the cost of the fix. This kept me focused on high value work. For example, replacing string-built SQL with prepared statements and adding a taint rule in CI has a low implementation cost and drops the likelihood of SQL injection by a large margin, so it is a high return control. Some refactors that reduce already unlikely risks have a higher cost and can be scheduled later. Using this matrix to order the backlog made my security choices defensible and measurable.</w:t>
      </w:r>
    </w:p>
    <w:p w14:paraId="41FE01D9" w14:textId="77777777" w:rsidR="00491E7E" w:rsidRPr="00491E7E" w:rsidRDefault="00491E7E" w:rsidP="00491E7E">
      <w:pPr>
        <w:ind w:firstLine="720"/>
      </w:pPr>
      <w:r w:rsidRPr="00491E7E">
        <w:t xml:space="preserve">I applied Zero Trust at the code and service level. Inputs are validated with allow lists and strict ranges, and defaults deny rather than allow. Data access uses least privilege, database calls are parameterized, and secrets live in a key management service. Between services the design uses authenticated transport and short lived credentials. In code I prefer .at() over unchecked indexing, use RAII to avoid use after free, add assertions with runtime guards, and sanitize or </w:t>
      </w:r>
      <w:r w:rsidRPr="00491E7E">
        <w:lastRenderedPageBreak/>
        <w:t>encode data at boundaries. Logs and metrics give continuous verification so we can see that the controls are working.</w:t>
      </w:r>
    </w:p>
    <w:p w14:paraId="4EA1918F" w14:textId="77777777" w:rsidR="00491E7E" w:rsidRPr="00491E7E" w:rsidRDefault="00491E7E" w:rsidP="00491E7E">
      <w:pPr>
        <w:ind w:firstLine="720"/>
      </w:pPr>
      <w:r w:rsidRPr="00491E7E">
        <w:t>I wrote clear policies that the pipeline can enforce. Coding policy: adopt CERT, compile with high warning levels and treat warnings as errors, require prepared SQL, prohibit insecure randomness for secrets, and require virtual destructors in polymorphic bases. Encryption policy: TLS 1.2 or 1.3 for data in transit, disk and database encryption with keys in KMS for data at rest, and minimize plaintext in memory with HSM or TEE for sensitive operations. AAA policy: SSO with MFA, role based access with deny by default and just in time elevation, centralized immutable audit logs with alerts. These policies are tied to automation in the DevSecOps flow: IDE linting and pre commit checks, SAST in CI, sanitizer test jobs, nightly memory checks, and quality gates that block merges on new high severity findings. Together, the standards, the risk model, Zero Trust practices, and these automated policies make security intrinsic to the project rather than an afterthought.</w:t>
      </w:r>
    </w:p>
    <w:p w14:paraId="62C1F8DA" w14:textId="77777777" w:rsidR="008120FF" w:rsidRDefault="008120FF" w:rsidP="00491E7E">
      <w:pPr>
        <w:ind w:firstLine="720"/>
      </w:pPr>
    </w:p>
    <w:sectPr w:rsidR="008120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0FF"/>
    <w:rsid w:val="00193DA5"/>
    <w:rsid w:val="003F5F41"/>
    <w:rsid w:val="003F6BE0"/>
    <w:rsid w:val="00491E7E"/>
    <w:rsid w:val="005B2F14"/>
    <w:rsid w:val="006B1E2C"/>
    <w:rsid w:val="00812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DFE70"/>
  <w15:chartTrackingRefBased/>
  <w15:docId w15:val="{4BFBFFA3-3A89-4DB4-9B10-FEE96869E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0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0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120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120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20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20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20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0F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0F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120F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120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120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120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120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12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0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0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120FF"/>
    <w:pPr>
      <w:spacing w:before="160"/>
      <w:jc w:val="center"/>
    </w:pPr>
    <w:rPr>
      <w:i/>
      <w:iCs/>
      <w:color w:val="404040" w:themeColor="text1" w:themeTint="BF"/>
    </w:rPr>
  </w:style>
  <w:style w:type="character" w:customStyle="1" w:styleId="QuoteChar">
    <w:name w:val="Quote Char"/>
    <w:basedOn w:val="DefaultParagraphFont"/>
    <w:link w:val="Quote"/>
    <w:uiPriority w:val="29"/>
    <w:rsid w:val="008120FF"/>
    <w:rPr>
      <w:i/>
      <w:iCs/>
      <w:color w:val="404040" w:themeColor="text1" w:themeTint="BF"/>
    </w:rPr>
  </w:style>
  <w:style w:type="paragraph" w:styleId="ListParagraph">
    <w:name w:val="List Paragraph"/>
    <w:basedOn w:val="Normal"/>
    <w:uiPriority w:val="34"/>
    <w:qFormat/>
    <w:rsid w:val="008120FF"/>
    <w:pPr>
      <w:ind w:left="720"/>
      <w:contextualSpacing/>
    </w:pPr>
  </w:style>
  <w:style w:type="character" w:styleId="IntenseEmphasis">
    <w:name w:val="Intense Emphasis"/>
    <w:basedOn w:val="DefaultParagraphFont"/>
    <w:uiPriority w:val="21"/>
    <w:qFormat/>
    <w:rsid w:val="008120FF"/>
    <w:rPr>
      <w:i/>
      <w:iCs/>
      <w:color w:val="0F4761" w:themeColor="accent1" w:themeShade="BF"/>
    </w:rPr>
  </w:style>
  <w:style w:type="paragraph" w:styleId="IntenseQuote">
    <w:name w:val="Intense Quote"/>
    <w:basedOn w:val="Normal"/>
    <w:next w:val="Normal"/>
    <w:link w:val="IntenseQuoteChar"/>
    <w:uiPriority w:val="30"/>
    <w:qFormat/>
    <w:rsid w:val="00812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0FF"/>
    <w:rPr>
      <w:i/>
      <w:iCs/>
      <w:color w:val="0F4761" w:themeColor="accent1" w:themeShade="BF"/>
    </w:rPr>
  </w:style>
  <w:style w:type="character" w:styleId="IntenseReference">
    <w:name w:val="Intense Reference"/>
    <w:basedOn w:val="DefaultParagraphFont"/>
    <w:uiPriority w:val="32"/>
    <w:qFormat/>
    <w:rsid w:val="008120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Cheek</dc:creator>
  <cp:keywords/>
  <dc:description/>
  <cp:lastModifiedBy>Thomas Cheek</cp:lastModifiedBy>
  <cp:revision>1</cp:revision>
  <dcterms:created xsi:type="dcterms:W3CDTF">2025-10-26T21:18:00Z</dcterms:created>
  <dcterms:modified xsi:type="dcterms:W3CDTF">2025-10-26T21:43:00Z</dcterms:modified>
</cp:coreProperties>
</file>