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Calibri" w:hAnsi="Calibri"/>
          <w:b/>
          <w:color w:val="0D5C75"/>
          <w:sz w:val="56"/>
        </w:rPr>
        <w:t xml:space="preserve">LifeLink Healthcare Grid</w:t>
      </w:r>
    </w:p>
    <w:p>
      <w:pPr>
        <w:pStyle w:val="Subtitle"/>
        <w:jc w:val="center"/>
      </w:pPr>
      <w:r>
        <w:rPr>
          <w:rFonts w:ascii="Calibri" w:hAnsi="Calibri"/>
          <w:i/>
          <w:color w:val="64748B"/>
          <w:sz w:val="28"/>
        </w:rPr>
        <w:t xml:space="preserve">Digital Blood and Organ Donation Management and Tracking System</w:t>
      </w:r>
    </w:p>
    <w:p>
      <w:pPr>
        <w:spacing w:after="360"/>
        <w:jc w:val="center"/>
      </w:pPr>
      <w:r>
        <w:rPr>
          <w:b/>
          <w:color w:val="0D5C75"/>
          <w:rFonts w:ascii="Calibri" w:hAnsi="Calibri"/>
        </w:rPr>
        <w:t xml:space="preserve">Comprehensive Architecture, Clinical Workflows, Security Model &amp; System Specification</w:t>
      </w:r>
    </w:p>
    <w:tbl>
      <w:tblPr>
        <w:tblW w:w="9200" w:type="dxa"/>
        <w:tblBorders>
          <w:top w:val="none"/>
          <w:left w:val="single" w:sz="36" w:space="0" w:color="0D5C75"/>
          <w:bottom w:val="none"/>
          <w:right w:val="none"/>
          <w:insideH w:val="none"/>
          <w:insideV w:val="none"/>
        </w:tblBorders>
        <w:tblCellMar>
          <w:top w:w="160" w:type="dxa"/>
          <w:left w:w="240" w:type="dxa"/>
          <w:bottom w:w="160" w:type="dxa"/>
          <w:right w:w="200" w:type="dxa"/>
        </w:tblCellMar>
      </w:tblPr>
      <w:tr>
        <w:tc>
          <w:tcPr>
            <w:shd w:val="clear" w:color="auto" w:fill="F0FDFA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D5C75"/>
                <w:sz w:val="22"/>
              </w:rPr>
              <w:t>Statutory Regulatory Notice (THOA &amp; NOTTO Compliance)</w:t>
            </w:r>
          </w:p>
          <w:p>
            <w:pPr>
              <w:spacing w:after="40"/>
            </w:pPr>
            <w:r>
              <w:rPr>
                <w:rFonts w:ascii="Calibri" w:hAnsi="Calibri"/>
                <w:color w:val="134E4A"/>
                <w:sz w:val="20"/>
              </w:rPr>
              <w:t>LifeLink is an independent healthcare technology platform engineered to facilitate real-time discovery and inventory tracking. In strict compliance with national hemovigilance and anatomical gift frameworks (THOA / NOTTO), final clinical compatibility cross-matching, blood safety screening, and organ transplant authorizations must be executed by certified medical personnel and statutory authorities.</w:t>
            </w:r>
          </w:p>
        </w:tc>
      </w:tr>
    </w:tbl>
    <w:p>
      <w:pPr>
        <w:spacing w:after="200"/>
      </w:pPr>
      <w:r>
        <w:rPr>
          <w:rFonts w:ascii="Calibri" w:hAnsi="Calibri"/>
        </w:rPr>
        <w:t xml:space="preserv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1. Executive Summary &amp; Clinical Problem Space</w:t>
      </w:r>
    </w:p>
    <w:p>
      <w:r>
        <w:rPr>
          <w:rFonts w:ascii="Calibri" w:hAnsi="Calibri"/>
        </w:rPr>
        <w:t xml:space="preserve">In critical healthcare coordination and emergency trauma medicine, immediate access to biological supplies is the primary determinant of patient survival. Fragmented manual logs, telephone-based donor searches, and untracked blood bank stocks frequently lead to life-threatening delays. Furthermore, navigating expressions of anatomical gift intent requires strict regulatory compliance, transparent counseling documentation, and multi-party verification gates.</w:t>
      </w:r>
    </w:p>
    <w:p>
      <w:pPr>
        <w:spacing w:before="120" w:after="120"/>
      </w:pPr>
      <w:r>
        <w:rPr>
          <w:b/>
          <w:rFonts w:ascii="Calibri" w:hAnsi="Calibri"/>
        </w:rPr>
        <w:t xml:space="preserve">LifeLink provides a dual-track digital coordination 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b/>
          <w:color w:val="0F172A"/>
        </w:rPr>
        <w:t xml:space="preserve">Track 1: </w:t>
      </w:r>
      <w:r>
        <w:rPr>
          <w:rFonts w:ascii="Calibri" w:hAnsi="Calibri"/>
          <w:color w:val="334155"/>
          <w:sz w:val="22"/>
        </w:rPr>
        <w:t xml:space="preserve">Real-Time Blood Allocation Mesh: High-speed, rule-based ABO/Rh cross-matching, privacy-preserving geospatial donor discovery, and concurrency-locked cold-chain blood bank inventory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b/>
          <w:color w:val="0F172A"/>
        </w:rPr>
        <w:t xml:space="preserve">Track 2: </w:t>
      </w:r>
      <w:r>
        <w:rPr>
          <w:rFonts w:ascii="Calibri" w:hAnsi="Calibri"/>
          <w:color w:val="334155"/>
          <w:sz w:val="22"/>
        </w:rPr>
        <w:t xml:space="preserve">Statutory Organ Coordination Desk: A dedicated governance module strictly decoupled from commercial blood matching, enforcing non-negotiable verification gates, next-of-kin counseling acknowledgments, and immutable cryptographic audit ledgers.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2. System Architecture &amp; Technology Stack</w:t>
      </w:r>
    </w:p>
    <w:p>
      <w:r>
        <w:rPr>
          <w:rFonts w:ascii="Calibri" w:hAnsi="Calibri"/>
        </w:rPr>
        <w:t xml:space="preserve">The platform is engineered using modern, production-grade technologies across all tiers:</w:t>
      </w:r>
    </w:p>
    <w:tbl>
      <w:tblPr>
        <w:tblW w:w="0" w:type="auto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System Layer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Role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Frontend Client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React 19, TypeScript, Vite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High-performance SPA with sub-second compilation and type safety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Styling &amp; Design System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Vanilla CSS &amp; Tailwind CSS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Modern healthcare theme: Deep Teal (#0D5C75), Mint (#10B981), Crimson SOS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Real-Time Gateway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Socket.IO WebSockets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Sub-millisecond broadcast of Emergency SOS events and stock updates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Audio Synthesizer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Web Audio API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Browser-native ambulance siren synthesizer without external MP3 dependencies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Data Analytics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Recharts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Interactive demand curves, blood group stock matrix, and donor trends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Backend REST API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Node.js, Express.js (/api/v1)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RESTful controllers with Helmet, CORS, and Express Rate Limiting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Authentication &amp; RBAC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Stateless JWT, Bcrypt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Role-based token validation across 6 healthcare personas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Persistence Tier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MySQL 8.0 &amp; ACID Relational Adapter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Dual-engine relational abstraction ensuring zero downtime and ACID integrity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Audit Ledger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SHA-256 Hash Chaining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Cryptographically verifiable tamper-evident activity ledger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Background Scheduler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Node.js Cron Interval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Automated cold-chain blood expiration and low-stock quarantining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3. Healthcare Personas &amp; Role-Based Workspaces</w:t>
      </w:r>
    </w:p>
    <w:p>
      <w:r>
        <w:rPr>
          <w:rFonts w:ascii="Calibri" w:hAnsi="Calibri"/>
        </w:rPr>
        <w:t xml:space="preserve">To ensure clinical compliance, each user persona accesses an isolated workspace with strictly enforced permissions: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3.1 Voluntary Citizen Donor (DONOR)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Digital Donor Card &amp; Profile with verified blood group and registration badge.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Emergency Blood Appeals displaying urgent regional hospital calls with live distance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Eligibility Countdown Tracking enforcing 90-day whole blood and 14-day platelet cooldowns.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Statutory Anatomical Gift Pledge for voluntary organ donation (Kidney, Liver, Heart, Lung, Pancreas, Cornea).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Granular Privacy &amp; Consent Governance with 1-click statutory consent withdrawal.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3.2 Patient / Family Requester (RECIPIENT)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Emergency &amp; Scheduled Requisitions logging required units, blood component, and clinical urgency.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Transparent Status Pipeline: Submitted -&gt; Matching -&gt; Donor Contacted -&gt; Fulfilled.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Regional Cold-Chain Discovery to locate blood banks with available stock buffers.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3.3 Hospital Surgical &amp; Trauma Center (HOSPITAL)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Trauma ICU Command Desk with instant emergency patient admission.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Trauma SOS Dispatcher broadcasting urgent calls with synchronized audio sirens.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Clinical Donor Cross-Matching evaluating ABO/Rh compatibility rules within perimeter radii.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Blood Bank Unit Reservations with ACID concurrency protection preventing double-allocation.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Organ Transplant Referrals submitting surgical candidate cases to the coordinator network.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3.4 Regional Blood Bank Authority (BLOOD_BANK)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Cold Chain Storage Matrix managing Packed RBC, Whole Blood, Platelets, FFP, and Cryoprecipitate.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Storage Rack &amp; Batch Control tracking collection dates, expiration dates, and batch barcodes.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Atomic Stock Intake &amp; Reservation Locks preventing negative inventory or overselling.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Automatic Quarantine Alerts for expired units or low safety thresholds.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3.5 Organ Transplant Coordinator (COORDINATOR)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Ethical Coordination Hub adhering to national NOTTO and THOA frameworks.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Expression of Intent Verification confirming voluntary consent and next-of-kin counseling.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Transplant Waitlist Registry prioritizing end-stage candidates based on medical criteria.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Formal Authorized Review Gates required prior to any organ retrieval procedure.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3.6 System Health Grid Administrator (ADMINISTRATOR)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Executive Telemetry monitoring regional donor metrics, shortages, and hospital operations.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Cryptographic SHA-256 Audit Ledger providing complete forensic traceability.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Facility Credentialing Queue verifying medical licenses and hospital accreditations.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4. Clinical Compatibility &amp; Discovery Algorithms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4.1 ABO/Rh Medical Compatibility Matrix</w:t>
      </w:r>
    </w:p>
    <w:tbl>
      <w:tblPr>
        <w:tblW w:w="0" w:type="auto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Patient Blood Type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Compatible Packed RBC Donors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Compatible Platelet / Plasma Donors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 Negative (O-)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 only (Universal RBC Donor)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O+, A-, A+, B-, B+, AB-, AB+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 Positive (O+)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O+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O+, A+, B+, AB+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 Negative (A-)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A-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A-, A+, AB-, AB+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 Positive (A+)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O+, A-, A+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A+, AB+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 Negative (B-)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B-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B-, B+, AB-, AB+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 Positive (B+)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O+, B-, B+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B+, AB+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AB Negative (AB-)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O-, A-, B-, AB-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AB-, AB+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AB Positive (AB+)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All Groups (Universal Recipient)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AB+ only (Universal Plasma Donor)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4.2 Privacy-Preserving Geospatial Distance Decay</w:t>
      </w:r>
    </w:p>
    <w:p>
      <w:r>
        <w:rPr>
          <w:rFonts w:ascii="Calibri" w:hAnsi="Calibri"/>
        </w:rPr>
        <w:t xml:space="preserve">To prevent exposing exact residential coordinates of voluntary donors, raw coordinates are snapped to 1-kilometer grid centroids. The matching engine computes composite donor scores using distance decay: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Score = (ClinicalCompatibility * 0.50) + (1.0 - Distance/MaxRadius) * 0.30 + (DonorReliability * 0.20)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4.3 Concurrency-Safe ACID Inventory Reservations</w:t>
      </w:r>
    </w:p>
    <w:p>
      <w:r>
        <w:rPr>
          <w:rFonts w:ascii="Calibri" w:hAnsi="Calibri"/>
        </w:rPr>
        <w:t xml:space="preserve">When hospital trauma centers requisition blood units simultaneously, the database executes row-level transactional locks to verify units_available &gt;= requested_units before atomically decrementing available units and incrementing reserved units. This eliminates duplicate reservations.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5. REST API Architecture (/api/v1)</w:t>
      </w:r>
    </w:p>
    <w:tbl>
      <w:tblPr>
        <w:tblW w:w="0" w:type="auto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Access Role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/api/v1/auth/register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Public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Register user under chosen healthcare role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/api/v1/auth/login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Public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Authenticate and issue stateless JWT token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/api/v1/auth/me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Authenticated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Retrieve active authenticated user profile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/api/v1/blood-requests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All Roles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List filtered blood requisitions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/api/v1/blood-requests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Recipient / Hospital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Create new blood requisition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/api/v1/blood-requests/sos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 / Admin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Broadcast critical trauma SOS with siren event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PATCH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/api/v1/blood-requests/:id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 / Bank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Update status (Matching -&gt; Contacted -&gt; Fulfilled)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/api/v1/inventory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All Roles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Query regional cold-chain stock levels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/api/v1/inventory/reserve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 / Bank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Execute concurrency-safe unit reservation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/api/v1/matching/candidates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 / Admin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Discover compatible donors and stock buffers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/api/v1/organs/intents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Donor / Coord / Admin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Query voluntary expressions of organ intent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POST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/api/v1/organs/intents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Donor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Submit voluntary anatomical gift pledge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PATCH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/api/v1/organs/intents/:id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Coordinator / Admin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Advance statutory review verification gate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/api/v1/audit/logs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Administrator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Inspect cryptographic SHA-256 audit ledger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GET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/api/v1/health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Public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Check backend uptime and database health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/>
          <w:b/>
          <w:color w:val="0D5C75"/>
          <w:sz w:val="36"/>
        </w:rPr>
        <w:t xml:space="preserve">6. Verification, Testing &amp; Operational Runbook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6.1 Quality &amp; Automated Test Suite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Automated Tests: 20/20 Vitest + Supertest integration tests passing (100% pass rate).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Static Analysis: npx oxlint passed with 0 errors and 0 warnings across 63 files.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Production Bundle: npm run build compiles cleanly into dist/ in under 1 second.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6.2 Quick Launch Commands</w:t>
      </w:r>
    </w:p>
    <w:p>
      <w:r>
        <w:rPr>
          <w:b/>
          <w:rFonts w:ascii="Calibri" w:hAnsi="Calibri"/>
        </w:rPr>
        <w:t xml:space="preserve">Simultaneous 1-Command Startup (Backend API + Frontend Web App):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npm run dev:all (or npm start) - runs both servers concurrently with colored logs.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start.bat - Windows 1-click batch launcher.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hAnsi="Calibri"/>
          <w:color w:val="334155"/>
          <w:sz w:val="22"/>
        </w:rPr>
        <w:t xml:space="preserve">.\start.ps1 - PowerShell full-stack launch script.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E293B"/>
          <w:sz w:val="28"/>
        </w:rPr>
        <w:t xml:space="preserve">6.3 Default Test Accounts (Password: password123)</w:t>
      </w:r>
    </w:p>
    <w:tbl>
      <w:tblPr>
        <w:tblW w:w="0" w:type="auto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Healthcare Persona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 Login Email</w:t>
            </w:r>
          </w:p>
        </w:tc>
        <w:tc>
          <w:tcPr>
            <w:shd w:val="clear" w:color="auto" w:fill="0D5C7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Default Password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Voluntary Citizen Donor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donor@lifelink.org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Patient / Family Requester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recipient@lifelink.org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 Trauma Center Head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hospital@metrogeneral.org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Blood Bank Regional Admin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bloodbank@citybank.org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  <w:tr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Organ Transplant Coordinator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coordinator@organgrid.org</w:t>
            </w:r>
          </w:p>
        </w:tc>
        <w:tc>
          <w:tcPr>
            <w:shd w:val="clear" w:color="auto"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  <w:tr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System Grid Administrator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admin@lifelink.org</w:t>
            </w:r>
          </w:p>
        </w:tc>
        <w:tc>
          <w:tcPr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0"/>
              </w:rPr>
              <w:t>password123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color w:val="334155"/>
        <w:lang w:val="en-US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56"/>
      <w:color w:val="0D5C75"/>
    </w:rPr>
  </w:style>
  <w:style w:type="paragraph" w:styleId="Subtitle">
    <w:name w:val="Subtitle"/>
    <w:basedOn w:val="Normal"/>
    <w:rPr>
      <w:i/>
      <w:sz w:val="28"/>
      <w:color w:val="64748B"/>
    </w:rPr>
  </w:style>
  <w:style w:type="paragraph" w:styleId="Heading1">
    <w:name w:val="heading 1"/>
    <w:basedOn w:val="Normal"/>
    <w:rPr>
      <w:b/>
      <w:sz w:val="36"/>
      <w:color w:val="0D5C75"/>
    </w:rPr>
  </w:style>
  <w:style w:type="paragraph" w:styleId="Heading2">
    <w:name w:val="heading 2"/>
    <w:basedOn w:val="Normal"/>
    <w:rPr>
      <w:b/>
      <w:sz w:val="28"/>
      <w:color w:val="1E293B"/>
    </w:rPr>
  </w:style>
  <w:style w:type="paragraph" w:styleId="Heading3">
    <w:name w:val="heading 3"/>
    <w:basedOn w:val="Normal"/>
    <w:rPr>
      <w:b/>
      <w:sz w:val="24"/>
      <w:color w:val="0F766E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