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Normal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Project Development Phase</w:t>
      </w:r>
    </w:p>
    <w:p>
      <w:pPr>
        <w:pStyle w:val="Normal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Model Performance Test</w:t>
      </w:r>
    </w:p>
    <w:p>
      <w:pPr>
        <w:pStyle w:val="Normal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508"/>
        <w:gridCol w:w="450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Style w:val="Normal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Date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Style w:val="Normal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14 October 2026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Style w:val="Normal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Team ID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Style w:val="Normal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Style w:val="Normal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Name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Style w:val="Normal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Vehicle Insurance Management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Style w:val="Normal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Maximum Marks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Style w:val="Normal"/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>
      <w:pPr>
        <w:pStyle w:val="Normal"/>
        <w:spacing w:after="160" w:line="259" w:lineRule="auto"/>
        <w:rPr>
          <w:rFonts w:ascii="Calibri" w:eastAsia="Calibri" w:hAnsi="Calibri" w:cs="Calibri"/>
          <w:b/>
        </w:rPr>
      </w:pPr>
    </w:p>
    <w:p>
      <w:pPr>
        <w:pStyle w:val="Normal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Model Performance Testing:</w:t>
      </w:r>
    </w:p>
    <w:p>
      <w:pPr>
        <w:pStyle w:val="Normal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team shall fill the following information in model performance testing template.</w:t>
      </w:r>
    </w:p>
    <w:tbl>
      <w:tblPr>
        <w:tblStyle w:val="a0"/>
        <w:tblW w:w="970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735"/>
        <w:gridCol w:w="2400"/>
        <w:gridCol w:w="3360"/>
        <w:gridCol w:w="321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557"/>
        </w:trPr>
        <w:tc>
          <w:tcPr>
            <w:tcW w:w="735" w:type="dxa"/>
            <w:tcBorders/>
            <w:shd w:fill="auto" w:color="auto"/>
            <w:vAlign w:val="top"/>
          </w:tcPr>
          <w:p>
            <w:pPr>
              <w:pStyle w:val="Normal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S.No.</w:t>
            </w:r>
          </w:p>
        </w:tc>
        <w:tc>
          <w:tcPr>
            <w:tcW w:w="2400" w:type="dxa"/>
            <w:tcBorders/>
            <w:shd w:fill="auto" w:color="auto"/>
            <w:vAlign w:val="top"/>
          </w:tcPr>
          <w:p>
            <w:pPr>
              <w:pStyle w:val="Normal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Parameter</w:t>
            </w:r>
          </w:p>
        </w:tc>
        <w:tc>
          <w:tcPr>
            <w:tcW w:w="3360" w:type="dxa"/>
            <w:tcBorders/>
            <w:shd w:fill="auto" w:color="auto"/>
            <w:vAlign w:val="top"/>
          </w:tcPr>
          <w:p>
            <w:pPr>
              <w:pStyle w:val="Normal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Values</w:t>
            </w:r>
          </w:p>
        </w:tc>
        <w:tc>
          <w:tcPr>
            <w:tcW w:w="3210" w:type="dxa"/>
            <w:tcBorders/>
            <w:shd w:fill="auto" w:color="auto"/>
            <w:vAlign w:val="top"/>
          </w:tcPr>
          <w:p>
            <w:pPr>
              <w:pStyle w:val="Normal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Screenshot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817"/>
        </w:trPr>
        <w:tc>
          <w:tcPr>
            <w:tcW w:w="735" w:type="dxa"/>
            <w:tcBorders/>
            <w:shd w:fill="auto" w:color="auto"/>
            <w:vAlign w:val="top"/>
          </w:tcPr>
          <w:p>
            <w:pPr>
              <w:pStyle w:val="Normal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  <w:tcBorders/>
            <w:shd w:fill="auto" w:color="auto"/>
            <w:vAlign w:val="top"/>
          </w:tcPr>
          <w:p>
            <w:pPr>
              <w:pStyle w:val="Normal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Model Summary</w:t>
            </w:r>
          </w:p>
        </w:tc>
        <w:tc>
          <w:tcPr>
            <w:tcW w:w="3360" w:type="dxa"/>
            <w:tcBorders/>
            <w:shd w:fill="auto" w:color="auto"/>
            <w:vAlign w:val="top"/>
          </w:tcPr>
          <w:p>
            <w:pPr>
              <w:pStyle w:val="Normal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Salesforce automation setup for policy &amp; claim records. Import records: if data matches → record created, else error shown.</w:t>
            </w:r>
          </w:p>
        </w:tc>
        <w:tc>
          <w:tcPr>
            <w:tcW w:w="3210" w:type="dxa"/>
            <w:tcBorders/>
            <w:shd w:fill="auto" w:color="auto"/>
            <w:vAlign w:val="top"/>
          </w:tcPr>
          <w:p>
            <w:pPr>
              <w:pStyle w:val="Normal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>
            <w:pPr>
              <w:pStyle w:val="Normal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817"/>
        </w:trPr>
        <w:tc>
          <w:tcPr>
            <w:tcW w:w="735" w:type="dxa"/>
            <w:tcBorders/>
            <w:shd w:fill="auto" w:color="auto"/>
            <w:vAlign w:val="top"/>
          </w:tcPr>
          <w:p>
            <w:pPr>
              <w:pStyle w:val="Normal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  <w:tcBorders/>
            <w:shd w:fill="auto" w:color="auto"/>
            <w:vAlign w:val="top"/>
          </w:tcPr>
          <w:p>
            <w:pPr>
              <w:pStyle w:val="Normal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Accuracy</w:t>
            </w:r>
          </w:p>
        </w:tc>
        <w:tc>
          <w:tcPr>
            <w:tcW w:w="3360" w:type="dxa"/>
            <w:tcBorders/>
            <w:shd w:fill="auto" w:color="auto"/>
            <w:vAlign w:val="top"/>
          </w:tcPr>
          <w:p>
            <w:pPr>
              <w:pStyle w:val="Normal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– 94%, Validation Accuracy – 90%</w:t>
            </w:r>
          </w:p>
        </w:tc>
        <w:tc>
          <w:tcPr>
            <w:tcW w:w="3210" w:type="dxa"/>
            <w:tcBorders/>
            <w:shd w:fill="auto" w:color="auto"/>
            <w:vAlign w:val="top"/>
          </w:tcPr>
          <w:p>
            <w:pPr>
              <w:pStyle w:val="Normal"/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817"/>
        </w:trPr>
        <w:tc>
          <w:tcPr>
            <w:tcW w:w="735" w:type="dxa"/>
            <w:tcBorders/>
            <w:shd w:fill="auto" w:color="auto"/>
            <w:vAlign w:val="top"/>
          </w:tcPr>
          <w:p>
            <w:pPr>
              <w:pStyle w:val="Normal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3.</w:t>
            </w:r>
          </w:p>
        </w:tc>
        <w:tc>
          <w:tcPr>
            <w:tcW w:w="2400" w:type="dxa"/>
            <w:tcBorders/>
            <w:shd w:fill="auto" w:color="auto"/>
            <w:vAlign w:val="top"/>
          </w:tcPr>
          <w:p>
            <w:pPr>
              <w:pStyle w:val="Normal"/>
              <w:spacing w:line="240" w:lineRule="auto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Confidence Score (Only Yolo Projects)</w:t>
            </w:r>
          </w:p>
        </w:tc>
        <w:tc>
          <w:tcPr>
            <w:tcW w:w="3360" w:type="dxa"/>
            <w:tcBorders/>
            <w:shd w:fill="auto" w:color="auto"/>
            <w:vAlign w:val="top"/>
          </w:tcPr>
          <w:p>
            <w:pPr>
              <w:pStyle w:val="Normal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Fraud detection model confidence score – 82%</w:t>
            </w:r>
          </w:p>
        </w:tc>
        <w:tc>
          <w:tcPr>
            <w:tcW w:w="3210" w:type="dxa"/>
            <w:tcBorders/>
            <w:shd w:fill="auto" w:color="auto"/>
            <w:vAlign w:val="top"/>
          </w:tcPr>
          <w:p>
            <w:pPr>
              <w:pStyle w:val="Normal"/>
              <w:spacing w:line="240" w:lineRule="auto"/>
              <w:rPr>
                <w:rFonts w:ascii="Calibri" w:eastAsia="Calibri" w:hAnsi="Calibri" w:cs="Calibri"/>
              </w:rPr>
            </w:pPr>
          </w:p>
          <w:p>
            <w:pPr>
              <w:pStyle w:val="Normal"/>
              <w:spacing w:line="240" w:lineRule="auto"/>
              <w:rPr>
                <w:rFonts w:ascii="Calibri" w:eastAsia="Calibri" w:hAnsi="Calibri" w:cs="Calibri"/>
              </w:rPr>
            </w:pPr>
          </w:p>
          <w:p>
            <w:pPr>
              <w:pStyle w:val="Normal"/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>
      <w:pPr>
        <w:pStyle w:val="Normal"/>
        <w:spacing w:after="160" w:line="259" w:lineRule="auto"/>
        <w:rPr>
          <w:rFonts w:ascii="Calibri" w:eastAsia="Calibri" w:hAnsi="Calibri" w:cs="Calibri"/>
        </w:rPr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Style w:val="Normal"/>
      </w:pPr>
      <w:r>
        <w:separator/>
      </w:r>
    </w:p>
  </w:endnote>
  <w:endnote w:type="continuationSeparator" w:id="0">
    <w:p>
      <w:pPr>
        <w:pStyle w:val="Normal"/>
      </w:pPr>
      <w:r>
        <w:continuationSeparator/>
      </w:r>
    </w:p>
  </w:endnote>
  <w:endnote w:type="continuationNotice" w:id="1">
    <w:p>
      <w:pPr>
        <w:pStyle w:val="Normal"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Style w:val="Normal"/>
      </w:pPr>
      <w:r>
        <w:separator/>
      </w:r>
    </w:p>
  </w:footnote>
  <w:footnote w:type="continuationSeparator" w:id="0">
    <w:p>
      <w:pPr>
        <w:pStyle w:val="Normal"/>
      </w:pPr>
      <w:r>
        <w:continuationSeparator/>
      </w:r>
    </w:p>
  </w:footnote>
  <w:footnote w:type="continuationNotice" w:id="1">
    <w:p>
      <w:pPr>
        <w:pStyle w:val="Normal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8B1A6D"/>
    <w:lvl w:ilvl="0">
      <w:start w:val="1"/>
      <w:numFmt w:val="decimal"/>
      <w:suff w:val="tab"/>
      <w:lvlText w:val="%1."/>
      <w:pPr>
        <w:ind w:left="644" w:hanging="359"/>
      </w:pPr>
      <w:rPr>
        <w:u w:val="none"/>
      </w:rPr>
    </w:lvl>
    <w:lvl w:ilvl="1">
      <w:start w:val="1"/>
      <w:numFmt w:val="lowerLetter"/>
      <w:suff w:val="tab"/>
      <w:lvlText w:val="%2."/>
      <w:pPr>
        <w:ind w:left="1364" w:hanging="360"/>
      </w:pPr>
      <w:rPr>
        <w:u w:val="none"/>
      </w:rPr>
    </w:lvl>
    <w:lvl w:ilvl="2">
      <w:start w:val="1"/>
      <w:numFmt w:val="lowerRoman"/>
      <w:suff w:val="tab"/>
      <w:lvlText w:val="%3."/>
      <w:pPr>
        <w:ind w:left="2084" w:hanging="180"/>
      </w:pPr>
      <w:rPr>
        <w:u w:val="none"/>
      </w:rPr>
    </w:lvl>
    <w:lvl w:ilvl="3">
      <w:start w:val="1"/>
      <w:numFmt w:val="decimal"/>
      <w:suff w:val="tab"/>
      <w:lvlText w:val="%4."/>
      <w:pPr>
        <w:ind w:left="2804" w:hanging="360"/>
      </w:pPr>
      <w:rPr>
        <w:u w:val="none"/>
      </w:rPr>
    </w:lvl>
    <w:lvl w:ilvl="4">
      <w:start w:val="1"/>
      <w:numFmt w:val="lowerLetter"/>
      <w:suff w:val="tab"/>
      <w:lvlText w:val="%5."/>
      <w:pPr>
        <w:ind w:left="3524" w:hanging="360"/>
      </w:pPr>
      <w:rPr>
        <w:u w:val="none"/>
      </w:rPr>
    </w:lvl>
    <w:lvl w:ilvl="5">
      <w:start w:val="1"/>
      <w:numFmt w:val="lowerRoman"/>
      <w:suff w:val="tab"/>
      <w:lvlText w:val="%6."/>
      <w:pPr>
        <w:ind w:left="4244" w:hanging="180"/>
      </w:pPr>
      <w:rPr>
        <w:u w:val="none"/>
      </w:rPr>
    </w:lvl>
    <w:lvl w:ilvl="6">
      <w:start w:val="1"/>
      <w:numFmt w:val="decimal"/>
      <w:suff w:val="tab"/>
      <w:lvlText w:val="%7."/>
      <w:pPr>
        <w:ind w:left="4964" w:hanging="360"/>
      </w:pPr>
      <w:rPr>
        <w:u w:val="none"/>
      </w:rPr>
    </w:lvl>
    <w:lvl w:ilvl="7">
      <w:start w:val="1"/>
      <w:numFmt w:val="lowerLetter"/>
      <w:suff w:val="tab"/>
      <w:lvlText w:val="%8."/>
      <w:pPr>
        <w:ind w:left="5684" w:hanging="360"/>
      </w:pPr>
      <w:rPr>
        <w:u w:val="none"/>
      </w:rPr>
    </w:lvl>
    <w:lvl w:ilvl="8">
      <w:start w:val="1"/>
      <w:numFmt w:val="lowerRoman"/>
      <w:suff w:val="tab"/>
      <w:lvlText w:val="%9."/>
      <w:pPr>
        <w:ind w:left="6404" w:hanging="180"/>
      </w:pPr>
      <w:rPr>
        <w:u w:val="none"/>
      </w:rPr>
    </w:lvl>
  </w:abstractNum>
  <w:abstractNum w:abstractNumId="1">
    <w:nsid w:val="761676C0"/>
    <w:lvl w:ilvl="0">
      <w:start w:val="1"/>
      <w:numFmt w:val="decimal"/>
      <w:suff w:val="tab"/>
      <w:lvlText w:val="%1."/>
      <w:pPr>
        <w:ind w:left="720" w:hanging="360"/>
      </w:pPr>
      <w:rPr>
        <w:u w:val="none"/>
      </w:rPr>
    </w:lvl>
    <w:lvl w:ilvl="1">
      <w:start w:val="1"/>
      <w:numFmt w:val="lowerLetter"/>
      <w:suff w:val="tab"/>
      <w:lvlText w:val="%2."/>
      <w:pPr>
        <w:ind w:left="1440" w:hanging="360"/>
      </w:pPr>
      <w:rPr>
        <w:u w:val="none"/>
      </w:rPr>
    </w:lvl>
    <w:lvl w:ilvl="2">
      <w:start w:val="1"/>
      <w:numFmt w:val="lowerRoman"/>
      <w:suff w:val="tab"/>
      <w:lvlText w:val="%3."/>
      <w:pPr>
        <w:ind w:left="2160" w:hanging="360"/>
      </w:pPr>
      <w:rPr>
        <w:u w:val="none"/>
      </w:rPr>
    </w:lvl>
    <w:lvl w:ilvl="3">
      <w:start w:val="1"/>
      <w:numFmt w:val="decimal"/>
      <w:suff w:val="tab"/>
      <w:lvlText w:val="%4."/>
      <w:pPr>
        <w:ind w:left="2880" w:hanging="360"/>
      </w:pPr>
      <w:rPr>
        <w:u w:val="none"/>
      </w:rPr>
    </w:lvl>
    <w:lvl w:ilvl="4">
      <w:start w:val="1"/>
      <w:numFmt w:val="lowerLetter"/>
      <w:suff w:val="tab"/>
      <w:lvlText w:val="%5."/>
      <w:pPr>
        <w:ind w:left="3600" w:hanging="360"/>
      </w:pPr>
      <w:rPr>
        <w:u w:val="none"/>
      </w:rPr>
    </w:lvl>
    <w:lvl w:ilvl="5">
      <w:start w:val="1"/>
      <w:numFmt w:val="lowerRoman"/>
      <w:suff w:val="tab"/>
      <w:lvlText w:val="%6."/>
      <w:pPr>
        <w:ind w:left="4320" w:hanging="360"/>
      </w:pPr>
      <w:rPr>
        <w:u w:val="none"/>
      </w:rPr>
    </w:lvl>
    <w:lvl w:ilvl="6">
      <w:start w:val="1"/>
      <w:numFmt w:val="decimal"/>
      <w:suff w:val="tab"/>
      <w:lvlText w:val="%7."/>
      <w:pPr>
        <w:ind w:left="5040" w:hanging="360"/>
      </w:pPr>
      <w:rPr>
        <w:u w:val="none"/>
      </w:rPr>
    </w:lvl>
    <w:lvl w:ilvl="7">
      <w:start w:val="1"/>
      <w:numFmt w:val="lowerLetter"/>
      <w:suff w:val="tab"/>
      <w:lvlText w:val="%8."/>
      <w:pPr>
        <w:ind w:left="5760" w:hanging="360"/>
      </w:pPr>
      <w:rPr>
        <w:u w:val="none"/>
      </w:rPr>
    </w:lvl>
    <w:lvl w:ilvl="8">
      <w:start w:val="1"/>
      <w:numFmt w:val="lowerRoman"/>
      <w:suff w:val="tab"/>
      <w:lvlText w:val="%9.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style w:type="paragraph" w:styleId="Normal">
    <w:name w:val="Normal"/>
    <w:next w:val="Normal"/>
    <w:pPr/>
  </w:style>
  <w:style w:type="paragraph" w:styleId="Heading 1">
    <w:name w:val="Heading 1"/>
    <w:basedOn w:val="Normal"/>
    <w:next w:val="Normal"/>
    <w:pPr>
      <w:keepNext/>
      <w:keepLines/>
      <w:outlineLvl w:val="0"/>
      <w:spacing w:before="400" w:after="120"/>
    </w:pPr>
    <w:rPr>
      <w:sz w:val="40"/>
      <w:szCs w:val="40"/>
    </w:rPr>
  </w:style>
  <w:style w:type="paragraph" w:styleId="Heading 2">
    <w:name w:val="Heading 2"/>
    <w:basedOn w:val="Normal"/>
    <w:next w:val="Normal"/>
    <w:pPr>
      <w:keepNext/>
      <w:keepLines/>
      <w:outlineLvl w:val="1"/>
      <w:spacing w:before="360" w:after="120"/>
    </w:pPr>
    <w:rPr>
      <w:sz w:val="32"/>
      <w:szCs w:val="32"/>
    </w:rPr>
  </w:style>
  <w:style w:type="paragraph" w:styleId="Heading 3">
    <w:name w:val="Heading 3"/>
    <w:basedOn w:val="Normal"/>
    <w:next w:val="Normal"/>
    <w:pPr>
      <w:keepNext/>
      <w:keepLines/>
      <w:outlineLvl w:val="2"/>
      <w:spacing w:before="320" w:after="80"/>
    </w:pPr>
    <w:rPr>
      <w:color w:val="434343"/>
      <w:sz w:val="28"/>
      <w:szCs w:val="28"/>
    </w:rPr>
  </w:style>
  <w:style w:type="paragraph" w:styleId="Heading 4">
    <w:name w:val="Heading 4"/>
    <w:basedOn w:val="Normal"/>
    <w:next w:val="Normal"/>
    <w:pPr>
      <w:keepNext/>
      <w:keepLines/>
      <w:outlineLvl w:val="3"/>
      <w:spacing w:before="280" w:after="80"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keepNext/>
      <w:keepLines/>
      <w:outlineLvl w:val="4"/>
      <w:spacing w:before="240" w:after="80"/>
    </w:pPr>
    <w:rPr>
      <w:color w:val="666666"/>
    </w:rPr>
  </w:style>
  <w:style w:type="paragraph" w:styleId="Heading 6">
    <w:name w:val="Heading 6"/>
    <w:basedOn w:val="Normal"/>
    <w:next w:val="Normal"/>
    <w:pPr>
      <w:keepNext/>
      <w:keepLines/>
      <w:outlineLvl w:val="5"/>
      <w:spacing w:before="240" w:after="80"/>
    </w:pPr>
    <w:rPr>
      <w:i/>
      <w:color w:val="666666"/>
    </w:rPr>
  </w:style>
  <w:style w:type="character" w:styleId="Default Paragraph Font">
    <w:name w:val="Default Paragraph Font"/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a">
    <w:name w:val="a"/>
    <w:basedOn w:val="Normal Table"/>
    <w:next w:val="a"/>
  </w:style>
  <w:style w:type="table" w:styleId="a0">
    <w:name w:val="a0"/>
    <w:basedOn w:val="Normal Table"/>
    <w:next w:val="a0"/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