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44"/>
        </w:rPr>
        <w:t>FlashBalanceAI</w:t>
        <w:br/>
        <w:t>Deep Literature Analysis &amp; Research Gap</w:t>
      </w:r>
    </w:p>
    <w:p>
      <w:pPr>
        <w:jc w:val="center"/>
      </w:pPr>
      <w:r>
        <w:rPr>
          <w:color w:val="555555"/>
          <w:sz w:val="28"/>
        </w:rPr>
        <w:t>BCSE355L — Cloud Architecture and Design</w:t>
        <w:br/>
        <w:t>Phase I Individual Deliverable — Student 2 (Agrima)</w:t>
      </w:r>
    </w:p>
    <w:p/>
    <w:p>
      <w:pPr>
        <w:jc w:val="center"/>
      </w:pPr>
      <w:r>
        <w:rPr>
          <w:sz w:val="24"/>
        </w:rPr>
        <w:t>DRL-Based Adaptive Cloud Load Balancing Framework</w:t>
        <w:br/>
        <w:t>for Flash-Sale Traffic</w:t>
        <w:br/>
        <w:br/>
        <w:t>July 2026</w:t>
      </w:r>
    </w:p>
    <w:p>
      <w:r>
        <w:br w:type="page"/>
      </w:r>
    </w:p>
    <w:p>
      <w:pPr>
        <w:pStyle w:val="Heading1"/>
      </w:pPr>
      <w:r>
        <w:rPr>
          <w:color w:val="1F3A5F"/>
        </w:rPr>
        <w:t>Table of Contents</w:t>
      </w:r>
    </w:p>
    <w:p>
      <w:pPr>
        <w:spacing w:after="40"/>
      </w:pPr>
      <w:r>
        <w:t>1. Introduction</w:t>
      </w:r>
    </w:p>
    <w:p>
      <w:pPr>
        <w:spacing w:after="40"/>
      </w:pPr>
      <w:r>
        <w:t>2. Paper 1: DRS — Deep RL Enhanced Kubernetes Scheduler</w:t>
      </w:r>
    </w:p>
    <w:p>
      <w:pPr>
        <w:spacing w:after="40"/>
      </w:pPr>
      <w:r>
        <w:t>3. Paper 2: PPO for Serverless Edge Orchestration</w:t>
      </w:r>
    </w:p>
    <w:p>
      <w:pPr>
        <w:spacing w:after="40"/>
      </w:pPr>
      <w:r>
        <w:t>4. Paper 3: SLA-Aware DRL for EdgeCloud Task Scheduling</w:t>
      </w:r>
    </w:p>
    <w:p>
      <w:pPr>
        <w:spacing w:after="40"/>
      </w:pPr>
      <w:r>
        <w:t>5. Paper 4: PPO vs DQN for Energy &amp; Load Balancing</w:t>
      </w:r>
    </w:p>
    <w:p>
      <w:pPr>
        <w:spacing w:after="40"/>
      </w:pPr>
      <w:r>
        <w:t>6. Paper 5: Distributional RL for Batch Jobs Load Balancing</w:t>
      </w:r>
    </w:p>
    <w:p>
      <w:pPr>
        <w:spacing w:after="40"/>
      </w:pPr>
      <w:r>
        <w:t>7. Cross-Paper Comparison Table</w:t>
      </w:r>
    </w:p>
    <w:p>
      <w:pPr>
        <w:spacing w:after="40"/>
      </w:pPr>
      <w:r>
        <w:t>8. Overarching Research Gap Analysis</w:t>
      </w:r>
    </w:p>
    <w:p>
      <w:pPr>
        <w:spacing w:after="40"/>
      </w:pPr>
      <w:r>
        <w:t>9. Possible Improvements</w:t>
      </w:r>
    </w:p>
    <w:p>
      <w:pPr>
        <w:spacing w:after="40"/>
      </w:pPr>
      <w:r>
        <w:t>10. References</w:t>
      </w:r>
    </w:p>
    <w:p>
      <w:r>
        <w:br w:type="page"/>
      </w:r>
    </w:p>
    <w:p>
      <w:pPr>
        <w:pStyle w:val="Heading1"/>
      </w:pPr>
      <w:r>
        <w:rPr>
          <w:color w:val="1F3A5F"/>
        </w:rPr>
        <w:t>1. Introduction</w:t>
      </w:r>
    </w:p>
    <w:p>
      <w:r>
        <w:t>This document presents the deep literature analysis of five selected research papers for the FlashBalanceAI project — a Deep Reinforcement Learning (DRL) based adaptive cloud load balancing framework designed specifically for flash-sale traffic patterns. Each paper is analysed under five dimensions: Existing Method, Advantages, Limitations, Research Gap (derived independently), and Possible Improvement. The analysis concludes with a cross-paper comparison table and an overarching research gap statement that motivates the FlashBalanceAI project.</w:t>
      </w:r>
    </w:p>
    <w:p>
      <w:pPr>
        <w:pStyle w:val="Heading2"/>
      </w:pPr>
      <w:r>
        <w:rPr>
          <w:color w:val="1F3A5F"/>
        </w:rPr>
        <w:t>2. Paper 1: DRS: A Deep Reinforcement Learning Enhanced Kubernetes Scheduler for Microservice-Based System</w:t>
      </w:r>
    </w:p>
    <w:p>
      <w:r>
        <w:rPr>
          <w:i/>
        </w:rPr>
        <w:t xml:space="preserve">Zhaolong Jian, Xueshuo Xie, Yaozheng Fang, Yibing Jiang, Ye Lu, Ankan Dash, Tao Li, Guiling Wang (2024). </w:t>
      </w:r>
      <w:r>
        <w:t>Software: Practice and Experience (Wiley). DOI: 10.1002/spe.3284</w:t>
      </w:r>
    </w:p>
    <w:p>
      <w:pPr>
        <w:pStyle w:val="Heading3"/>
      </w:pPr>
      <w:r>
        <w:rPr>
          <w:color w:val="1F3A5F"/>
        </w:rPr>
        <w:t>Existing Method</w:t>
      </w:r>
    </w:p>
    <w:p>
      <w:r>
        <w:t>DRS proposes a DRL-enhanced Kubernetes scheduler that formulates pod scheduling as an MDP. A custom DRS monitor collects six resource utilisation parameters (CPU, memory, pod requests, node capacity) to build a global cluster state. The DRL agent learns a scheduling policy through online interaction with a 5-node Kubernetes cluster, optimising for high resource utilisation and low load imbalance.</w:t>
      </w:r>
    </w:p>
    <w:p>
      <w:pPr>
        <w:pStyle w:val="Heading3"/>
      </w:pPr>
      <w:r>
        <w:rPr>
          <w:color w:val="1F3A5F"/>
        </w:rPr>
        <w:t>Advantages</w:t>
      </w:r>
    </w:p>
    <w:p>
      <w:pPr>
        <w:pStyle w:val="ListBullet"/>
      </w:pPr>
      <w:r>
        <w:t>Real Kubernetes cluster implementation (not simulation-only)</w:t>
      </w:r>
    </w:p>
    <w:p>
      <w:pPr>
        <w:pStyle w:val="ListBullet"/>
      </w:pPr>
      <w:r>
        <w:t>Low CPU overhead (3.27%) and communication delay (0.648%)</w:t>
      </w:r>
    </w:p>
    <w:p>
      <w:pPr>
        <w:pStyle w:val="ListBullet"/>
      </w:pPr>
      <w:r>
        <w:t>Autonomous policy learning without expert heuristics</w:t>
      </w:r>
    </w:p>
    <w:p>
      <w:pPr>
        <w:pStyle w:val="ListBullet"/>
      </w:pPr>
      <w:r>
        <w:t>Clear MDP formulation with custom monitoring module</w:t>
      </w:r>
    </w:p>
    <w:p>
      <w:pPr>
        <w:pStyle w:val="ListBullet"/>
      </w:pPr>
      <w:r>
        <w:t>27.29% improvement in resource utilisation over default Kube-scheduler</w:t>
      </w:r>
    </w:p>
    <w:p>
      <w:pPr>
        <w:pStyle w:val="ListBullet"/>
      </w:pPr>
      <w:r>
        <w:t>2.90x reduction in load imbalance across cluster nodes</w:t>
      </w:r>
    </w:p>
    <w:p>
      <w:pPr>
        <w:pStyle w:val="Heading3"/>
      </w:pPr>
      <w:r>
        <w:rPr>
          <w:color w:val="1F3A5F"/>
        </w:rPr>
        <w:t>Limitations</w:t>
      </w:r>
    </w:p>
    <w:p>
      <w:pPr>
        <w:pStyle w:val="ListBullet"/>
      </w:pPr>
      <w:r>
        <w:t>No flash-sale burst traffic evaluation — tested only on three generic workloads</w:t>
      </w:r>
    </w:p>
    <w:p>
      <w:pPr>
        <w:pStyle w:val="ListBullet"/>
      </w:pPr>
      <w:r>
        <w:t>Handles pod scheduling, not per-request online routing</w:t>
      </w:r>
    </w:p>
    <w:p>
      <w:pPr>
        <w:pStyle w:val="ListBullet"/>
      </w:pPr>
      <w:r>
        <w:t>Deployed on on-premises Kubernetes, not AWS cloud-native</w:t>
      </w:r>
    </w:p>
    <w:p>
      <w:pPr>
        <w:pStyle w:val="ListBullet"/>
      </w:pPr>
      <w:r>
        <w:t>Only one DRL algorithm tested — no DQN vs PPO comparison</w:t>
      </w:r>
    </w:p>
    <w:p>
      <w:pPr>
        <w:pStyle w:val="ListBullet"/>
      </w:pPr>
      <w:r>
        <w:t>Small-scale evaluation on just 5 nodes</w:t>
      </w:r>
    </w:p>
    <w:p>
      <w:pPr>
        <w:pStyle w:val="ListBullet"/>
      </w:pPr>
      <w:r>
        <w:t>No SLA or latency constraint considerations in reward design</w:t>
      </w:r>
    </w:p>
    <w:p>
      <w:pPr>
        <w:pStyle w:val="Heading3"/>
      </w:pPr>
      <w:r>
        <w:rPr>
          <w:color w:val="1F3A5F"/>
        </w:rPr>
        <w:t>Research Gap (Derived from Cross-Paper Analysis)</w:t>
      </w:r>
    </w:p>
    <w:p>
      <w:pPr>
        <w:spacing w:after="120"/>
      </w:pPr>
      <w:r>
        <w:t>DRS proves DRL-augmented scheduling works in production Kubernetes, but leaves three critical gaps unfilled: (1) flash-sale burst traffic is entirely unaddressed — the workloads tested are generic microservices with gradual load variation; (2) the system schedules pods, not individual requests, making it unsuitable for real-time load balancing at the request level; (3) no comparative analysis of different DRL algorithms exists, so it is unknown whether PPO, DQN, or a hybrid would perform better. FlashBalanceAI fills these gaps by targeting online request routing under flash-sale bursts, deploying on AWS, and comparing DQN vs PPO.</w:t>
      </w:r>
    </w:p>
    <w:p>
      <w:pPr>
        <w:pStyle w:val="Heading3"/>
      </w:pPr>
      <w:r>
        <w:rPr>
          <w:color w:val="1F3A5F"/>
        </w:rPr>
        <w:t>Possible Improvement</w:t>
      </w:r>
    </w:p>
    <w:p>
      <w:r>
        <w:t>Extend DRS with a per-request routing layer that intercepts HTTP traffic before pod scheduling. Evaluate under flash-sale traffic patterns (e.g., 100x load spikes in seconds). Add SLA constraints (P95/P99 latency) into the reward function. Compare DQN, PPO, and distributional RL variants on the same testbed. Migrate the cluster to AWS EKS for cloud-native auto-scaling and CloudWatch monitoring.</w:t>
      </w:r>
    </w:p>
    <w:p>
      <w:r>
        <w:br w:type="page"/>
      </w:r>
    </w:p>
    <w:p>
      <w:pPr>
        <w:pStyle w:val="Heading2"/>
      </w:pPr>
      <w:r>
        <w:rPr>
          <w:color w:val="1F3A5F"/>
        </w:rPr>
        <w:t>3. Paper 2: Application of Proximal Policy Optimization for Resource Orchestration in Serverless Edge Computing</w:t>
      </w:r>
    </w:p>
    <w:p>
      <w:r>
        <w:rPr>
          <w:i/>
        </w:rPr>
        <w:t xml:space="preserve">Mauro Femminella, Gianluca Reali (2024). </w:t>
      </w:r>
      <w:r>
        <w:t>Computers (MDPI), Vol. 13, No. 9, Article 224. DOI: 10.3390/computers13090224</w:t>
      </w:r>
    </w:p>
    <w:p>
      <w:pPr>
        <w:pStyle w:val="Heading3"/>
      </w:pPr>
      <w:r>
        <w:rPr>
          <w:color w:val="1F3A5F"/>
        </w:rPr>
        <w:t>Existing Method</w:t>
      </w:r>
    </w:p>
    <w:p>
      <w:r>
        <w:t>A PPO-based RL agent dynamically configures the Kubernetes Horizontal Pod Autoscaler (HPA) on OpenFaaS serverless platform. The state includes resource consumption (CPU, memory), performance values (latency, response time), and time-of-day features. The reward function promotes SLA compliance while penalising resource over-provisioning. Training uses real Azure Functions traffic traces on physical hardware.</w:t>
      </w:r>
    </w:p>
    <w:p>
      <w:pPr>
        <w:pStyle w:val="Heading3"/>
      </w:pPr>
      <w:r>
        <w:rPr>
          <w:color w:val="1F3A5F"/>
        </w:rPr>
        <w:t>Advantages</w:t>
      </w:r>
    </w:p>
    <w:p>
      <w:pPr>
        <w:pStyle w:val="ListBullet"/>
      </w:pPr>
      <w:r>
        <w:t>Real hardware deployment with OpenFaaS on Kubernetes</w:t>
      </w:r>
    </w:p>
    <w:p>
      <w:pPr>
        <w:pStyle w:val="ListBullet"/>
      </w:pPr>
      <w:r>
        <w:t>Training on real-world Azure Functions traffic traces (not synthetic)</w:t>
      </w:r>
    </w:p>
    <w:p>
      <w:pPr>
        <w:pStyle w:val="ListBullet"/>
      </w:pPr>
      <w:r>
        <w:t>SLA-aware reward design that directly penalises violations</w:t>
      </w:r>
    </w:p>
    <w:p>
      <w:pPr>
        <w:pStyle w:val="ListBullet"/>
      </w:pPr>
      <w:r>
        <w:t>PPO implementation validated against multiple fixed-threshold HPA baselines</w:t>
      </w:r>
    </w:p>
    <w:p>
      <w:pPr>
        <w:pStyle w:val="ListBullet"/>
      </w:pPr>
      <w:r>
        <w:t>Practical contribution to serverless autoscaling — a relevant adjacent domain</w:t>
      </w:r>
    </w:p>
    <w:p>
      <w:pPr>
        <w:pStyle w:val="Heading3"/>
      </w:pPr>
      <w:r>
        <w:rPr>
          <w:color w:val="1F3A5F"/>
        </w:rPr>
        <w:t>Limitations</w:t>
      </w:r>
    </w:p>
    <w:p>
      <w:pPr>
        <w:pStyle w:val="ListBullet"/>
      </w:pPr>
      <w:r>
        <w:t>Does not address flash-sale burst traffic — Azure Functions traces capture general serverless patterns</w:t>
      </w:r>
    </w:p>
    <w:p>
      <w:pPr>
        <w:pStyle w:val="ListBullet"/>
      </w:pPr>
      <w:r>
        <w:t>Controls HPA scaling thresholds only — no per-request load routing capability</w:t>
      </w:r>
    </w:p>
    <w:p>
      <w:pPr>
        <w:pStyle w:val="ListBullet"/>
      </w:pPr>
      <w:r>
        <w:t>Limited to OpenFaaS ecosystem, not generalisable to AWS-native services</w:t>
      </w:r>
    </w:p>
    <w:p>
      <w:pPr>
        <w:pStyle w:val="ListBullet"/>
      </w:pPr>
      <w:r>
        <w:t>No DQN or alternate DRL algorithm comparison on the same setup</w:t>
      </w:r>
    </w:p>
    <w:p>
      <w:pPr>
        <w:pStyle w:val="ListBullet"/>
      </w:pPr>
      <w:r>
        <w:t>No burst traffic evaluation or spike-handling analysis</w:t>
      </w:r>
    </w:p>
    <w:p>
      <w:pPr>
        <w:pStyle w:val="ListBullet"/>
      </w:pPr>
      <w:r>
        <w:t>No cost-awareness in the reward function</w:t>
      </w:r>
    </w:p>
    <w:p>
      <w:pPr>
        <w:pStyle w:val="Heading3"/>
      </w:pPr>
      <w:r>
        <w:rPr>
          <w:color w:val="1F3A5F"/>
        </w:rPr>
        <w:t>Research Gap (Derived from Cross-Paper Analysis)</w:t>
      </w:r>
    </w:p>
    <w:p>
      <w:pPr>
        <w:spacing w:after="120"/>
      </w:pPr>
      <w:r>
        <w:t>The paper validates PPO for serverless autoscaling but does not extend to online request routing under extreme traffic bursts. Flash-sale events create flash crowds that HPA-based scaling alone cannot handle due to cold-start latency and scale-up cooldown periods. Furthermore, the absence of any DQN baseline leaves open the question of whether value-based methods would perform differently. FlashBalanceAI addresses this by combining routing-level decisions with scaling decisions under flash-sale load and comparing both PPO and DQN approaches.</w:t>
      </w:r>
    </w:p>
    <w:p>
      <w:pPr>
        <w:pStyle w:val="Heading3"/>
      </w:pPr>
      <w:r>
        <w:rPr>
          <w:color w:val="1F3A5F"/>
        </w:rPr>
        <w:t>Possible Improvement</w:t>
      </w:r>
    </w:p>
    <w:p>
      <w:r>
        <w:t>Add a request-routing layer that works alongside HPA scaling — route traffic away from cold-starting pods during bursts. Evaluate explicitly under flash-sale patterns (sudden 50-100x spike). Compare PPO with DQN on the same environment. Add AWS-native deployment (Lambda + API Gateway + ECS) with CloudWatch metrics as state input. Include cost-per-request as an additional reward component.</w:t>
      </w:r>
    </w:p>
    <w:p>
      <w:r>
        <w:br w:type="page"/>
      </w:r>
    </w:p>
    <w:p>
      <w:pPr>
        <w:pStyle w:val="Heading2"/>
      </w:pPr>
      <w:r>
        <w:rPr>
          <w:color w:val="1F3A5F"/>
        </w:rPr>
        <w:t>4. Paper 3: SLA Aware Deep Reinforcement Learning for Adaptive EdgeCloud Task Scheduling</w:t>
      </w:r>
    </w:p>
    <w:p>
      <w:r>
        <w:rPr>
          <w:i/>
        </w:rPr>
        <w:t xml:space="preserve">Nagendar Yamsani, Chenna Reddy P (2026). </w:t>
      </w:r>
      <w:r>
        <w:t>Scientific Reports (Nature), Vol. 16, Article 10037. DOI: 10.1038/s41598-026-40237-8</w:t>
      </w:r>
    </w:p>
    <w:p>
      <w:pPr>
        <w:pStyle w:val="Heading3"/>
      </w:pPr>
      <w:r>
        <w:rPr>
          <w:color w:val="1F3A5F"/>
        </w:rPr>
        <w:t>Existing Method</w:t>
      </w:r>
    </w:p>
    <w:p>
      <w:r>
        <w:t>SLA-DRL integrates SLA signals as a first-class citizen in the DRL loop. It introduces an SLA-Violation Risk Score (SVRS) computed dynamically, performs SLA-aware action pruning before selection, and uses tiered reward modulation with an adaptive SLA penalty weight. A Conv1D-GRU feature extractor captures temporal patterns from IoT task streams. Tasks are scheduled to either edge or cloud nodes.</w:t>
      </w:r>
    </w:p>
    <w:p>
      <w:pPr>
        <w:pStyle w:val="Heading3"/>
      </w:pPr>
      <w:r>
        <w:rPr>
          <w:color w:val="1F3A5F"/>
        </w:rPr>
        <w:t>Advantages</w:t>
      </w:r>
    </w:p>
    <w:p>
      <w:pPr>
        <w:pStyle w:val="ListBullet"/>
      </w:pPr>
      <w:r>
        <w:t>SLA as a first-class DRL objective — novel SVRS mechanism not seen in prior work</w:t>
      </w:r>
    </w:p>
    <w:p>
      <w:pPr>
        <w:pStyle w:val="ListBullet"/>
      </w:pPr>
      <w:r>
        <w:t>Adaptive penalty weight adjusts automatically based on observed SLA performance</w:t>
      </w:r>
    </w:p>
    <w:p>
      <w:pPr>
        <w:pStyle w:val="ListBullet"/>
      </w:pPr>
      <w:r>
        <w:t>Action pruning ensures invalid actions (SLA-violating) are never selected</w:t>
      </w:r>
    </w:p>
    <w:p>
      <w:pPr>
        <w:pStyle w:val="ListBullet"/>
      </w:pPr>
      <w:r>
        <w:t>Published in Nature Scientific Reports — high peer-review rigour</w:t>
      </w:r>
    </w:p>
    <w:p>
      <w:pPr>
        <w:pStyle w:val="ListBullet"/>
      </w:pPr>
      <w:r>
        <w:t>Open access with GitHub code for reproducibility</w:t>
      </w:r>
    </w:p>
    <w:p>
      <w:pPr>
        <w:pStyle w:val="ListBullet"/>
      </w:pPr>
      <w:r>
        <w:t>37.1% reduction in deadline miss rate, 42.3% latency reduction, 28.5% energy reduction</w:t>
      </w:r>
    </w:p>
    <w:p>
      <w:pPr>
        <w:pStyle w:val="Heading3"/>
      </w:pPr>
      <w:r>
        <w:rPr>
          <w:color w:val="1F3A5F"/>
        </w:rPr>
        <w:t>Limitations</w:t>
      </w:r>
    </w:p>
    <w:p>
      <w:pPr>
        <w:pStyle w:val="ListBullet"/>
      </w:pPr>
      <w:r>
        <w:t>Designed for edge-cloud task scheduling, not pure cloud load balancing</w:t>
      </w:r>
    </w:p>
    <w:p>
      <w:pPr>
        <w:pStyle w:val="ListBullet"/>
      </w:pPr>
      <w:r>
        <w:t>Batch/offline task scheduling rather than real-time per-request routing</w:t>
      </w:r>
    </w:p>
    <w:p>
      <w:pPr>
        <w:pStyle w:val="ListBullet"/>
      </w:pPr>
      <w:r>
        <w:t>No flash-sale burst traffic evaluation — uses general IoT workloads</w:t>
      </w:r>
    </w:p>
    <w:p>
      <w:pPr>
        <w:pStyle w:val="ListBullet"/>
      </w:pPr>
      <w:r>
        <w:t>Simulation-based evaluation with no AWS-native deployment</w:t>
      </w:r>
    </w:p>
    <w:p>
      <w:pPr>
        <w:pStyle w:val="ListBullet"/>
      </w:pPr>
      <w:r>
        <w:t>DRL backbone not explicitly compared as DQN vs PPO — algorithm choice is not critically examined</w:t>
      </w:r>
    </w:p>
    <w:p>
      <w:pPr>
        <w:pStyle w:val="ListBullet"/>
      </w:pPr>
      <w:r>
        <w:t>No real-time P95/P99 latency metrics reported</w:t>
      </w:r>
    </w:p>
    <w:p>
      <w:pPr>
        <w:pStyle w:val="Heading3"/>
      </w:pPr>
      <w:r>
        <w:rPr>
          <w:color w:val="1F3A5F"/>
        </w:rPr>
        <w:t>Research Gap (Derived from Cross-Paper Analysis)</w:t>
      </w:r>
    </w:p>
    <w:p>
      <w:pPr>
        <w:spacing w:after="120"/>
      </w:pPr>
      <w:r>
        <w:t>SLA-DRL demonstrates the power of SLA-aware DRL for scheduling but its architecture is fundamentally offline/batch-oriented. Flash-sale traffic requires millisecond-level routing decisions, not periodic scheduling. The SLA penalty adaptation concept is valuable but has not been tested under the extreme load variance of flash sales where SLA violations can cascade. FlashBalanceAI adapts the SLA-first philosophy to online request routing under burst conditions, with P95/P99 latency as the primary SLA metric.</w:t>
      </w:r>
    </w:p>
    <w:p>
      <w:pPr>
        <w:pStyle w:val="Heading3"/>
      </w:pPr>
      <w:r>
        <w:rPr>
          <w:color w:val="1F3A5F"/>
        </w:rPr>
        <w:t>Possible Improvement</w:t>
      </w:r>
    </w:p>
    <w:p>
      <w:r>
        <w:t>Redesign SVRS for sub-second computation to support real-time routing decisions. Extend to flash-sale traffic with cascading SLA violation detection. Deploy on AWS with CloudWatch-based SVRS computation. Add explicit DQN vs PPO comparison with the SLA-aware reward framework. Include online learning capability to adapt reward weights during flash-sale events.</w:t>
      </w:r>
    </w:p>
    <w:p>
      <w:r>
        <w:br w:type="page"/>
      </w:r>
    </w:p>
    <w:p>
      <w:pPr>
        <w:pStyle w:val="Heading2"/>
      </w:pPr>
      <w:r>
        <w:rPr>
          <w:color w:val="1F3A5F"/>
        </w:rPr>
        <w:t>5. Paper 4: Deep Reinforcement Learning-Based Resource Scheduling for Energy Optimization and Load Balancing in SDN-Driven Edge Computing</w:t>
      </w:r>
    </w:p>
    <w:p>
      <w:r>
        <w:rPr>
          <w:i/>
        </w:rPr>
        <w:t xml:space="preserve">Xu Zhou, Jing Yang, Yijun Li, Shaobo Li, Zhidong Su (2024). </w:t>
      </w:r>
      <w:r>
        <w:t>Computer Communications (Elsevier), Vol. 226-227, Article 107925. DOI: 10.1016/j.comcom.2024.107925</w:t>
      </w:r>
    </w:p>
    <w:p>
      <w:pPr>
        <w:pStyle w:val="Heading3"/>
      </w:pPr>
      <w:r>
        <w:rPr>
          <w:color w:val="1F3A5F"/>
        </w:rPr>
        <w:t>Existing Method</w:t>
      </w:r>
    </w:p>
    <w:p>
      <w:r>
        <w:t>TS-SDTRA is a two-stage SDN-driven task allocation system. Stage 1 controls the number of active servers based on current load. Stage 2 optimises per-task routing rewards using PPO as the core algorithm. The paper compares PPO, PPO-LSTM, PPO-GRU against DQN, DDQN, Dueling DQN, D3QN, A2C, REINFORCE, Round Robin, and Random scheduling — eight baselines in total.</w:t>
      </w:r>
    </w:p>
    <w:p>
      <w:pPr>
        <w:pStyle w:val="Heading3"/>
      </w:pPr>
      <w:r>
        <w:rPr>
          <w:color w:val="1F3A5F"/>
        </w:rPr>
        <w:t>Advantages</w:t>
      </w:r>
    </w:p>
    <w:p>
      <w:pPr>
        <w:pStyle w:val="ListBullet"/>
      </w:pPr>
      <w:r>
        <w:t>Direct DQN vs PPO comparison on identical platform — unique among the five papers</w:t>
      </w:r>
    </w:p>
    <w:p>
      <w:pPr>
        <w:pStyle w:val="ListBullet"/>
      </w:pPr>
      <w:r>
        <w:t>Eight baseline algorithms including Round Robin — comprehensive benchmarking</w:t>
      </w:r>
    </w:p>
    <w:p>
      <w:pPr>
        <w:pStyle w:val="ListBullet"/>
      </w:pPr>
      <w:r>
        <w:t>Two-stage architecture combining server scaling with per-task routing</w:t>
      </w:r>
    </w:p>
    <w:p>
      <w:pPr>
        <w:pStyle w:val="ListBullet"/>
      </w:pPr>
      <w:r>
        <w:t>PPO-LSTM and PPO-GRU variants tested for partially observable environments</w:t>
      </w:r>
    </w:p>
    <w:p>
      <w:pPr>
        <w:pStyle w:val="ListBullet"/>
      </w:pPr>
      <w:r>
        <w:t>19.84% energy savings vs mainstream RL methods, 49.60% vs Round Robin</w:t>
      </w:r>
    </w:p>
    <w:p>
      <w:pPr>
        <w:pStyle w:val="ListBullet"/>
      </w:pPr>
      <w:r>
        <w:t>Strong hardware (RTX 3090) for reproducible experiments</w:t>
      </w:r>
    </w:p>
    <w:p>
      <w:pPr>
        <w:pStyle w:val="Heading3"/>
      </w:pPr>
      <w:r>
        <w:rPr>
          <w:color w:val="1F3A5F"/>
        </w:rPr>
        <w:t>Limitations</w:t>
      </w:r>
    </w:p>
    <w:p>
      <w:pPr>
        <w:pStyle w:val="ListBullet"/>
      </w:pPr>
      <w:r>
        <w:t>SDN-driven edge computing environment — not directly applicable to cloud load balancing</w:t>
      </w:r>
    </w:p>
    <w:p>
      <w:pPr>
        <w:pStyle w:val="ListBullet"/>
      </w:pPr>
      <w:r>
        <w:t>No flash-sale burst traffic — workloads are general edge computing tasks</w:t>
      </w:r>
    </w:p>
    <w:p>
      <w:pPr>
        <w:pStyle w:val="ListBullet"/>
      </w:pPr>
      <w:r>
        <w:t>Simulation-based — not deployed on real AWS cloud infrastructure</w:t>
      </w:r>
    </w:p>
    <w:p>
      <w:pPr>
        <w:pStyle w:val="ListBullet"/>
      </w:pPr>
      <w:r>
        <w:t>No SLA or latency constraint component in the reward function</w:t>
      </w:r>
    </w:p>
    <w:p>
      <w:pPr>
        <w:pStyle w:val="ListBullet"/>
      </w:pPr>
      <w:r>
        <w:t>No P95/P99 latency metrics — evaluation centres on energy and load variance</w:t>
      </w:r>
    </w:p>
    <w:p>
      <w:pPr>
        <w:pStyle w:val="ListBullet"/>
      </w:pPr>
      <w:r>
        <w:t>No AWS services used — pure SDN simulation environment</w:t>
      </w:r>
    </w:p>
    <w:p>
      <w:pPr>
        <w:pStyle w:val="Heading3"/>
      </w:pPr>
      <w:r>
        <w:rPr>
          <w:color w:val="1F3A5F"/>
        </w:rPr>
        <w:t>Research Gap (Derived from Cross-Paper Analysis)</w:t>
      </w:r>
    </w:p>
    <w:p>
      <w:pPr>
        <w:spacing w:after="120"/>
      </w:pPr>
      <w:r>
        <w:t>This is the closest existing work to FlashBalanceAI because it compares DQN and PPO on the same platform and combines routing with scaling. However, three gaps remain: (1) the evaluation is in SDN edge simulation, not AWS cloud — the networking and scaling behaviour differ fundamentally; (2) no flash-sale traffic is tested — the workload traces lack the extreme burstiness of e-commerce flash sales; (3) SLA/latency metrics are absent from the reward, so the agent optimises energy and load balance but not user-facing latency. FlashBalanceAI fills all three gaps by deploying on AWS, using a flash-sale traffic generator, and making P95/P99 latency the primary objective.</w:t>
      </w:r>
    </w:p>
    <w:p>
      <w:pPr>
        <w:pStyle w:val="Heading3"/>
      </w:pPr>
      <w:r>
        <w:rPr>
          <w:color w:val="1F3A5F"/>
        </w:rPr>
        <w:t>Possible Improvement</w:t>
      </w:r>
    </w:p>
    <w:p>
      <w:r>
        <w:t>Port the two-stage architecture to AWS (ECS for routing, Lambda for scaling). Add SLA-aware reward with adaptive latency penalty weights. Evaluate on flash-sale traffic patterns. Add P95/P99 latency, cost-per-request, and SLA violation rate as primary metrics. Include AWS CloudWatch integration for real-time state monitoring.</w:t>
      </w:r>
    </w:p>
    <w:p>
      <w:r>
        <w:br w:type="page"/>
      </w:r>
    </w:p>
    <w:p>
      <w:pPr>
        <w:pStyle w:val="Heading2"/>
      </w:pPr>
      <w:r>
        <w:rPr>
          <w:color w:val="1F3A5F"/>
        </w:rPr>
        <w:t>6. Paper 5: Batch Jobs Load Balancing Scheduling in Cloud Computing Using Distributional Reinforcement Learning</w:t>
      </w:r>
    </w:p>
    <w:p>
      <w:r>
        <w:rPr>
          <w:i/>
        </w:rPr>
        <w:t xml:space="preserve">Tiangang Li, Shi Ying, Yishi Zhao, Jianga Shang (2024). </w:t>
      </w:r>
      <w:r>
        <w:t>IEEE Transactions on Parallel and Distributed Systems (TPDS), Vol. 35, No. 1, pp. 169-185. DOI: 10.1109/TPDS.2023.3334519</w:t>
      </w:r>
    </w:p>
    <w:p>
      <w:pPr>
        <w:pStyle w:val="Heading3"/>
      </w:pPr>
      <w:r>
        <w:rPr>
          <w:color w:val="1F3A5F"/>
        </w:rPr>
        <w:t>Existing Method</w:t>
      </w:r>
    </w:p>
    <w:p>
      <w:r>
        <w:t>Distributional RL (DistRL) using quantile regression to model the full value distribution of cumulative returns, rather than just the expected value as in DQN. The approach captures environmental stochasticity that value-based methods ignore. Batch jobs are assigned to VMs to balance load across the cluster, formulated as a multi-objective optimisation problem.</w:t>
      </w:r>
    </w:p>
    <w:p>
      <w:pPr>
        <w:pStyle w:val="Heading3"/>
      </w:pPr>
      <w:r>
        <w:rPr>
          <w:color w:val="1F3A5F"/>
        </w:rPr>
        <w:t>Advantages</w:t>
      </w:r>
    </w:p>
    <w:p>
      <w:pPr>
        <w:pStyle w:val="ListBullet"/>
      </w:pPr>
      <w:r>
        <w:t>Novel distributional RL approach — moves beyond expected-value DQN</w:t>
      </w:r>
    </w:p>
    <w:p>
      <w:pPr>
        <w:pStyle w:val="ListBullet"/>
      </w:pPr>
      <w:r>
        <w:t>Captures environmental uncertainty and stochasticity explicitly</w:t>
      </w:r>
    </w:p>
    <w:p>
      <w:pPr>
        <w:pStyle w:val="ListBullet"/>
      </w:pPr>
      <w:r>
        <w:t>Published in IEEE TPDS — top-tier journal with high impact factor</w:t>
      </w:r>
    </w:p>
    <w:p>
      <w:pPr>
        <w:pStyle w:val="ListBullet"/>
      </w:pPr>
      <w:r>
        <w:t>54 citations indicate significant community interest and validation</w:t>
      </w:r>
    </w:p>
    <w:p>
      <w:pPr>
        <w:pStyle w:val="ListBullet"/>
      </w:pPr>
      <w:r>
        <w:t>Multi-objective optimisation framework balances multiple resource dimensions</w:t>
      </w:r>
    </w:p>
    <w:p>
      <w:pPr>
        <w:pStyle w:val="ListBullet"/>
      </w:pPr>
      <w:r>
        <w:t>Outperforms DQN-based schedulers for time-varying batch workloads</w:t>
      </w:r>
    </w:p>
    <w:p>
      <w:pPr>
        <w:pStyle w:val="Heading3"/>
      </w:pPr>
      <w:r>
        <w:rPr>
          <w:color w:val="1F3A5F"/>
        </w:rPr>
        <w:t>Limitations</w:t>
      </w:r>
    </w:p>
    <w:p>
      <w:pPr>
        <w:pStyle w:val="ListBullet"/>
      </w:pPr>
      <w:r>
        <w:t>Batch jobs only — fundamentally different from online request routing</w:t>
      </w:r>
    </w:p>
    <w:p>
      <w:pPr>
        <w:pStyle w:val="ListBullet"/>
      </w:pPr>
      <w:r>
        <w:t>No flash-sale or burst traffic — batch workloads are pre-scheduled</w:t>
      </w:r>
    </w:p>
    <w:p>
      <w:pPr>
        <w:pStyle w:val="ListBullet"/>
      </w:pPr>
      <w:r>
        <w:t>No real-time latency metrics — evaluation focused on throughput and load variance</w:t>
      </w:r>
    </w:p>
    <w:p>
      <w:pPr>
        <w:pStyle w:val="ListBullet"/>
      </w:pPr>
      <w:r>
        <w:t>Simulation-only — no deployment on real cloud infrastructure (AWS/Azure/GCP)</w:t>
      </w:r>
    </w:p>
    <w:p>
      <w:pPr>
        <w:pStyle w:val="ListBullet"/>
      </w:pPr>
      <w:r>
        <w:t>No DQN vs PPO comparison — only compares distributional RL with standard DQN</w:t>
      </w:r>
    </w:p>
    <w:p>
      <w:pPr>
        <w:pStyle w:val="ListBullet"/>
      </w:pPr>
      <w:r>
        <w:t>No SLA component in the optimisation objectives</w:t>
      </w:r>
    </w:p>
    <w:p>
      <w:pPr>
        <w:pStyle w:val="Heading3"/>
      </w:pPr>
      <w:r>
        <w:rPr>
          <w:color w:val="1F3A5F"/>
        </w:rPr>
        <w:t>Research Gap (Derived from Cross-Paper Analysis)</w:t>
      </w:r>
    </w:p>
    <w:p>
      <w:pPr>
        <w:spacing w:after="120"/>
      </w:pPr>
      <w:r>
        <w:t>Distributional RL addresses the stochasticity problem in DQN but is applied exclusively to batch job scheduling where decisions are made periodically, not per-request. Flash-sale traffic is inherently stochastic (arrival rates fluctuate wildly within seconds), making it a natural application for distributional methods. However, no work has applied distributional RL to online request routing under burst traffic. FlashBalanceAI can explore whether distributional RL improves upon standard DQN/PPO for flash-sale load balancing — a novel contribution.</w:t>
      </w:r>
    </w:p>
    <w:p>
      <w:pPr>
        <w:pStyle w:val="Heading3"/>
      </w:pPr>
      <w:r>
        <w:rPr>
          <w:color w:val="1F3A5F"/>
        </w:rPr>
        <w:t>Possible Improvement</w:t>
      </w:r>
    </w:p>
    <w:p>
      <w:r>
        <w:t>Adapt distributional RL to online request routing where each request is a decision epoch. Use quantile regression to capture uncertainty in flash-sale arrival rate predictions. Deploy on AWS and evaluate whether distributional methods reduce P95 tail latency under burst conditions. Compare DistRL, DQN, and PPO on identical flash-sale workloads. Add SLA violation rate as a distributional metric (probability of violation).</w:t>
      </w:r>
    </w:p>
    <w:p>
      <w:r>
        <w:br w:type="page"/>
      </w:r>
    </w:p>
    <w:p>
      <w:pPr>
        <w:pStyle w:val="Heading1"/>
      </w:pPr>
      <w:r>
        <w:rPr>
          <w:color w:val="1F3A5F"/>
        </w:rPr>
        <w:t>7. Cross-Paper Comparison Table</w:t>
      </w:r>
    </w:p>
    <w:p>
      <w:r>
        <w:t>The following table compares all five papers across eight dimensions to identify collective strengths and gaps.</w:t>
      </w:r>
    </w:p>
    <w:tbl>
      <w:tblPr>
        <w:tblStyle w:val="TableGrid"/>
        <w:tblW w:type="auto" w:w="0"/>
        <w:jc w:val="center"/>
        <w:tblLook w:firstColumn="1" w:firstRow="1" w:lastColumn="0" w:lastRow="0" w:noHBand="0" w:noVBand="1" w:val="04A0"/>
      </w:tblPr>
      <w:tblGrid>
        <w:gridCol w:w="454"/>
        <w:gridCol w:w="1814"/>
        <w:gridCol w:w="1587"/>
        <w:gridCol w:w="1020"/>
        <w:gridCol w:w="1020"/>
        <w:gridCol w:w="1020"/>
        <w:gridCol w:w="1020"/>
        <w:gridCol w:w="1020"/>
        <w:gridCol w:w="1134"/>
      </w:tblGrid>
      <w:tr>
        <w:tc>
          <w:tcPr>
            <w:tcW w:type="dxa" w:w="960"/>
            <w:shd w:fill="1F3A5F" w:val="clear"/>
          </w:tcPr>
          <w:p>
            <w:r>
              <w:rPr>
                <w:rFonts w:ascii="Times New Roman" w:hAnsi="Times New Roman"/>
                <w:b/>
                <w:color w:val="FFFFFF"/>
                <w:sz w:val="16"/>
              </w:rPr>
              <w:t>#</w:t>
            </w:r>
          </w:p>
        </w:tc>
        <w:tc>
          <w:tcPr>
            <w:tcW w:type="dxa" w:w="960"/>
            <w:shd w:fill="1F3A5F" w:val="clear"/>
          </w:tcPr>
          <w:p>
            <w:r>
              <w:rPr>
                <w:rFonts w:ascii="Times New Roman" w:hAnsi="Times New Roman"/>
                <w:b/>
                <w:color w:val="FFFFFF"/>
                <w:sz w:val="16"/>
              </w:rPr>
              <w:t>Paper (Year)</w:t>
            </w:r>
          </w:p>
        </w:tc>
        <w:tc>
          <w:tcPr>
            <w:tcW w:type="dxa" w:w="960"/>
            <w:shd w:fill="1F3A5F" w:val="clear"/>
          </w:tcPr>
          <w:p>
            <w:r>
              <w:rPr>
                <w:rFonts w:ascii="Times New Roman" w:hAnsi="Times New Roman"/>
                <w:b/>
                <w:color w:val="FFFFFF"/>
                <w:sz w:val="16"/>
              </w:rPr>
              <w:t>Method</w:t>
            </w:r>
          </w:p>
        </w:tc>
        <w:tc>
          <w:tcPr>
            <w:tcW w:type="dxa" w:w="960"/>
            <w:shd w:fill="1F3A5F" w:val="clear"/>
          </w:tcPr>
          <w:p>
            <w:r>
              <w:rPr>
                <w:rFonts w:ascii="Times New Roman" w:hAnsi="Times New Roman"/>
                <w:b/>
                <w:color w:val="FFFFFF"/>
                <w:sz w:val="16"/>
              </w:rPr>
              <w:t>Flash- Sale?</w:t>
            </w:r>
          </w:p>
        </w:tc>
        <w:tc>
          <w:tcPr>
            <w:tcW w:type="dxa" w:w="960"/>
            <w:shd w:fill="1F3A5F" w:val="clear"/>
          </w:tcPr>
          <w:p>
            <w:r>
              <w:rPr>
                <w:rFonts w:ascii="Times New Roman" w:hAnsi="Times New Roman"/>
                <w:b/>
                <w:color w:val="FFFFFF"/>
                <w:sz w:val="16"/>
              </w:rPr>
              <w:t>Request Routing?</w:t>
            </w:r>
          </w:p>
        </w:tc>
        <w:tc>
          <w:tcPr>
            <w:tcW w:type="dxa" w:w="960"/>
            <w:shd w:fill="1F3A5F" w:val="clear"/>
          </w:tcPr>
          <w:p>
            <w:r>
              <w:rPr>
                <w:rFonts w:ascii="Times New Roman" w:hAnsi="Times New Roman"/>
                <w:b/>
                <w:color w:val="FFFFFF"/>
                <w:sz w:val="16"/>
              </w:rPr>
              <w:t>AWS Native?</w:t>
            </w:r>
          </w:p>
        </w:tc>
        <w:tc>
          <w:tcPr>
            <w:tcW w:type="dxa" w:w="960"/>
            <w:shd w:fill="1F3A5F" w:val="clear"/>
          </w:tcPr>
          <w:p>
            <w:r>
              <w:rPr>
                <w:rFonts w:ascii="Times New Roman" w:hAnsi="Times New Roman"/>
                <w:b/>
                <w:color w:val="FFFFFF"/>
                <w:sz w:val="16"/>
              </w:rPr>
              <w:t>DQN vs PPO?</w:t>
            </w:r>
          </w:p>
        </w:tc>
        <w:tc>
          <w:tcPr>
            <w:tcW w:type="dxa" w:w="960"/>
            <w:shd w:fill="1F3A5F" w:val="clear"/>
          </w:tcPr>
          <w:p>
            <w:r>
              <w:rPr>
                <w:rFonts w:ascii="Times New Roman" w:hAnsi="Times New Roman"/>
                <w:b/>
                <w:color w:val="FFFFFF"/>
                <w:sz w:val="16"/>
              </w:rPr>
              <w:t>SLA- Aware?</w:t>
            </w:r>
          </w:p>
        </w:tc>
        <w:tc>
          <w:tcPr>
            <w:tcW w:type="dxa" w:w="960"/>
            <w:shd w:fill="1F3A5F" w:val="clear"/>
          </w:tcPr>
          <w:p>
            <w:r>
              <w:rPr>
                <w:rFonts w:ascii="Times New Roman" w:hAnsi="Times New Roman"/>
                <w:b/>
                <w:color w:val="FFFFFF"/>
                <w:sz w:val="16"/>
              </w:rPr>
              <w:t>Real-Time Metrics?</w:t>
            </w:r>
          </w:p>
        </w:tc>
      </w:tr>
      <w:tr>
        <w:tc>
          <w:tcPr>
            <w:tcW w:type="dxa" w:w="454"/>
          </w:tcPr>
          <w:p>
            <w:r>
              <w:rPr>
                <w:rFonts w:ascii="Times New Roman" w:hAnsi="Times New Roman"/>
                <w:sz w:val="15"/>
              </w:rPr>
              <w:t>1</w:t>
            </w:r>
          </w:p>
        </w:tc>
        <w:tc>
          <w:tcPr>
            <w:tcW w:type="dxa" w:w="1814"/>
          </w:tcPr>
          <w:p>
            <w:r>
              <w:rPr>
                <w:rFonts w:ascii="Times New Roman" w:hAnsi="Times New Roman"/>
                <w:sz w:val="15"/>
              </w:rPr>
              <w:t>DRS — DRL K8s Scheduler</w:t>
              <w:br/>
              <w:t>(Wiley, 2024)</w:t>
            </w:r>
          </w:p>
        </w:tc>
        <w:tc>
          <w:tcPr>
            <w:tcW w:type="dxa" w:w="1587"/>
          </w:tcPr>
          <w:p>
            <w:r>
              <w:rPr>
                <w:rFonts w:ascii="Times New Roman" w:hAnsi="Times New Roman"/>
                <w:sz w:val="15"/>
              </w:rPr>
              <w:t>DRL MDP + Monitor</w:t>
            </w:r>
          </w:p>
        </w:tc>
        <w:tc>
          <w:tcPr>
            <w:tcW w:type="dxa" w:w="1020"/>
          </w:tcPr>
          <w:p>
            <w:r>
              <w:rPr>
                <w:rFonts w:ascii="Times New Roman" w:hAnsi="Times New Roman"/>
                <w:sz w:val="15"/>
              </w:rPr>
              <w:t>✗</w:t>
            </w:r>
          </w:p>
        </w:tc>
        <w:tc>
          <w:tcPr>
            <w:tcW w:type="dxa" w:w="1020"/>
          </w:tcPr>
          <w:p>
            <w:r>
              <w:rPr>
                <w:rFonts w:ascii="Times New Roman" w:hAnsi="Times New Roman"/>
                <w:sz w:val="15"/>
              </w:rPr>
              <w:t>✗ (Pod scheduling)</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134"/>
          </w:tcPr>
          <w:p>
            <w:r>
              <w:rPr>
                <w:rFonts w:ascii="Times New Roman" w:hAnsi="Times New Roman"/>
                <w:sz w:val="15"/>
              </w:rPr>
              <w:t>✗</w:t>
            </w:r>
          </w:p>
        </w:tc>
      </w:tr>
      <w:tr>
        <w:tc>
          <w:tcPr>
            <w:tcW w:type="dxa" w:w="454"/>
          </w:tcPr>
          <w:p>
            <w:r>
              <w:rPr>
                <w:rFonts w:ascii="Times New Roman" w:hAnsi="Times New Roman"/>
                <w:sz w:val="15"/>
              </w:rPr>
              <w:t>2</w:t>
            </w:r>
          </w:p>
        </w:tc>
        <w:tc>
          <w:tcPr>
            <w:tcW w:type="dxa" w:w="1814"/>
          </w:tcPr>
          <w:p>
            <w:r>
              <w:rPr>
                <w:rFonts w:ascii="Times New Roman" w:hAnsi="Times New Roman"/>
                <w:sz w:val="15"/>
              </w:rPr>
              <w:t>PPO Serverless</w:t>
              <w:br/>
              <w:t>(MDPI, 2024)</w:t>
            </w:r>
          </w:p>
        </w:tc>
        <w:tc>
          <w:tcPr>
            <w:tcW w:type="dxa" w:w="1587"/>
          </w:tcPr>
          <w:p>
            <w:r>
              <w:rPr>
                <w:rFonts w:ascii="Times New Roman" w:hAnsi="Times New Roman"/>
                <w:sz w:val="15"/>
              </w:rPr>
              <w:t>PPO + HPA</w:t>
            </w:r>
          </w:p>
        </w:tc>
        <w:tc>
          <w:tcPr>
            <w:tcW w:type="dxa" w:w="1020"/>
          </w:tcPr>
          <w:p>
            <w:r>
              <w:rPr>
                <w:rFonts w:ascii="Times New Roman" w:hAnsi="Times New Roman"/>
                <w:sz w:val="15"/>
              </w:rPr>
              <w:t>✗</w:t>
            </w:r>
          </w:p>
        </w:tc>
        <w:tc>
          <w:tcPr>
            <w:tcW w:type="dxa" w:w="1020"/>
          </w:tcPr>
          <w:p>
            <w:r>
              <w:rPr>
                <w:rFonts w:ascii="Times New Roman" w:hAnsi="Times New Roman"/>
                <w:sz w:val="15"/>
              </w:rPr>
              <w:t>✗ (HPA config)</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020"/>
          </w:tcPr>
          <w:p>
            <w:r>
              <w:rPr>
                <w:rFonts w:ascii="Times New Roman" w:hAnsi="Times New Roman"/>
                <w:sz w:val="15"/>
              </w:rPr>
              <w:t>Partial</w:t>
            </w:r>
          </w:p>
        </w:tc>
        <w:tc>
          <w:tcPr>
            <w:tcW w:type="dxa" w:w="1134"/>
          </w:tcPr>
          <w:p>
            <w:r>
              <w:rPr>
                <w:rFonts w:ascii="Times New Roman" w:hAnsi="Times New Roman"/>
                <w:sz w:val="15"/>
              </w:rPr>
              <w:t>✗</w:t>
            </w:r>
          </w:p>
        </w:tc>
      </w:tr>
      <w:tr>
        <w:tc>
          <w:tcPr>
            <w:tcW w:type="dxa" w:w="454"/>
          </w:tcPr>
          <w:p>
            <w:r>
              <w:rPr>
                <w:rFonts w:ascii="Times New Roman" w:hAnsi="Times New Roman"/>
                <w:sz w:val="15"/>
              </w:rPr>
              <w:t>3</w:t>
            </w:r>
          </w:p>
        </w:tc>
        <w:tc>
          <w:tcPr>
            <w:tcW w:type="dxa" w:w="1814"/>
          </w:tcPr>
          <w:p>
            <w:r>
              <w:rPr>
                <w:rFonts w:ascii="Times New Roman" w:hAnsi="Times New Roman"/>
                <w:sz w:val="15"/>
              </w:rPr>
              <w:t>SLA-DRL EdgeCloud</w:t>
              <w:br/>
              <w:t>(Nature, 2026)</w:t>
            </w:r>
          </w:p>
        </w:tc>
        <w:tc>
          <w:tcPr>
            <w:tcW w:type="dxa" w:w="1587"/>
          </w:tcPr>
          <w:p>
            <w:r>
              <w:rPr>
                <w:rFonts w:ascii="Times New Roman" w:hAnsi="Times New Roman"/>
                <w:sz w:val="15"/>
              </w:rPr>
              <w:t>DRL + SVRS + Action Pruning</w:t>
            </w:r>
          </w:p>
        </w:tc>
        <w:tc>
          <w:tcPr>
            <w:tcW w:type="dxa" w:w="1020"/>
          </w:tcPr>
          <w:p>
            <w:r>
              <w:rPr>
                <w:rFonts w:ascii="Times New Roman" w:hAnsi="Times New Roman"/>
                <w:sz w:val="15"/>
              </w:rPr>
              <w:t>✗</w:t>
            </w:r>
          </w:p>
        </w:tc>
        <w:tc>
          <w:tcPr>
            <w:tcW w:type="dxa" w:w="1020"/>
          </w:tcPr>
          <w:p>
            <w:r>
              <w:rPr>
                <w:rFonts w:ascii="Times New Roman" w:hAnsi="Times New Roman"/>
                <w:sz w:val="15"/>
              </w:rPr>
              <w:t>✗ (Task sched.)</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134"/>
          </w:tcPr>
          <w:p>
            <w:r>
              <w:rPr>
                <w:rFonts w:ascii="Times New Roman" w:hAnsi="Times New Roman"/>
                <w:sz w:val="15"/>
              </w:rPr>
              <w:t>✗</w:t>
            </w:r>
          </w:p>
        </w:tc>
      </w:tr>
      <w:tr>
        <w:tc>
          <w:tcPr>
            <w:tcW w:type="dxa" w:w="454"/>
          </w:tcPr>
          <w:p>
            <w:r>
              <w:rPr>
                <w:rFonts w:ascii="Times New Roman" w:hAnsi="Times New Roman"/>
                <w:sz w:val="15"/>
              </w:rPr>
              <w:t>4</w:t>
            </w:r>
          </w:p>
        </w:tc>
        <w:tc>
          <w:tcPr>
            <w:tcW w:type="dxa" w:w="1814"/>
          </w:tcPr>
          <w:p>
            <w:r>
              <w:rPr>
                <w:rFonts w:ascii="Times New Roman" w:hAnsi="Times New Roman"/>
                <w:sz w:val="15"/>
              </w:rPr>
              <w:t>PPO vs DQN SDN</w:t>
              <w:br/>
              <w:t>(Elsevier, 2024)</w:t>
            </w:r>
          </w:p>
        </w:tc>
        <w:tc>
          <w:tcPr>
            <w:tcW w:type="dxa" w:w="1587"/>
          </w:tcPr>
          <w:p>
            <w:r>
              <w:rPr>
                <w:rFonts w:ascii="Times New Roman" w:hAnsi="Times New Roman"/>
                <w:sz w:val="15"/>
              </w:rPr>
              <w:t>PPO vs DQN (8 baselines)</w:t>
            </w:r>
          </w:p>
        </w:tc>
        <w:tc>
          <w:tcPr>
            <w:tcW w:type="dxa" w:w="1020"/>
          </w:tcPr>
          <w:p>
            <w:r>
              <w:rPr>
                <w:rFonts w:ascii="Times New Roman" w:hAnsi="Times New Roman"/>
                <w:sz w:val="15"/>
              </w:rPr>
              <w:t>✗</w:t>
            </w:r>
          </w:p>
        </w:tc>
        <w:tc>
          <w:tcPr>
            <w:tcW w:type="dxa" w:w="1020"/>
          </w:tcPr>
          <w:p>
            <w:r>
              <w:rPr>
                <w:rFonts w:ascii="Times New Roman" w:hAnsi="Times New Roman"/>
                <w:sz w:val="15"/>
              </w:rPr>
              <w:t>Partial (routing)</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134"/>
          </w:tcPr>
          <w:p>
            <w:r>
              <w:rPr>
                <w:rFonts w:ascii="Times New Roman" w:hAnsi="Times New Roman"/>
                <w:sz w:val="15"/>
              </w:rPr>
              <w:t>✗</w:t>
            </w:r>
          </w:p>
        </w:tc>
      </w:tr>
      <w:tr>
        <w:tc>
          <w:tcPr>
            <w:tcW w:type="dxa" w:w="454"/>
          </w:tcPr>
          <w:p>
            <w:r>
              <w:rPr>
                <w:rFonts w:ascii="Times New Roman" w:hAnsi="Times New Roman"/>
                <w:sz w:val="15"/>
              </w:rPr>
              <w:t>5</w:t>
            </w:r>
          </w:p>
        </w:tc>
        <w:tc>
          <w:tcPr>
            <w:tcW w:type="dxa" w:w="1814"/>
          </w:tcPr>
          <w:p>
            <w:r>
              <w:rPr>
                <w:rFonts w:ascii="Times New Roman" w:hAnsi="Times New Roman"/>
                <w:sz w:val="15"/>
              </w:rPr>
              <w:t>DistRL Batch Jobs</w:t>
              <w:br/>
              <w:t>(IEEE TPDS, 2024)</w:t>
            </w:r>
          </w:p>
        </w:tc>
        <w:tc>
          <w:tcPr>
            <w:tcW w:type="dxa" w:w="1587"/>
          </w:tcPr>
          <w:p>
            <w:r>
              <w:rPr>
                <w:rFonts w:ascii="Times New Roman" w:hAnsi="Times New Roman"/>
                <w:sz w:val="15"/>
              </w:rPr>
              <w:t>Distributional RL</w:t>
            </w:r>
          </w:p>
        </w:tc>
        <w:tc>
          <w:tcPr>
            <w:tcW w:type="dxa" w:w="1020"/>
          </w:tcPr>
          <w:p>
            <w:r>
              <w:rPr>
                <w:rFonts w:ascii="Times New Roman" w:hAnsi="Times New Roman"/>
                <w:sz w:val="15"/>
              </w:rPr>
              <w:t>✗</w:t>
            </w:r>
          </w:p>
        </w:tc>
        <w:tc>
          <w:tcPr>
            <w:tcW w:type="dxa" w:w="1020"/>
          </w:tcPr>
          <w:p>
            <w:r>
              <w:rPr>
                <w:rFonts w:ascii="Times New Roman" w:hAnsi="Times New Roman"/>
                <w:sz w:val="15"/>
              </w:rPr>
              <w:t>✗ (Batch jobs)</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020"/>
          </w:tcPr>
          <w:p>
            <w:r>
              <w:rPr>
                <w:rFonts w:ascii="Times New Roman" w:hAnsi="Times New Roman"/>
                <w:sz w:val="15"/>
              </w:rPr>
              <w:t>✗</w:t>
            </w:r>
          </w:p>
        </w:tc>
        <w:tc>
          <w:tcPr>
            <w:tcW w:type="dxa" w:w="1134"/>
          </w:tcPr>
          <w:p>
            <w:r>
              <w:rPr>
                <w:rFonts w:ascii="Times New Roman" w:hAnsi="Times New Roman"/>
                <w:sz w:val="15"/>
              </w:rPr>
              <w:t>✗</w:t>
            </w:r>
          </w:p>
        </w:tc>
      </w:tr>
      <w:tr>
        <w:tc>
          <w:tcPr>
            <w:tcW w:type="dxa" w:w="454"/>
            <w:shd w:fill="2E7D32" w:val="clear"/>
          </w:tcPr>
          <w:p>
            <w:r>
              <w:rPr>
                <w:rFonts w:ascii="Times New Roman" w:hAnsi="Times New Roman"/>
                <w:b/>
                <w:color w:val="FFFFFF"/>
                <w:sz w:val="15"/>
              </w:rPr>
              <w:t>★</w:t>
            </w:r>
          </w:p>
        </w:tc>
        <w:tc>
          <w:tcPr>
            <w:tcW w:type="dxa" w:w="1814"/>
            <w:shd w:fill="2E7D32" w:val="clear"/>
          </w:tcPr>
          <w:p>
            <w:r>
              <w:rPr>
                <w:rFonts w:ascii="Times New Roman" w:hAnsi="Times New Roman"/>
                <w:b/>
                <w:color w:val="FFFFFF"/>
                <w:sz w:val="15"/>
              </w:rPr>
              <w:t>FlashBalanceAI</w:t>
              <w:br/>
              <w:t>(Proposed)</w:t>
            </w:r>
          </w:p>
        </w:tc>
        <w:tc>
          <w:tcPr>
            <w:tcW w:type="dxa" w:w="1587"/>
            <w:shd w:fill="2E7D32" w:val="clear"/>
          </w:tcPr>
          <w:p>
            <w:r>
              <w:rPr>
                <w:rFonts w:ascii="Times New Roman" w:hAnsi="Times New Roman"/>
                <w:b/>
                <w:color w:val="FFFFFF"/>
                <w:sz w:val="15"/>
              </w:rPr>
              <w:t>DQN + PPO Hybrid</w:t>
              <w:br/>
              <w:t>+ Flash-Sale Gen.</w:t>
            </w:r>
          </w:p>
        </w:tc>
        <w:tc>
          <w:tcPr>
            <w:tcW w:type="dxa" w:w="1020"/>
            <w:shd w:fill="2E7D32" w:val="clear"/>
          </w:tcPr>
          <w:p>
            <w:r>
              <w:rPr>
                <w:rFonts w:ascii="Times New Roman" w:hAnsi="Times New Roman"/>
                <w:b/>
                <w:color w:val="FFFFFF"/>
                <w:sz w:val="15"/>
              </w:rPr>
              <w:t>✓</w:t>
            </w:r>
          </w:p>
        </w:tc>
        <w:tc>
          <w:tcPr>
            <w:tcW w:type="dxa" w:w="1020"/>
            <w:shd w:fill="2E7D32" w:val="clear"/>
          </w:tcPr>
          <w:p>
            <w:r>
              <w:rPr>
                <w:rFonts w:ascii="Times New Roman" w:hAnsi="Times New Roman"/>
                <w:b/>
                <w:color w:val="FFFFFF"/>
                <w:sz w:val="15"/>
              </w:rPr>
              <w:t>✓</w:t>
            </w:r>
          </w:p>
        </w:tc>
        <w:tc>
          <w:tcPr>
            <w:tcW w:type="dxa" w:w="1020"/>
            <w:shd w:fill="2E7D32" w:val="clear"/>
          </w:tcPr>
          <w:p>
            <w:r>
              <w:rPr>
                <w:rFonts w:ascii="Times New Roman" w:hAnsi="Times New Roman"/>
                <w:b/>
                <w:color w:val="FFFFFF"/>
                <w:sz w:val="15"/>
              </w:rPr>
              <w:t>✓</w:t>
            </w:r>
          </w:p>
        </w:tc>
        <w:tc>
          <w:tcPr>
            <w:tcW w:type="dxa" w:w="1020"/>
            <w:shd w:fill="2E7D32" w:val="clear"/>
          </w:tcPr>
          <w:p>
            <w:r>
              <w:rPr>
                <w:rFonts w:ascii="Times New Roman" w:hAnsi="Times New Roman"/>
                <w:b/>
                <w:color w:val="FFFFFF"/>
                <w:sz w:val="15"/>
              </w:rPr>
              <w:t>✓</w:t>
            </w:r>
          </w:p>
        </w:tc>
        <w:tc>
          <w:tcPr>
            <w:tcW w:type="dxa" w:w="1020"/>
            <w:shd w:fill="2E7D32" w:val="clear"/>
          </w:tcPr>
          <w:p>
            <w:r>
              <w:rPr>
                <w:rFonts w:ascii="Times New Roman" w:hAnsi="Times New Roman"/>
                <w:b/>
                <w:color w:val="FFFFFF"/>
                <w:sz w:val="15"/>
              </w:rPr>
              <w:t>✓</w:t>
            </w:r>
          </w:p>
        </w:tc>
        <w:tc>
          <w:tcPr>
            <w:tcW w:type="dxa" w:w="1134"/>
            <w:shd w:fill="2E7D32" w:val="clear"/>
          </w:tcPr>
          <w:p>
            <w:r>
              <w:rPr>
                <w:rFonts w:ascii="Times New Roman" w:hAnsi="Times New Roman"/>
                <w:b/>
                <w:color w:val="FFFFFF"/>
                <w:sz w:val="15"/>
              </w:rPr>
              <w:t>✓</w:t>
            </w:r>
          </w:p>
        </w:tc>
      </w:tr>
    </w:tbl>
    <w:p/>
    <w:p>
      <w:pPr>
        <w:pStyle w:val="Heading1"/>
      </w:pPr>
      <w:r>
        <w:rPr>
          <w:color w:val="1F3A5F"/>
        </w:rPr>
        <w:t>8. Overarching Research Gap Analysis</w:t>
      </w:r>
    </w:p>
    <w:p>
      <w:r>
        <w:t>The cross-paper analysis reveals a clear and consistent pattern of gaps across all five papers. This gap statement is independently derived — it is not copied from any single paper but synthesised from the collective limitations observed across the literature.</w:t>
      </w:r>
    </w:p>
    <w:p>
      <w:pPr>
        <w:pStyle w:val="Heading2"/>
      </w:pPr>
      <w:r>
        <w:rPr>
          <w:color w:val="1F3A5F"/>
        </w:rPr>
        <w:t>Gap 1: No Flash-Sale Traffic Focus</w:t>
      </w:r>
    </w:p>
    <w:p>
      <w:r>
        <w:t>All five papers evaluate their methods on general-purpose or batch workloads. None of them model or test flash-sale traffic patterns characterised by sudden 50-100x load spikes within seconds, followed by gradual decay. Flash sales are fundamentally different from the workloads studied because they create coordinated request avalanches that saturate load balancers, trigger cascading timeouts, and cause non-linear degradation in P95/P99 latency. FlashBalanceAI is the first to explicitly target this traffic pattern with a DRL-based routing framework.</w:t>
      </w:r>
    </w:p>
    <w:p>
      <w:pPr>
        <w:pStyle w:val="Heading2"/>
      </w:pPr>
      <w:r>
        <w:rPr>
          <w:color w:val="1F3A5F"/>
        </w:rPr>
        <w:t>Gap 2: No Online Per-Request Routing</w:t>
      </w:r>
    </w:p>
    <w:p>
      <w:r>
        <w:t>Papers 1, 2, 3, and 5 address scheduling — placing pods, configuring autoscalers, assigning batch jobs to VMs. Only Paper 4 partially addresses per-task routing, but in an SDN edge context. None of the papers perform online per-request HTTP routing where each incoming request is individually assigned to a backend server based on real-time load state. FlashBalanceAI targets this granularity of control, which is essential for flash-sale scenarios where a single overwhelmed server can cause a traffic cascade.</w:t>
      </w:r>
    </w:p>
    <w:p>
      <w:pPr>
        <w:pStyle w:val="Heading2"/>
      </w:pPr>
      <w:r>
        <w:rPr>
          <w:color w:val="1F3A5F"/>
        </w:rPr>
        <w:t>Gap 3: No AWS Cloud-Native Deployment</w:t>
      </w:r>
    </w:p>
    <w:p>
      <w:r>
        <w:t>Papers 1-2 use on-premises Kubernetes, Papers 3-5 use simulations. None deploy on AWS cloud infrastructure with services like EC2, ALB, ECS, Lambda, CloudWatch, or SageMaker. This limits practical applicability — cloud-native features like auto-scaling groups, managed load balancers, and real-time monitoring are not leveraged. FlashBalanceAI is designed from the ground up for AWS, using CloudWatch for state observation, ALB for baseline routing, and SageMaker for DRL training/inference.</w:t>
      </w:r>
    </w:p>
    <w:p>
      <w:pPr>
        <w:pStyle w:val="Heading2"/>
      </w:pPr>
      <w:r>
        <w:rPr>
          <w:color w:val="1F3A5F"/>
        </w:rPr>
        <w:t>Gap 4: No Systematic DQN vs PPO Comparison for Load Balancing</w:t>
      </w:r>
    </w:p>
    <w:p>
      <w:r>
        <w:t>Only Paper 4 provides a direct DQN vs PPO comparison (in SDN edge computing). The other papers use a single algorithm. There is no study that systematically compares DQN and PPO for cloud load balancing under burst traffic. This is a critical gap because DQN and PPO have different convergence behaviours, sample efficiency, and stability characteristics that matter during flash-sale events. FlashBalanceAI fills this gap by implementing both algorithms on identical AWS infrastructure and comparing their performance under identical flash-sale workloads.</w:t>
      </w:r>
    </w:p>
    <w:p>
      <w:pPr>
        <w:pStyle w:val="Heading2"/>
      </w:pPr>
      <w:r>
        <w:rPr>
          <w:color w:val="1F3A5F"/>
        </w:rPr>
        <w:t>Gap 5: No Real-Time Latency Metrics (P95/P99) in DRL Reward</w:t>
      </w:r>
    </w:p>
    <w:p>
      <w:r>
        <w:t>None of the five papers use tail latency metrics (P95, P99, P99.9) as part of the DRL reward function. Papers 1-2 use average resource utilisation, Paper 3 uses deadline miss rate, Paper 4 uses energy consumption and load variance, Paper 5 uses throughput. For flash-sale traffic, P95/P99 latency is the most critical user-facing metric — a few milliseconds of tail latency degradation can cause revenue loss and user abandonment. FlashBalanceAI makes P95/P99 latency the primary reward objective, combined with cost efficiency and load balance.</w:t>
      </w:r>
    </w:p>
    <w:p>
      <w:pPr>
        <w:pStyle w:val="Heading2"/>
      </w:pPr>
      <w:r>
        <w:rPr>
          <w:color w:val="1F3A5F"/>
        </w:rPr>
        <w:t>Gap 6: No Integrated Monitoring Feedback Loop</w:t>
      </w:r>
    </w:p>
    <w:p>
      <w:r>
        <w:t>Paper 1 has a custom monitor but it is not connected to a cloud-native observability pipeline. The other papers lack real-time state feedback entirely. In production flash-sale scenarios, the DRL agent must react to metrics streamed in real-time (CPU bursts, connection queue lengths, latency spikes). FlashBalanceAI integrates AWS CloudWatch alarms and metrics as the state input for the DRL agent, creating an end-to-end monitoring-driven control loop.</w:t>
      </w:r>
    </w:p>
    <w:p>
      <w:pPr>
        <w:pStyle w:val="Heading1"/>
      </w:pPr>
      <w:r>
        <w:rPr>
          <w:color w:val="1F3A5F"/>
        </w:rPr>
        <w:t>9. Possible Improvements (Synthesised)</w:t>
      </w:r>
    </w:p>
    <w:p>
      <w:r>
        <w:t>Based on the gaps identified, the following improvements are proposed for FlashBalanceAI. These improvements represent the original contribution of this project.</w:t>
      </w:r>
    </w:p>
    <w:p>
      <w:pPr>
        <w:pStyle w:val="Heading2"/>
      </w:pPr>
      <w:r>
        <w:rPr>
          <w:color w:val="1F3A5F"/>
        </w:rPr>
        <w:t>Flash-Sale Traffic Generator</w:t>
      </w:r>
    </w:p>
    <w:p>
      <w:r>
        <w:t>Design a synthetic flash-sale workload generator that produces multi-phasic load patterns: pre-spike crawl, sudden 50-100x spike within 2-3 seconds, sustained overload plateau for 30-60 seconds, then gradual decay. This generator will be the evaluation benchmark for all experiments.</w:t>
      </w:r>
    </w:p>
    <w:p>
      <w:pPr>
        <w:pStyle w:val="Heading2"/>
      </w:pPr>
      <w:r>
        <w:rPr>
          <w:color w:val="1F3A5F"/>
        </w:rPr>
        <w:t>DQN + PPO Dual-Architecture Comparison</w:t>
      </w:r>
    </w:p>
    <w:p>
      <w:r>
        <w:t>Implement both DQN and PPO agents on identical AWS infrastructure (SageMaker training, ECS inference). Compare convergence speed, sample efficiency, stability, and final performance under flash-sale workloads. Identify which algorithm better handles burst traffic characteristics.</w:t>
      </w:r>
    </w:p>
    <w:p>
      <w:pPr>
        <w:pStyle w:val="Heading2"/>
      </w:pPr>
      <w:r>
        <w:rPr>
          <w:color w:val="1F3A5F"/>
        </w:rPr>
        <w:t>P95/P99 SLA-Aware Reward Function</w:t>
      </w:r>
    </w:p>
    <w:p>
      <w:r>
        <w:t>Design a reward function that penalises P95/P99 latency violations exponentially. Include an adaptive penalty weight (inspired by Paper 3's SVRS) that increases during flash-sale events to prioritise latency over cost.</w:t>
      </w:r>
    </w:p>
    <w:p>
      <w:pPr>
        <w:pStyle w:val="Heading2"/>
      </w:pPr>
      <w:r>
        <w:rPr>
          <w:color w:val="1F3A5F"/>
        </w:rPr>
        <w:t>AWS CloudWatch-Integrated State Space</w:t>
      </w:r>
    </w:p>
    <w:p>
      <w:r>
        <w:t>Use CloudWatch metrics (CPUUtilisation, RequestCount, TargetResponseTime, ConnectionCount, BacklogPerInstance) as the real-time state vector for the DRL agent. This ensures production-ready observability without custom monitoring infrastructure.</w:t>
      </w:r>
    </w:p>
    <w:p>
      <w:pPr>
        <w:pStyle w:val="Heading2"/>
      </w:pPr>
      <w:r>
        <w:rPr>
          <w:color w:val="1F3A5F"/>
        </w:rPr>
        <w:t>Combined Routing + Scaling Action Space</w:t>
      </w:r>
    </w:p>
    <w:p>
      <w:r>
        <w:t>Design a two-level action space: (1) per-request routing to a specific EC2/ECS instance, and (2) scaling decision to add/remove instances. This mirrors Paper 4's two-stage approach but adapted for AWS-native services (ALB + Auto Scaling Groups).</w:t>
      </w:r>
    </w:p>
    <w:p>
      <w:pPr>
        <w:pStyle w:val="Heading2"/>
      </w:pPr>
      <w:r>
        <w:rPr>
          <w:color w:val="1F3A5F"/>
        </w:rPr>
        <w:t>Baseline Comparison with Traditional Algorithms</w:t>
      </w:r>
    </w:p>
    <w:p>
      <w:r>
        <w:t>Implement Round Robin, Weighted Round Robin, Least Connections, and Least Response Time as baselines on the same AWS testbed. This enables fair comparison across all methods.</w:t>
      </w:r>
    </w:p>
    <w:p>
      <w:pPr>
        <w:pStyle w:val="Heading2"/>
      </w:pPr>
      <w:r>
        <w:rPr>
          <w:color w:val="1F3A5F"/>
        </w:rPr>
        <w:t>Distributional RL Extension (if time permits)</w:t>
      </w:r>
    </w:p>
    <w:p>
      <w:r>
        <w:t>Explore whether distributional RL (Paper 5 approach) improves tail latency prediction under burst conditions by modelling the full distribution of response times rather than the mean.</w:t>
      </w:r>
    </w:p>
    <w:p>
      <w:r>
        <w:br w:type="page"/>
      </w:r>
    </w:p>
    <w:p>
      <w:pPr>
        <w:pStyle w:val="Heading1"/>
      </w:pPr>
      <w:r>
        <w:rPr>
          <w:color w:val="1F3A5F"/>
        </w:rPr>
        <w:t>10. References</w:t>
      </w:r>
    </w:p>
    <w:p>
      <w:pPr>
        <w:spacing w:after="80"/>
        <w:ind w:left="720" w:hanging="720"/>
      </w:pPr>
      <w:r>
        <w:t>Jian, Z., Xie, X., Fang, Y., Jiang, Y., Lu, Y., Dash, A., Li, T., &amp; Wang, G. (2024). DRS: A Deep Reinforcement Learning Enhanced Kubernetes Scheduler for Microservice-Based System. Software: Practice and Experience, 54(10), 2102–2126. DOI: 10.1002/spe.3284</w:t>
      </w:r>
    </w:p>
    <w:p>
      <w:pPr>
        <w:spacing w:after="80"/>
        <w:ind w:left="720" w:hanging="720"/>
      </w:pPr>
      <w:r>
        <w:t>Femminella, M., &amp; Reali, G. (2024). Application of Proximal Policy Optimization for Resource Orchestration in Serverless Edge Computing. Computers, 13(9), 224. DOI: 10.3390/computers13090224</w:t>
      </w:r>
    </w:p>
    <w:p>
      <w:pPr>
        <w:spacing w:after="80"/>
        <w:ind w:left="720" w:hanging="720"/>
      </w:pPr>
      <w:r>
        <w:t>Yamsani, N., &amp; Chenna Reddy, P. (2026). SLA Aware Deep Reinforcement Learning for Adaptive EdgeCloud Task Scheduling. Scientific Reports, 16, 10037. DOI: 10.1038/s41598-026-40237-8</w:t>
      </w:r>
    </w:p>
    <w:p>
      <w:pPr>
        <w:spacing w:after="80"/>
        <w:ind w:left="720" w:hanging="720"/>
      </w:pPr>
      <w:r>
        <w:t>Zhou, X., Yang, J., Li, Y., Li, S., &amp; Su, Z. (2024). Deep Reinforcement Learning-Based Resource Scheduling for Energy Optimization and Load Balancing in SDN-Driven Edge Computing. Computer Communications, 226-227, 107925. DOI: 10.1016/j.comcom.2024.107925</w:t>
      </w:r>
    </w:p>
    <w:p>
      <w:pPr>
        <w:spacing w:after="80"/>
        <w:ind w:left="720" w:hanging="720"/>
      </w:pPr>
      <w:r>
        <w:t>Li, T., Ying, S., Zhao, Y., &amp; Shang, J. (2024). Batch Jobs Load Balancing Scheduling in Cloud Computing Using Distributional Reinforcement Learning. IEEE Transactions on Parallel and Distributed Systems, 35(1), 169–185. DOI: 10.1109/TPDS.2023.3334519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