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hint="default" w:ascii="Times New Roman" w:hAnsi="Times New Roman" w:eastAsia="Times New Roman" w:cs="Times New Roman"/>
          <w:b w:val="0"/>
          <w:sz w:val="44"/>
          <w:szCs w:val="44"/>
        </w:rPr>
        <mc:AlternateContent>
          <mc:Choice Requires="wpg">
            <w:drawing>
              <wp:inline xmlns:wp="http://schemas.openxmlformats.org/drawingml/2006/wordprocessingDrawing" distT="0" distB="0" distL="0" distR="0">
                <wp:extent cx="1866900" cy="1866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585370414" name="image1.png"/>
                        <pic:cNvPicPr/>
                        <pic:nvPr/>
                      </pic:nvPicPr>
                      <pic:blipFill rotWithShape="1">
                        <a:blip r:embed="rId10"/>
                        <a:stretch/>
                      </pic:blipFill>
                      <pic:spPr bwMode="auto">
                        <a:xfrm rot="0" flipH="0" flipV="0">
                          <a:off x="0" y="0"/>
                          <a:ext cx="1866899"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00pt;height:147.00pt;mso-wrap-distance-left:0.00pt;mso-wrap-distance-top:0.00pt;mso-wrap-distance-right:0.00pt;mso-wrap-distance-bottom:0.00pt;rotation:0;z-index:1;" stroked="false">
                <v:imagedata r:id="rId10" o:title=""/>
                <o:lock v:ext="edit" rotation="t"/>
              </v:shape>
            </w:pict>
          </mc:Fallback>
        </mc:AlternateContent>
      </w:r>
      <w:r/>
    </w:p>
    <w:p>
      <w:pPr>
        <w:pBdr/>
        <w:spacing w:after="120"/>
        <w:ind/>
        <w:jc w:val="center"/>
        <w:rPr/>
      </w:pPr>
      <w:r>
        <w:rPr>
          <w:rFonts w:ascii="Times New Roman" w:hAnsi="Times New Roman"/>
          <w:b/>
          <w:sz w:val="28"/>
        </w:rPr>
        <w:t xml:space="preserve">JOMO KENYATTA UNIVERSITY OF AGRICULTURE</w:t>
      </w:r>
      <w:r/>
    </w:p>
    <w:p>
      <w:pPr>
        <w:pBdr/>
        <w:spacing w:after="120"/>
        <w:ind/>
        <w:jc w:val="center"/>
        <w:rPr/>
      </w:pPr>
      <w:r>
        <w:rPr>
          <w:rFonts w:ascii="Times New Roman" w:hAnsi="Times New Roman"/>
          <w:b/>
          <w:sz w:val="28"/>
        </w:rPr>
        <w:t xml:space="preserve">AND TECHNOLOGY</w:t>
      </w:r>
      <w:r/>
    </w:p>
    <w:p>
      <w:pPr>
        <w:pBdr/>
        <w:spacing/>
        <w:ind/>
        <w:rPr/>
      </w:pPr>
      <w:r/>
      <w:r/>
    </w:p>
    <w:p>
      <w:pPr>
        <w:pBdr/>
        <w:spacing w:after="120"/>
        <w:ind/>
        <w:jc w:val="center"/>
        <w:rPr/>
      </w:pPr>
      <w:r>
        <w:rPr>
          <w:rFonts w:ascii="Times New Roman" w:hAnsi="Times New Roman"/>
          <w:b/>
          <w:sz w:val="24"/>
        </w:rPr>
        <w:t xml:space="preserve">DEPARTMENT OF ELECTRONIC AND COMPUTER ENGINEERING</w:t>
      </w:r>
      <w:r/>
    </w:p>
    <w:p>
      <w:pPr>
        <w:pBdr/>
        <w:spacing w:after="120"/>
        <w:ind/>
        <w:jc w:val="center"/>
        <w:rPr/>
      </w:pPr>
      <w:r>
        <w:rPr>
          <w:rFonts w:ascii="Times New Roman" w:hAnsi="Times New Roman"/>
          <w:b/>
          <w:sz w:val="24"/>
        </w:rPr>
        <w:t xml:space="preserve">BSC ELECTRONIC AND COMPUTER ENGINEERING</w:t>
      </w:r>
      <w:r/>
    </w:p>
    <w:p>
      <w:pPr>
        <w:pBdr/>
        <w:spacing w:after="120"/>
        <w:ind/>
        <w:jc w:val="center"/>
        <w:rPr/>
      </w:pPr>
      <w:r>
        <w:rPr>
          <w:rFonts w:ascii="Times New Roman" w:hAnsi="Times New Roman"/>
          <w:b/>
          <w:sz w:val="26"/>
        </w:rPr>
        <w:t xml:space="preserve">PROJECT PROPOSAL</w:t>
      </w:r>
      <w:r/>
    </w:p>
    <w:p>
      <w:pPr>
        <w:pBdr/>
        <w:spacing w:after="120"/>
        <w:ind/>
        <w:jc w:val="center"/>
        <w:rPr/>
      </w:pPr>
      <w:r>
        <w:rPr>
          <w:rFonts w:ascii="Times New Roman" w:hAnsi="Times New Roman"/>
          <w:b/>
          <w:sz w:val="26"/>
        </w:rPr>
        <w:t xml:space="preserve">DESIGN AND IMPLEMENTATION OF A LOW-COST MULTICHANNEL</w:t>
      </w:r>
      <w:r/>
    </w:p>
    <w:p>
      <w:pPr>
        <w:pBdr/>
        <w:spacing w:after="120"/>
        <w:ind/>
        <w:jc w:val="center"/>
        <w:rPr/>
      </w:pPr>
      <w:r>
        <w:rPr>
          <w:rFonts w:ascii="Times New Roman" w:hAnsi="Times New Roman"/>
          <w:b/>
          <w:sz w:val="26"/>
        </w:rPr>
        <w:t xml:space="preserve">SURFACE ELECTROMYOGRAPHY CONTROL INTERFACE</w:t>
      </w:r>
      <w:r/>
    </w:p>
    <w:p>
      <w:pPr>
        <w:pBdr/>
        <w:spacing w:after="120"/>
        <w:ind/>
        <w:jc w:val="center"/>
        <w:rPr/>
      </w:pPr>
      <w:r>
        <w:rPr>
          <w:rFonts w:ascii="Times New Roman" w:hAnsi="Times New Roman"/>
          <w:b/>
          <w:sz w:val="26"/>
        </w:rPr>
        <w:t xml:space="preserve">FOR UPPER-LIMB PROSTHETIC REHABILITATION</w:t>
      </w:r>
      <w:r/>
    </w:p>
    <w:p>
      <w:pPr>
        <w:pBdr/>
        <w:spacing w:after="120"/>
        <w:ind/>
        <w:jc w:val="center"/>
        <w:rPr/>
      </w:pPr>
      <w:r>
        <w:rPr>
          <w:rFonts w:ascii="Times New Roman" w:hAnsi="Times New Roman"/>
          <w:b w:val="0"/>
          <w:sz w:val="24"/>
        </w:rPr>
        <w:t xml:space="preserve">Submitted by:</w:t>
      </w:r>
      <w:r/>
    </w:p>
    <w:p>
      <w:pPr>
        <w:pBdr/>
        <w:spacing w:after="120"/>
        <w:ind/>
        <w:jc w:val="center"/>
        <w:rPr/>
      </w:pPr>
      <w:r>
        <w:rPr>
          <w:rFonts w:ascii="Times New Roman" w:hAnsi="Times New Roman"/>
          <w:b/>
          <w:sz w:val="24"/>
        </w:rPr>
        <w:t xml:space="preserve">IAN KIARIE KABURA -- ENE212-0069/2022</w:t>
      </w:r>
      <w:r/>
    </w:p>
    <w:p>
      <w:pPr>
        <w:pBdr/>
        <w:spacing w:after="120"/>
        <w:ind/>
        <w:jc w:val="center"/>
        <w:rPr>
          <w:b w:val="0"/>
          <w:bCs w:val="0"/>
        </w:rPr>
      </w:pPr>
      <w:r>
        <w:rPr>
          <w:rFonts w:ascii="Times New Roman" w:hAnsi="Times New Roman"/>
          <w:b w:val="0"/>
          <w:bCs w:val="0"/>
          <w:sz w:val="24"/>
        </w:rPr>
        <w:t xml:space="preserve">PROJECT SUPERVISOR :</w:t>
      </w:r>
      <w:r>
        <w:rPr>
          <w:b w:val="0"/>
          <w:bCs w:val="0"/>
        </w:rPr>
      </w:r>
      <w:r>
        <w:rPr>
          <w:b w:val="0"/>
          <w:bCs w:val="0"/>
        </w:rPr>
      </w:r>
    </w:p>
    <w:p>
      <w:pPr>
        <w:pBdr/>
        <w:spacing w:after="120"/>
        <w:ind/>
        <w:jc w:val="center"/>
        <w:rPr/>
      </w:pPr>
      <w:r>
        <w:rPr>
          <w:rFonts w:ascii="Times New Roman" w:hAnsi="Times New Roman"/>
          <w:b/>
          <w:sz w:val="24"/>
        </w:rPr>
        <w:t xml:space="preserve">DR. IRENE MUISYO</w:t>
      </w:r>
      <w:r/>
    </w:p>
    <w:p>
      <w:pPr>
        <w:pBdr/>
        <w:spacing/>
        <w:ind/>
        <w:rPr/>
      </w:pPr>
      <w:r/>
      <w:r/>
    </w:p>
    <w:p>
      <w:pPr>
        <w:pBdr/>
        <w:spacing/>
        <w:ind/>
        <w:jc w:val="center"/>
        <w:rPr/>
      </w:pPr>
      <w:r>
        <w:rPr>
          <w:rFonts w:ascii="Times New Roman" w:hAnsi="Times New Roman"/>
          <w:i/>
          <w:sz w:val="22"/>
        </w:rPr>
        <w:t xml:space="preserve">A Final Year Project Proposal submitted to the Department of Electronic and</w:t>
        <w:br/>
        <w:t xml:space="preserve">Computer Engineering in partial fulfillment of the requirements for the award of a</w:t>
        <w:br/>
        <w:t xml:space="preserve">Bachelor of Science Degree in Electronic and Computer Engineering.</w:t>
      </w:r>
      <w:r/>
    </w:p>
    <w:p>
      <w:pPr>
        <w:pBdr/>
        <w:spacing/>
        <w:ind/>
        <w:rPr/>
      </w:pPr>
      <w:r/>
      <w:r/>
    </w:p>
    <w:p>
      <w:pPr>
        <w:pBdr/>
        <w:spacing w:after="120"/>
        <w:ind/>
        <w:jc w:val="center"/>
        <w:rPr/>
      </w:pPr>
      <w:r>
        <w:rPr>
          <w:rFonts w:ascii="Times New Roman" w:hAnsi="Times New Roman"/>
          <w:b/>
          <w:sz w:val="24"/>
        </w:rPr>
        <w:t xml:space="preserve">October 2026</w:t>
      </w:r>
      <w:r>
        <w:br w:type="page" w:clear="all"/>
      </w:r>
      <w:r/>
    </w:p>
    <w:p>
      <w:pPr>
        <w:pStyle w:val="874"/>
        <w:pBdr/>
        <w:spacing/>
        <w:ind/>
        <w:rPr/>
      </w:pPr>
      <w:r/>
      <w:bookmarkStart w:id="1" w:name="_Toc1"/>
      <w:r>
        <w:t xml:space="preserve">DECLARATION</w:t>
      </w:r>
      <w:bookmarkEnd w:id="1"/>
      <w:r/>
      <w:r/>
    </w:p>
    <w:p>
      <w:pPr>
        <w:pBdr/>
        <w:spacing w:after="120" w:before="0" w:line="360" w:lineRule="auto"/>
        <w:ind/>
        <w:rPr/>
      </w:pPr>
      <w:r>
        <w:rPr>
          <w:rFonts w:ascii="Times New Roman" w:hAnsi="Times New Roman"/>
          <w:b w:val="0"/>
          <w:sz w:val="24"/>
        </w:rPr>
        <w:t xml:space="preserve">This project proposal is my</w:t>
      </w:r>
      <w:r>
        <w:rPr>
          <w:rFonts w:ascii="Times New Roman" w:hAnsi="Times New Roman"/>
          <w:b w:val="0"/>
          <w:sz w:val="24"/>
        </w:rPr>
        <w:t xml:space="preserve"> original work, except where due acknowledgement is made in the text, and to the best of my knowledge has not been previously submitted to Jomo Kenyatta University of Agriculture and Technology or any other institution for the Award of a degree or diploma.</w:t>
      </w:r>
      <w:r/>
    </w:p>
    <w:p>
      <w:pPr>
        <w:pBdr/>
        <w:spacing/>
        <w:ind/>
        <w:rPr/>
      </w:pPr>
      <w:r/>
      <w:r/>
    </w:p>
    <w:p>
      <w:pPr>
        <w:pBdr/>
        <w:spacing w:after="120" w:before="0" w:line="360" w:lineRule="auto"/>
        <w:ind/>
        <w:rPr/>
      </w:pPr>
      <w:r>
        <w:rPr>
          <w:rFonts w:ascii="Times New Roman" w:hAnsi="Times New Roman"/>
          <w:b w:val="0"/>
          <w:sz w:val="24"/>
        </w:rPr>
        <w:t xml:space="preserve">SIGNATURE...........................................................  DATE ........................................</w:t>
      </w:r>
      <w:r/>
    </w:p>
    <w:p>
      <w:pPr>
        <w:pBdr/>
        <w:spacing/>
        <w:ind/>
        <w:rPr/>
      </w:pPr>
      <w:r/>
      <w:r/>
    </w:p>
    <w:p>
      <w:pPr>
        <w:pBdr/>
        <w:spacing w:after="120" w:before="0" w:line="360" w:lineRule="auto"/>
        <w:ind/>
        <w:rPr/>
      </w:pPr>
      <w:r>
        <w:rPr>
          <w:rFonts w:ascii="Times New Roman" w:hAnsi="Times New Roman"/>
          <w:b w:val="0"/>
          <w:sz w:val="24"/>
        </w:rPr>
        <w:t xml:space="preserve">NAME:   IAN KIARIE KABURA</w:t>
        <w:tab/>
        <w:tab/>
        <w:tab/>
        <w:t xml:space="preserve">REG No.: ENE212-0069/2022</w:t>
      </w:r>
      <w:r/>
    </w:p>
    <w:p>
      <w:pPr>
        <w:pBdr/>
        <w:spacing/>
        <w:ind/>
        <w:rPr/>
      </w:pPr>
      <w:r/>
      <w:r/>
    </w:p>
    <w:p>
      <w:pPr>
        <w:pBdr/>
        <w:spacing/>
        <w:ind/>
        <w:rPr/>
      </w:pPr>
      <w:r/>
      <w:r/>
    </w:p>
    <w:p>
      <w:pPr>
        <w:pBdr/>
        <w:spacing w:after="120" w:before="0" w:line="360" w:lineRule="auto"/>
        <w:ind/>
        <w:rPr/>
      </w:pPr>
      <w:r>
        <w:rPr>
          <w:rFonts w:ascii="Times New Roman" w:hAnsi="Times New Roman"/>
          <w:b/>
          <w:sz w:val="24"/>
        </w:rPr>
        <w:t xml:space="preserve">TITLE OF PROJECT:</w:t>
      </w:r>
      <w:r/>
    </w:p>
    <w:p>
      <w:pPr>
        <w:pBdr/>
        <w:spacing w:after="120" w:before="0" w:line="360" w:lineRule="auto"/>
        <w:ind/>
        <w:rPr/>
      </w:pPr>
      <w:r>
        <w:rPr>
          <w:rFonts w:ascii="Times New Roman" w:hAnsi="Times New Roman"/>
          <w:b/>
          <w:sz w:val="24"/>
        </w:rPr>
        <w:t xml:space="preserve">DESIGN AND IMPLEMENTATION OF A LOW-COST MULTICHANNEL SURFACE ELECTROMYOGRAPHY CONTROL INTERFACE FOR UPPER-LIMB PROSTHETIC REHABILITATION</w:t>
      </w:r>
      <w:r/>
    </w:p>
    <w:p>
      <w:pPr>
        <w:pBdr/>
        <w:spacing/>
        <w:ind/>
        <w:rPr/>
      </w:pPr>
      <w:r/>
      <w:r/>
    </w:p>
    <w:p>
      <w:pPr>
        <w:pBdr/>
        <w:spacing w:after="120" w:before="0" w:line="360" w:lineRule="auto"/>
        <w:ind/>
        <w:rPr/>
      </w:pPr>
      <w:r>
        <w:rPr>
          <w:rFonts w:ascii="Times New Roman" w:hAnsi="Times New Roman"/>
          <w:b/>
          <w:sz w:val="24"/>
        </w:rPr>
        <w:t xml:space="preserve">SUPERVISOR CONFIRMATION:</w:t>
      </w:r>
      <w:r/>
    </w:p>
    <w:p>
      <w:pPr>
        <w:pBdr/>
        <w:spacing w:after="120" w:before="0" w:line="360" w:lineRule="auto"/>
        <w:ind/>
        <w:rPr/>
      </w:pPr>
      <w:r>
        <w:rPr>
          <w:rFonts w:ascii="Times New Roman" w:hAnsi="Times New Roman"/>
          <w:b w:val="0"/>
          <w:sz w:val="24"/>
        </w:rPr>
        <w:t xml:space="preserve">This project proposal has been submitted to the Department of Electronic and Computer Engineering, Jomo Kenyatta University of Agriculture and Technology, with my approval as the University supervisor:</w:t>
      </w:r>
      <w:r/>
    </w:p>
    <w:p>
      <w:pPr>
        <w:pBdr/>
        <w:spacing/>
        <w:ind/>
        <w:rPr/>
      </w:pPr>
      <w:r/>
      <w:r/>
    </w:p>
    <w:p>
      <w:pPr>
        <w:pBdr/>
        <w:spacing w:after="120" w:before="0" w:line="360" w:lineRule="auto"/>
        <w:ind/>
        <w:rPr/>
      </w:pPr>
      <w:r>
        <w:rPr>
          <w:rFonts w:ascii="Times New Roman" w:hAnsi="Times New Roman"/>
          <w:b w:val="0"/>
          <w:sz w:val="24"/>
        </w:rPr>
        <w:t xml:space="preserve">NAME OF SUPERVISOR.........................................</w:t>
      </w:r>
      <w:r/>
    </w:p>
    <w:p>
      <w:pPr>
        <w:pBdr/>
        <w:spacing/>
        <w:ind/>
        <w:rPr/>
      </w:pPr>
      <w:r/>
      <w:r/>
    </w:p>
    <w:p>
      <w:pPr>
        <w:pBdr/>
        <w:spacing w:after="120" w:before="0" w:line="360" w:lineRule="auto"/>
        <w:ind/>
        <w:rPr/>
      </w:pPr>
      <w:r>
        <w:rPr>
          <w:rFonts w:ascii="Times New Roman" w:hAnsi="Times New Roman"/>
          <w:b w:val="0"/>
          <w:sz w:val="24"/>
        </w:rPr>
        <w:t xml:space="preserve">SIGNATURE...........................................................  DATE ........................................</w:t>
      </w:r>
      <w:r/>
    </w:p>
    <w:p>
      <w:pPr>
        <w:pBdr/>
        <w:spacing/>
        <w:ind/>
        <w:rPr/>
      </w:pPr>
      <w:r>
        <w:br w:type="page" w:clear="all"/>
      </w:r>
      <w:r/>
    </w:p>
    <w:p>
      <w:pPr>
        <w:pStyle w:val="874"/>
        <w:pBdr/>
        <w:spacing/>
        <w:ind/>
        <w:rPr/>
      </w:pPr>
      <w:r/>
      <w:bookmarkStart w:id="2" w:name="_Toc2"/>
      <w:r>
        <w:t xml:space="preserve">ABSTRACT</w:t>
      </w:r>
      <w:bookmarkEnd w:id="2"/>
      <w:r/>
      <w:r/>
    </w:p>
    <w:p>
      <w:pPr>
        <w:pBdr/>
        <w:spacing w:after="120" w:before="0" w:line="360" w:lineRule="auto"/>
        <w:ind/>
        <w:rPr/>
      </w:pPr>
      <w:r>
        <w:rPr>
          <w:rFonts w:ascii="Times New Roman" w:hAnsi="Times New Roman"/>
          <w:b w:val="0"/>
          <w:sz w:val="24"/>
        </w:rPr>
        <w:t xml:space="preserve">Access to upper-limb prosthetic technologies in sub-Saharan Africa is constrained by cost, with commercial myoelectric control interfaces priced between USD 3,000 and USD 8,000. This project proposes the design and impleme</w:t>
      </w:r>
      <w:r>
        <w:rPr>
          <w:rFonts w:ascii="Times New Roman" w:hAnsi="Times New Roman"/>
          <w:b w:val="0"/>
          <w:sz w:val="24"/>
        </w:rPr>
        <w:t xml:space="preserve">ntation of a low-cost, four-channel surface electromyography (sEMG) control interface for upper-limb prosthetic rehabilitation. The system captures residual-limb muscle activity through surface electrodes, conditions the signals using a dedicated analog fr</w:t>
      </w:r>
      <w:r>
        <w:rPr>
          <w:rFonts w:ascii="Times New Roman" w:hAnsi="Times New Roman"/>
          <w:b w:val="0"/>
          <w:sz w:val="24"/>
        </w:rPr>
        <w:t xml:space="preserve">ont-end built around INA128 instrumentation amplifiers with Sallen-Key bandpass filtering (20--500 Hz) and a 50 Hz twin-T notch stage, and samples four channels at 2 kHz on an ESP32-S3 microcontroller. Time-domain features are extracted from 250 ms analysi</w:t>
      </w:r>
      <w:r>
        <w:rPr>
          <w:rFonts w:ascii="Times New Roman" w:hAnsi="Times New Roman"/>
          <w:b w:val="0"/>
          <w:sz w:val="24"/>
        </w:rPr>
        <w:t xml:space="preserve">s windows and classified into eight hand gestures using a compact 1D convolutional neural network quantized to INT8. The classified gestures drive a 5-finger tendon-driven 3D-printed prosthetic hand actuated by five SG90 servo motors (fingers) and one MG99</w:t>
      </w:r>
      <w:r>
        <w:rPr>
          <w:rFonts w:ascii="Times New Roman" w:hAnsi="Times New Roman"/>
          <w:b w:val="0"/>
          <w:sz w:val="24"/>
        </w:rPr>
        <w:t xml:space="preserve">6R servo motor (wrist) via a PCA9685 I2C PWM driver, while a Bluetooth Low Energy (BLE) mobile application provides guided user calibration and live monitoring. The methodology follows a six-phase iterative engineering workflow: simulation, single-channel </w:t>
      </w:r>
      <w:r>
        <w:rPr>
          <w:rFonts w:ascii="Times New Roman" w:hAnsi="Times New Roman"/>
          <w:b w:val="0"/>
          <w:sz w:val="24"/>
        </w:rPr>
        <w:t xml:space="preserve">proof of concept, PCB design and fabrication, ML training and deployment, system integration, and validation with five test subjects. The system targets a signal-to-noise ratio above 20 dB, macro F1 score of 0.85 or higher, inference latency below 50 ms, a</w:t>
      </w:r>
      <w:r>
        <w:rPr>
          <w:rFonts w:ascii="Times New Roman" w:hAnsi="Times New Roman"/>
          <w:b w:val="0"/>
          <w:sz w:val="24"/>
        </w:rPr>
        <w:t xml:space="preserve">nd an electronics bill of materials below USD 20. The expected results include a validated four-channel acquisition board, a real-time embedded classification pipeline, and a functional prosthetic demonstrator at a fraction of the cost of existing systems.</w:t>
      </w:r>
      <w:r>
        <w:rPr>
          <w:rFonts w:ascii="Times New Roman" w:hAnsi="Times New Roman"/>
          <w:b w:val="0"/>
          <w:sz w:val="24"/>
        </w:rPr>
      </w:r>
      <w:r/>
    </w:p>
    <w:p>
      <w:pPr>
        <w:pBdr/>
        <w:spacing/>
        <w:ind/>
        <w:rPr/>
      </w:pPr>
      <w:r>
        <w:br w:type="page" w:clear="all"/>
      </w:r>
      <w:r/>
    </w:p>
    <w:p>
      <w:pPr>
        <w:pStyle w:val="874"/>
        <w:pBdr/>
        <w:spacing/>
        <w:ind/>
        <w:rPr/>
      </w:pPr>
      <w:r/>
      <w:bookmarkStart w:id="3" w:name="_Toc3"/>
      <w:r>
        <w:t xml:space="preserve">TABLE OF CONTENTS</w:t>
      </w:r>
      <w:bookmarkEnd w:id="3"/>
      <w:r/>
      <w:r/>
    </w:p>
    <w:p w14:paraId="49D0CE48">
      <w:pPr>
        <w:pStyle w:val="858"/>
        <w:pBdr/>
        <w:tabs>
          <w:tab w:val="right" w:leader="dot" w:pos="8312"/>
        </w:tabs>
        <w:spacing/>
        <w:ind/>
        <w:rPr/>
      </w:pPr>
      <w:r>
        <w:fldChar w:fldCharType="begin"/>
      </w:r>
      <w:r>
        <w:instrText xml:space="preserve"> TOC \o "1-3" \h \z \u </w:instrText>
      </w:r>
      <w:r>
        <w:fldChar w:fldCharType="separate"/>
      </w:r>
      <w:hyperlink w:tooltip="#_Toc1" w:anchor="_Toc1" w:history="1">
        <w:r>
          <w:rPr>
            <w:rStyle w:val="856"/>
          </w:rPr>
        </w:r>
        <w:r>
          <w:rPr>
            <w:rStyle w:val="856"/>
          </w:rPr>
          <w:t xml:space="preserve">DECLARATION</w:t>
        </w:r>
        <w:r>
          <w:rPr>
            <w:rStyle w:val="856"/>
          </w:rPr>
        </w:r>
        <w:r>
          <w:tab/>
        </w:r>
        <w:r>
          <w:fldChar w:fldCharType="begin"/>
          <w:instrText xml:space="preserve">PAGEREF _Toc1 \h</w:instrText>
          <w:fldChar w:fldCharType="separate"/>
          <w:t xml:space="preserve">3</w:t>
          <w:fldChar w:fldCharType="end"/>
        </w:r>
      </w:hyperlink>
      <w:r/>
      <w:r/>
    </w:p>
    <w:p w14:paraId="3B2AEC39">
      <w:pPr>
        <w:pStyle w:val="858"/>
        <w:pBdr/>
        <w:tabs>
          <w:tab w:val="right" w:leader="dot" w:pos="8312"/>
        </w:tabs>
        <w:spacing/>
        <w:ind/>
        <w:rPr/>
      </w:pPr>
      <w:r/>
      <w:hyperlink w:tooltip="#_Toc2" w:anchor="_Toc2" w:history="1">
        <w:r>
          <w:rPr>
            <w:rStyle w:val="856"/>
          </w:rPr>
        </w:r>
        <w:r>
          <w:rPr>
            <w:rStyle w:val="856"/>
          </w:rPr>
          <w:t xml:space="preserve">ABSTRACT</w:t>
        </w:r>
        <w:r>
          <w:rPr>
            <w:rStyle w:val="856"/>
          </w:rPr>
        </w:r>
        <w:r>
          <w:tab/>
        </w:r>
        <w:r>
          <w:fldChar w:fldCharType="begin"/>
          <w:instrText xml:space="preserve">PAGEREF _Toc2 \h</w:instrText>
          <w:fldChar w:fldCharType="separate"/>
          <w:t xml:space="preserve">4</w:t>
          <w:fldChar w:fldCharType="end"/>
        </w:r>
      </w:hyperlink>
      <w:r/>
      <w:r/>
    </w:p>
    <w:p w14:paraId="71229E07">
      <w:pPr>
        <w:pStyle w:val="858"/>
        <w:pBdr/>
        <w:tabs>
          <w:tab w:val="right" w:leader="dot" w:pos="8312"/>
        </w:tabs>
        <w:spacing/>
        <w:ind/>
        <w:rPr/>
      </w:pPr>
      <w:r/>
      <w:hyperlink w:tooltip="#_Toc3" w:anchor="_Toc3" w:history="1">
        <w:r>
          <w:rPr>
            <w:rStyle w:val="856"/>
          </w:rPr>
        </w:r>
        <w:r>
          <w:rPr>
            <w:rStyle w:val="856"/>
          </w:rPr>
          <w:t xml:space="preserve">TABLE OF CONTENTS</w:t>
        </w:r>
        <w:r>
          <w:rPr>
            <w:rStyle w:val="856"/>
          </w:rPr>
        </w:r>
        <w:r>
          <w:tab/>
        </w:r>
        <w:r>
          <w:fldChar w:fldCharType="begin"/>
          <w:instrText xml:space="preserve">PAGEREF _Toc3 \h</w:instrText>
          <w:fldChar w:fldCharType="separate"/>
          <w:t xml:space="preserve">5</w:t>
          <w:fldChar w:fldCharType="end"/>
        </w:r>
      </w:hyperlink>
      <w:r/>
      <w:r/>
    </w:p>
    <w:p w14:paraId="64FBDF5D">
      <w:pPr>
        <w:pStyle w:val="858"/>
        <w:pBdr/>
        <w:tabs>
          <w:tab w:val="right" w:leader="dot" w:pos="8312"/>
        </w:tabs>
        <w:spacing/>
        <w:ind/>
        <w:rPr/>
      </w:pPr>
      <w:r/>
      <w:hyperlink w:tooltip="#_Toc4" w:anchor="_Toc4" w:history="1">
        <w:r>
          <w:rPr>
            <w:rStyle w:val="856"/>
          </w:rPr>
        </w:r>
        <w:r>
          <w:rPr>
            <w:rStyle w:val="856"/>
          </w:rPr>
          <w:t xml:space="preserve">LIST OF FIGURES</w:t>
        </w:r>
        <w:r>
          <w:rPr>
            <w:rStyle w:val="856"/>
          </w:rPr>
        </w:r>
        <w:r>
          <w:tab/>
        </w:r>
        <w:r>
          <w:fldChar w:fldCharType="begin"/>
          <w:instrText xml:space="preserve">PAGEREF _Toc4 \h</w:instrText>
          <w:fldChar w:fldCharType="separate"/>
          <w:t xml:space="preserve">6</w:t>
          <w:fldChar w:fldCharType="end"/>
        </w:r>
      </w:hyperlink>
      <w:r/>
      <w:r/>
    </w:p>
    <w:p w14:paraId="61421EE9">
      <w:pPr>
        <w:pStyle w:val="858"/>
        <w:pBdr/>
        <w:tabs>
          <w:tab w:val="right" w:leader="dot" w:pos="8312"/>
        </w:tabs>
        <w:spacing/>
        <w:ind/>
        <w:rPr/>
      </w:pPr>
      <w:r/>
      <w:hyperlink w:tooltip="#_Toc5" w:anchor="_Toc5" w:history="1">
        <w:r>
          <w:rPr>
            <w:rStyle w:val="856"/>
          </w:rPr>
        </w:r>
        <w:r>
          <w:rPr>
            <w:rStyle w:val="856"/>
          </w:rPr>
          <w:t xml:space="preserve">LIST OF TABLES</w:t>
        </w:r>
        <w:r>
          <w:rPr>
            <w:rStyle w:val="856"/>
          </w:rPr>
        </w:r>
        <w:r>
          <w:tab/>
        </w:r>
        <w:r>
          <w:fldChar w:fldCharType="begin"/>
          <w:instrText xml:space="preserve">PAGEREF _Toc5 \h</w:instrText>
          <w:fldChar w:fldCharType="separate"/>
          <w:t xml:space="preserve">7</w:t>
          <w:fldChar w:fldCharType="end"/>
        </w:r>
      </w:hyperlink>
      <w:r/>
      <w:r/>
    </w:p>
    <w:p w14:paraId="45B70180">
      <w:pPr>
        <w:pStyle w:val="858"/>
        <w:pBdr/>
        <w:tabs>
          <w:tab w:val="right" w:leader="dot" w:pos="8312"/>
        </w:tabs>
        <w:spacing/>
        <w:ind/>
        <w:rPr/>
      </w:pPr>
      <w:r/>
      <w:hyperlink w:tooltip="#_Toc6" w:anchor="_Toc6" w:history="1">
        <w:r>
          <w:rPr>
            <w:rStyle w:val="856"/>
          </w:rPr>
        </w:r>
        <w:r>
          <w:rPr>
            <w:rStyle w:val="856"/>
          </w:rPr>
          <w:t xml:space="preserve">LIST OF ABBREVIATIONS</w:t>
        </w:r>
        <w:r>
          <w:rPr>
            <w:rStyle w:val="856"/>
          </w:rPr>
        </w:r>
        <w:r>
          <w:tab/>
        </w:r>
        <w:r>
          <w:fldChar w:fldCharType="begin"/>
          <w:instrText xml:space="preserve">PAGEREF _Toc6 \h</w:instrText>
          <w:fldChar w:fldCharType="separate"/>
          <w:t xml:space="preserve">8</w:t>
          <w:fldChar w:fldCharType="end"/>
        </w:r>
      </w:hyperlink>
      <w:r/>
      <w:r/>
    </w:p>
    <w:p w14:paraId="2EDA3A14">
      <w:pPr>
        <w:pStyle w:val="858"/>
        <w:pBdr/>
        <w:tabs>
          <w:tab w:val="right" w:leader="dot" w:pos="8312"/>
        </w:tabs>
        <w:spacing/>
        <w:ind/>
        <w:rPr/>
      </w:pPr>
      <w:r/>
      <w:hyperlink w:tooltip="#_Toc7" w:anchor="_Toc7" w:history="1">
        <w:r>
          <w:rPr>
            <w:rStyle w:val="856"/>
          </w:rPr>
        </w:r>
        <w:r>
          <w:rPr>
            <w:rStyle w:val="856"/>
          </w:rPr>
          <w:t xml:space="preserve">CHAPTER ONE</w:t>
        </w:r>
        <w:r>
          <w:rPr>
            <w:rStyle w:val="856"/>
          </w:rPr>
        </w:r>
        <w:r>
          <w:tab/>
        </w:r>
        <w:r>
          <w:fldChar w:fldCharType="begin"/>
          <w:instrText xml:space="preserve">PAGEREF _Toc7 \h</w:instrText>
          <w:fldChar w:fldCharType="separate"/>
          <w:t xml:space="preserve">10</w:t>
          <w:fldChar w:fldCharType="end"/>
        </w:r>
      </w:hyperlink>
      <w:r/>
      <w:r/>
    </w:p>
    <w:p w14:paraId="03AE36D1">
      <w:pPr>
        <w:pStyle w:val="858"/>
        <w:pBdr/>
        <w:tabs>
          <w:tab w:val="right" w:leader="dot" w:pos="8312"/>
        </w:tabs>
        <w:spacing/>
        <w:ind/>
        <w:rPr/>
      </w:pPr>
      <w:r/>
      <w:hyperlink w:tooltip="#_Toc8" w:anchor="_Toc8" w:history="1">
        <w:r>
          <w:rPr>
            <w:rStyle w:val="856"/>
          </w:rPr>
        </w:r>
        <w:r>
          <w:rPr>
            <w:rStyle w:val="856"/>
          </w:rPr>
          <w:t xml:space="preserve">INTRODUCTION</w:t>
        </w:r>
        <w:r>
          <w:rPr>
            <w:rStyle w:val="856"/>
          </w:rPr>
        </w:r>
        <w:r>
          <w:tab/>
        </w:r>
        <w:r>
          <w:fldChar w:fldCharType="begin"/>
          <w:instrText xml:space="preserve">PAGEREF _Toc8 \h</w:instrText>
          <w:fldChar w:fldCharType="separate"/>
          <w:t xml:space="preserve">10</w:t>
          <w:fldChar w:fldCharType="end"/>
        </w:r>
      </w:hyperlink>
      <w:r/>
      <w:r/>
    </w:p>
    <w:p w14:paraId="6F138C84">
      <w:pPr>
        <w:pStyle w:val="859"/>
        <w:pBdr/>
        <w:tabs>
          <w:tab w:val="right" w:leader="dot" w:pos="8312"/>
        </w:tabs>
        <w:spacing/>
        <w:ind/>
        <w:rPr/>
      </w:pPr>
      <w:r/>
      <w:hyperlink w:tooltip="#_Toc9" w:anchor="_Toc9" w:history="1">
        <w:r>
          <w:rPr>
            <w:rStyle w:val="856"/>
          </w:rPr>
        </w:r>
        <w:r>
          <w:rPr>
            <w:rStyle w:val="856"/>
          </w:rPr>
          <w:t xml:space="preserve">1.1 Background of the Study</w:t>
        </w:r>
        <w:r>
          <w:rPr>
            <w:rStyle w:val="856"/>
          </w:rPr>
        </w:r>
        <w:r>
          <w:tab/>
        </w:r>
        <w:r>
          <w:fldChar w:fldCharType="begin"/>
          <w:instrText xml:space="preserve">PAGEREF _Toc9 \h</w:instrText>
          <w:fldChar w:fldCharType="separate"/>
          <w:t xml:space="preserve">10</w:t>
          <w:fldChar w:fldCharType="end"/>
        </w:r>
      </w:hyperlink>
      <w:r/>
      <w:r/>
    </w:p>
    <w:p w14:paraId="2420D791">
      <w:pPr>
        <w:pStyle w:val="859"/>
        <w:pBdr/>
        <w:tabs>
          <w:tab w:val="right" w:leader="dot" w:pos="8312"/>
        </w:tabs>
        <w:spacing/>
        <w:ind/>
        <w:rPr/>
      </w:pPr>
      <w:r/>
      <w:hyperlink w:tooltip="#_Toc10" w:anchor="_Toc10" w:history="1">
        <w:r>
          <w:rPr>
            <w:rStyle w:val="856"/>
          </w:rPr>
        </w:r>
        <w:r>
          <w:rPr>
            <w:rStyle w:val="856"/>
          </w:rPr>
          <w:t xml:space="preserve">1.2 Problem Statement</w:t>
        </w:r>
        <w:r>
          <w:rPr>
            <w:rStyle w:val="856"/>
          </w:rPr>
        </w:r>
        <w:r>
          <w:tab/>
        </w:r>
        <w:r>
          <w:fldChar w:fldCharType="begin"/>
          <w:instrText xml:space="preserve">PAGEREF _Toc10 \h</w:instrText>
          <w:fldChar w:fldCharType="separate"/>
          <w:t xml:space="preserve">11</w:t>
          <w:fldChar w:fldCharType="end"/>
        </w:r>
      </w:hyperlink>
      <w:r/>
      <w:r/>
    </w:p>
    <w:p w14:paraId="718E0075">
      <w:pPr>
        <w:pStyle w:val="859"/>
        <w:pBdr/>
        <w:tabs>
          <w:tab w:val="right" w:leader="dot" w:pos="8312"/>
        </w:tabs>
        <w:spacing/>
        <w:ind/>
        <w:rPr/>
      </w:pPr>
      <w:r/>
      <w:hyperlink w:tooltip="#_Toc11" w:anchor="_Toc11" w:history="1">
        <w:r>
          <w:rPr>
            <w:rStyle w:val="856"/>
          </w:rPr>
        </w:r>
        <w:r>
          <w:rPr>
            <w:rStyle w:val="856"/>
          </w:rPr>
          <w:t xml:space="preserve">1.3 Project Justification</w:t>
        </w:r>
        <w:r>
          <w:rPr>
            <w:rStyle w:val="856"/>
          </w:rPr>
        </w:r>
        <w:r>
          <w:tab/>
        </w:r>
        <w:r>
          <w:fldChar w:fldCharType="begin"/>
          <w:instrText xml:space="preserve">PAGEREF _Toc11 \h</w:instrText>
          <w:fldChar w:fldCharType="separate"/>
          <w:t xml:space="preserve">12</w:t>
          <w:fldChar w:fldCharType="end"/>
        </w:r>
      </w:hyperlink>
      <w:r/>
      <w:r/>
    </w:p>
    <w:p w14:paraId="165ADB87">
      <w:pPr>
        <w:pStyle w:val="859"/>
        <w:pBdr/>
        <w:tabs>
          <w:tab w:val="right" w:leader="dot" w:pos="8312"/>
        </w:tabs>
        <w:spacing/>
        <w:ind/>
        <w:rPr/>
      </w:pPr>
      <w:r/>
      <w:hyperlink w:tooltip="#_Toc12" w:anchor="_Toc12" w:history="1">
        <w:r>
          <w:rPr>
            <w:rStyle w:val="856"/>
          </w:rPr>
        </w:r>
        <w:r>
          <w:rPr>
            <w:rStyle w:val="856"/>
          </w:rPr>
          <w:t xml:space="preserve">1.4 Scope of the Study</w:t>
        </w:r>
        <w:r>
          <w:rPr>
            <w:rStyle w:val="856"/>
          </w:rPr>
        </w:r>
        <w:r>
          <w:tab/>
        </w:r>
        <w:r>
          <w:fldChar w:fldCharType="begin"/>
          <w:instrText xml:space="preserve">PAGEREF _Toc12 \h</w:instrText>
          <w:fldChar w:fldCharType="separate"/>
          <w:t xml:space="preserve">12</w:t>
          <w:fldChar w:fldCharType="end"/>
        </w:r>
      </w:hyperlink>
      <w:r/>
      <w:r/>
    </w:p>
    <w:p w14:paraId="4357A449">
      <w:pPr>
        <w:pStyle w:val="859"/>
        <w:pBdr/>
        <w:tabs>
          <w:tab w:val="right" w:leader="dot" w:pos="8312"/>
        </w:tabs>
        <w:spacing/>
        <w:ind/>
        <w:rPr/>
      </w:pPr>
      <w:r/>
      <w:hyperlink w:tooltip="#_Toc13" w:anchor="_Toc13" w:history="1">
        <w:r>
          <w:rPr>
            <w:rStyle w:val="856"/>
          </w:rPr>
        </w:r>
        <w:r>
          <w:rPr>
            <w:rStyle w:val="856"/>
          </w:rPr>
          <w:t xml:space="preserve">1.5 Objectives</w:t>
        </w:r>
        <w:r>
          <w:rPr>
            <w:rStyle w:val="856"/>
          </w:rPr>
        </w:r>
        <w:r>
          <w:tab/>
        </w:r>
        <w:r>
          <w:fldChar w:fldCharType="begin"/>
          <w:instrText xml:space="preserve">PAGEREF _Toc13 \h</w:instrText>
          <w:fldChar w:fldCharType="separate"/>
          <w:t xml:space="preserve">13</w:t>
          <w:fldChar w:fldCharType="end"/>
        </w:r>
      </w:hyperlink>
      <w:r/>
      <w:r/>
    </w:p>
    <w:p w14:paraId="55965D01">
      <w:pPr>
        <w:pStyle w:val="860"/>
        <w:pBdr/>
        <w:tabs>
          <w:tab w:val="right" w:leader="dot" w:pos="8312"/>
        </w:tabs>
        <w:spacing/>
        <w:ind/>
        <w:rPr/>
      </w:pPr>
      <w:r/>
      <w:hyperlink w:tooltip="#_Toc14" w:anchor="_Toc14" w:history="1">
        <w:r>
          <w:rPr>
            <w:rStyle w:val="856"/>
          </w:rPr>
        </w:r>
        <w:r>
          <w:rPr>
            <w:rStyle w:val="856"/>
          </w:rPr>
          <w:t xml:space="preserve">1.5.1 Main Objective</w:t>
        </w:r>
        <w:r>
          <w:rPr>
            <w:rStyle w:val="856"/>
          </w:rPr>
        </w:r>
        <w:r>
          <w:tab/>
        </w:r>
        <w:r>
          <w:fldChar w:fldCharType="begin"/>
          <w:instrText xml:space="preserve">PAGEREF _Toc14 \h</w:instrText>
          <w:fldChar w:fldCharType="separate"/>
          <w:t xml:space="preserve">13</w:t>
          <w:fldChar w:fldCharType="end"/>
        </w:r>
      </w:hyperlink>
      <w:r/>
      <w:r/>
    </w:p>
    <w:p w14:paraId="7B6C72DB">
      <w:pPr>
        <w:pStyle w:val="860"/>
        <w:pBdr/>
        <w:tabs>
          <w:tab w:val="right" w:leader="dot" w:pos="8312"/>
        </w:tabs>
        <w:spacing/>
        <w:ind/>
        <w:rPr/>
      </w:pPr>
      <w:r/>
      <w:hyperlink w:tooltip="#_Toc15" w:anchor="_Toc15" w:history="1">
        <w:r>
          <w:rPr>
            <w:rStyle w:val="856"/>
          </w:rPr>
        </w:r>
        <w:r>
          <w:rPr>
            <w:rStyle w:val="856"/>
          </w:rPr>
          <w:t xml:space="preserve">1.5.2 Specific Objectives</w:t>
        </w:r>
        <w:r>
          <w:rPr>
            <w:rStyle w:val="856"/>
          </w:rPr>
        </w:r>
        <w:r>
          <w:tab/>
        </w:r>
        <w:r>
          <w:fldChar w:fldCharType="begin"/>
          <w:instrText xml:space="preserve">PAGEREF _Toc15 \h</w:instrText>
          <w:fldChar w:fldCharType="separate"/>
          <w:t xml:space="preserve">13</w:t>
          <w:fldChar w:fldCharType="end"/>
        </w:r>
      </w:hyperlink>
      <w:r/>
      <w:r/>
    </w:p>
    <w:p w14:paraId="35789037">
      <w:pPr>
        <w:pStyle w:val="858"/>
        <w:pBdr/>
        <w:tabs>
          <w:tab w:val="right" w:leader="dot" w:pos="8312"/>
        </w:tabs>
        <w:spacing/>
        <w:ind/>
        <w:rPr/>
      </w:pPr>
      <w:r/>
      <w:hyperlink w:tooltip="#_Toc16" w:anchor="_Toc16" w:history="1">
        <w:r>
          <w:rPr>
            <w:rStyle w:val="856"/>
          </w:rPr>
        </w:r>
        <w:r>
          <w:rPr>
            <w:rStyle w:val="856"/>
          </w:rPr>
          <w:t xml:space="preserve">CHAPTER TWO</w:t>
        </w:r>
        <w:r>
          <w:rPr>
            <w:rStyle w:val="856"/>
          </w:rPr>
        </w:r>
        <w:r>
          <w:tab/>
        </w:r>
        <w:r>
          <w:fldChar w:fldCharType="begin"/>
          <w:instrText xml:space="preserve">PAGEREF _Toc16 \h</w:instrText>
          <w:fldChar w:fldCharType="separate"/>
          <w:t xml:space="preserve">14</w:t>
          <w:fldChar w:fldCharType="end"/>
        </w:r>
      </w:hyperlink>
      <w:r/>
      <w:r/>
    </w:p>
    <w:p w14:paraId="60A9C55D">
      <w:pPr>
        <w:pStyle w:val="858"/>
        <w:pBdr/>
        <w:tabs>
          <w:tab w:val="right" w:leader="dot" w:pos="8312"/>
        </w:tabs>
        <w:spacing/>
        <w:ind/>
        <w:rPr/>
      </w:pPr>
      <w:r/>
      <w:hyperlink w:tooltip="#_Toc17" w:anchor="_Toc17" w:history="1">
        <w:r>
          <w:rPr>
            <w:rStyle w:val="856"/>
          </w:rPr>
        </w:r>
        <w:r>
          <w:rPr>
            <w:rStyle w:val="856"/>
          </w:rPr>
          <w:t xml:space="preserve">LITERATURE REVIEW</w:t>
        </w:r>
        <w:r>
          <w:rPr>
            <w:rStyle w:val="856"/>
          </w:rPr>
        </w:r>
        <w:r>
          <w:tab/>
        </w:r>
        <w:r>
          <w:fldChar w:fldCharType="begin"/>
          <w:instrText xml:space="preserve">PAGEREF _Toc17 \h</w:instrText>
          <w:fldChar w:fldCharType="separate"/>
          <w:t xml:space="preserve">14</w:t>
          <w:fldChar w:fldCharType="end"/>
        </w:r>
      </w:hyperlink>
      <w:r/>
      <w:r/>
    </w:p>
    <w:p w14:paraId="1867C19B">
      <w:pPr>
        <w:pStyle w:val="859"/>
        <w:pBdr/>
        <w:tabs>
          <w:tab w:val="right" w:leader="dot" w:pos="8312"/>
        </w:tabs>
        <w:spacing/>
        <w:ind/>
        <w:rPr/>
      </w:pPr>
      <w:r/>
      <w:hyperlink w:tooltip="#_Toc18" w:anchor="_Toc18" w:history="1">
        <w:r>
          <w:rPr>
            <w:rStyle w:val="856"/>
          </w:rPr>
        </w:r>
        <w:r>
          <w:rPr>
            <w:rStyle w:val="856"/>
          </w:rPr>
          <w:t xml:space="preserve">2.1 Overview</w:t>
        </w:r>
        <w:r>
          <w:rPr>
            <w:rStyle w:val="856"/>
          </w:rPr>
        </w:r>
        <w:r>
          <w:tab/>
        </w:r>
        <w:r>
          <w:fldChar w:fldCharType="begin"/>
          <w:instrText xml:space="preserve">PAGEREF _Toc18 \h</w:instrText>
          <w:fldChar w:fldCharType="separate"/>
          <w:t xml:space="preserve">14</w:t>
          <w:fldChar w:fldCharType="end"/>
        </w:r>
      </w:hyperlink>
      <w:r/>
      <w:r/>
    </w:p>
    <w:p w14:paraId="1F7597CF">
      <w:pPr>
        <w:pStyle w:val="859"/>
        <w:pBdr/>
        <w:tabs>
          <w:tab w:val="right" w:leader="dot" w:pos="8312"/>
        </w:tabs>
        <w:spacing/>
        <w:ind/>
        <w:rPr/>
      </w:pPr>
      <w:r/>
      <w:hyperlink w:tooltip="#_Toc19" w:anchor="_Toc19" w:history="1">
        <w:r>
          <w:rPr>
            <w:rStyle w:val="856"/>
          </w:rPr>
        </w:r>
        <w:r>
          <w:rPr>
            <w:rStyle w:val="856"/>
          </w:rPr>
          <w:t xml:space="preserve">2.2 sEMG Signal Characteristics, Electrode Placement, and Acquisition</w:t>
        </w:r>
        <w:r>
          <w:rPr>
            <w:rStyle w:val="856"/>
          </w:rPr>
        </w:r>
        <w:r>
          <w:tab/>
        </w:r>
        <w:r>
          <w:fldChar w:fldCharType="begin"/>
          <w:instrText xml:space="preserve">PAGEREF _Toc19 \h</w:instrText>
          <w:fldChar w:fldCharType="separate"/>
          <w:t xml:space="preserve">14</w:t>
          <w:fldChar w:fldCharType="end"/>
        </w:r>
      </w:hyperlink>
      <w:r/>
      <w:r/>
    </w:p>
    <w:p w14:paraId="6FD7C0D1">
      <w:pPr>
        <w:pStyle w:val="859"/>
        <w:pBdr/>
        <w:tabs>
          <w:tab w:val="right" w:leader="dot" w:pos="8312"/>
        </w:tabs>
        <w:spacing/>
        <w:ind/>
        <w:rPr/>
      </w:pPr>
      <w:r/>
      <w:hyperlink w:tooltip="#_Toc20" w:anchor="_Toc20" w:history="1">
        <w:r>
          <w:rPr>
            <w:rStyle w:val="856"/>
          </w:rPr>
        </w:r>
        <w:r>
          <w:rPr>
            <w:rStyle w:val="856"/>
          </w:rPr>
          <w:t xml:space="preserve">2.3 Analog Front-End Design: Amplification, Filtering, and Noise Reduction</w:t>
        </w:r>
        <w:r>
          <w:rPr>
            <w:rStyle w:val="856"/>
          </w:rPr>
        </w:r>
        <w:r>
          <w:tab/>
        </w:r>
        <w:r>
          <w:fldChar w:fldCharType="begin"/>
          <w:instrText xml:space="preserve">PAGEREF _Toc20 \h</w:instrText>
          <w:fldChar w:fldCharType="separate"/>
          <w:t xml:space="preserve">14</w:t>
          <w:fldChar w:fldCharType="end"/>
        </w:r>
      </w:hyperlink>
      <w:r/>
      <w:r/>
    </w:p>
    <w:p w14:paraId="61E1F822">
      <w:pPr>
        <w:pStyle w:val="859"/>
        <w:pBdr/>
        <w:tabs>
          <w:tab w:val="right" w:leader="dot" w:pos="8312"/>
        </w:tabs>
        <w:spacing/>
        <w:ind/>
        <w:rPr/>
      </w:pPr>
      <w:r/>
      <w:hyperlink w:tooltip="#_Toc21" w:anchor="_Toc21" w:history="1">
        <w:r>
          <w:rPr>
            <w:rStyle w:val="856"/>
          </w:rPr>
        </w:r>
        <w:r>
          <w:rPr>
            <w:rStyle w:val="856"/>
          </w:rPr>
          <w:t xml:space="preserve">2.4 Signal Segmentation, Feature Extraction, and Preprocessing</w:t>
        </w:r>
        <w:r>
          <w:rPr>
            <w:rStyle w:val="856"/>
          </w:rPr>
        </w:r>
        <w:r>
          <w:tab/>
        </w:r>
        <w:r>
          <w:fldChar w:fldCharType="begin"/>
          <w:instrText xml:space="preserve">PAGEREF _Toc21 \h</w:instrText>
          <w:fldChar w:fldCharType="separate"/>
          <w:t xml:space="preserve">15</w:t>
          <w:fldChar w:fldCharType="end"/>
        </w:r>
      </w:hyperlink>
      <w:r/>
      <w:r/>
    </w:p>
    <w:p w14:paraId="47B47E93">
      <w:pPr>
        <w:pStyle w:val="859"/>
        <w:pBdr/>
        <w:tabs>
          <w:tab w:val="right" w:leader="dot" w:pos="8312"/>
        </w:tabs>
        <w:spacing/>
        <w:ind/>
        <w:rPr/>
      </w:pPr>
      <w:r/>
      <w:hyperlink w:tooltip="#_Toc22" w:anchor="_Toc22" w:history="1">
        <w:r>
          <w:rPr>
            <w:rStyle w:val="856"/>
          </w:rPr>
        </w:r>
        <w:r>
          <w:rPr>
            <w:rStyle w:val="856"/>
          </w:rPr>
          <w:t xml:space="preserve">2.5 Machine-Learning Methods for sEMG Gesture Classification</w:t>
        </w:r>
        <w:r>
          <w:rPr>
            <w:rStyle w:val="856"/>
          </w:rPr>
        </w:r>
        <w:r>
          <w:tab/>
        </w:r>
        <w:r>
          <w:fldChar w:fldCharType="begin"/>
          <w:instrText xml:space="preserve">PAGEREF _Toc22 \h</w:instrText>
          <w:fldChar w:fldCharType="separate"/>
          <w:t xml:space="preserve">15</w:t>
          <w:fldChar w:fldCharType="end"/>
        </w:r>
      </w:hyperlink>
      <w:r/>
      <w:r/>
    </w:p>
    <w:p w14:paraId="54526EE4">
      <w:pPr>
        <w:pStyle w:val="859"/>
        <w:pBdr/>
        <w:tabs>
          <w:tab w:val="right" w:leader="dot" w:pos="8312"/>
        </w:tabs>
        <w:spacing/>
        <w:ind/>
        <w:rPr/>
      </w:pPr>
      <w:r/>
      <w:hyperlink w:tooltip="#_Toc23" w:anchor="_Toc23" w:history="1">
        <w:r>
          <w:rPr>
            <w:rStyle w:val="856"/>
          </w:rPr>
        </w:r>
        <w:r>
          <w:rPr>
            <w:rStyle w:val="856"/>
          </w:rPr>
          <w:t xml:space="preserve">2.6 Embedded and TinyML Deployment</w:t>
        </w:r>
        <w:r>
          <w:rPr>
            <w:rStyle w:val="856"/>
          </w:rPr>
        </w:r>
        <w:r>
          <w:tab/>
        </w:r>
        <w:r>
          <w:fldChar w:fldCharType="begin"/>
          <w:instrText xml:space="preserve">PAGEREF _Toc23 \h</w:instrText>
          <w:fldChar w:fldCharType="separate"/>
          <w:t xml:space="preserve">16</w:t>
          <w:fldChar w:fldCharType="end"/>
        </w:r>
      </w:hyperlink>
      <w:r/>
      <w:r/>
    </w:p>
    <w:p w14:paraId="11A9CA04">
      <w:pPr>
        <w:pStyle w:val="859"/>
        <w:pBdr/>
        <w:tabs>
          <w:tab w:val="right" w:leader="dot" w:pos="8312"/>
        </w:tabs>
        <w:spacing/>
        <w:ind/>
        <w:rPr/>
      </w:pPr>
      <w:r/>
      <w:hyperlink w:tooltip="#_Toc24" w:anchor="_Toc24" w:history="1">
        <w:r>
          <w:rPr>
            <w:rStyle w:val="856"/>
          </w:rPr>
        </w:r>
        <w:r>
          <w:rPr>
            <w:rStyle w:val="856"/>
          </w:rPr>
          <w:t xml:space="preserve">2.7 User Calibration and Personalisation</w:t>
        </w:r>
        <w:r>
          <w:rPr>
            <w:rStyle w:val="856"/>
          </w:rPr>
        </w:r>
        <w:r>
          <w:tab/>
        </w:r>
        <w:r>
          <w:fldChar w:fldCharType="begin"/>
          <w:instrText xml:space="preserve">PAGEREF _Toc24 \h</w:instrText>
          <w:fldChar w:fldCharType="separate"/>
          <w:t xml:space="preserve">16</w:t>
          <w:fldChar w:fldCharType="end"/>
        </w:r>
      </w:hyperlink>
      <w:r/>
      <w:r/>
    </w:p>
    <w:p w14:paraId="339891EC">
      <w:pPr>
        <w:pStyle w:val="859"/>
        <w:pBdr/>
        <w:tabs>
          <w:tab w:val="right" w:leader="dot" w:pos="8312"/>
        </w:tabs>
        <w:spacing/>
        <w:ind/>
        <w:rPr/>
      </w:pPr>
      <w:r/>
      <w:hyperlink w:tooltip="#_Toc25" w:anchor="_Toc25" w:history="1">
        <w:r>
          <w:rPr>
            <w:rStyle w:val="856"/>
          </w:rPr>
        </w:r>
        <w:r>
          <w:rPr>
            <w:rStyle w:val="856"/>
          </w:rPr>
          <w:t xml:space="preserve">2.8 Prosthetic Actuation and Control Interfaces</w:t>
        </w:r>
        <w:r>
          <w:rPr>
            <w:rStyle w:val="856"/>
          </w:rPr>
        </w:r>
        <w:r>
          <w:tab/>
        </w:r>
        <w:r>
          <w:fldChar w:fldCharType="begin"/>
          <w:instrText xml:space="preserve">PAGEREF _Toc25 \h</w:instrText>
          <w:fldChar w:fldCharType="separate"/>
          <w:t xml:space="preserve">16</w:t>
          <w:fldChar w:fldCharType="end"/>
        </w:r>
      </w:hyperlink>
      <w:r/>
      <w:r/>
    </w:p>
    <w:p w14:paraId="6581AB8F">
      <w:pPr>
        <w:pStyle w:val="859"/>
        <w:pBdr/>
        <w:tabs>
          <w:tab w:val="right" w:leader="dot" w:pos="8312"/>
        </w:tabs>
        <w:spacing/>
        <w:ind/>
        <w:rPr/>
      </w:pPr>
      <w:r/>
      <w:hyperlink w:tooltip="#_Toc26" w:anchor="_Toc26" w:history="1">
        <w:r>
          <w:rPr>
            <w:rStyle w:val="856"/>
          </w:rPr>
        </w:r>
        <w:r>
          <w:rPr>
            <w:rStyle w:val="856"/>
          </w:rPr>
          <w:t xml:space="preserve">2.9 Cost and Accessibility of Existing Implementations</w:t>
        </w:r>
        <w:r>
          <w:rPr>
            <w:rStyle w:val="856"/>
          </w:rPr>
        </w:r>
        <w:r>
          <w:tab/>
        </w:r>
        <w:r>
          <w:fldChar w:fldCharType="begin"/>
          <w:instrText xml:space="preserve">PAGEREF _Toc26 \h</w:instrText>
          <w:fldChar w:fldCharType="separate"/>
          <w:t xml:space="preserve">16</w:t>
          <w:fldChar w:fldCharType="end"/>
        </w:r>
      </w:hyperlink>
      <w:r/>
      <w:r/>
    </w:p>
    <w:p w14:paraId="4B7D4F3A">
      <w:pPr>
        <w:pStyle w:val="859"/>
        <w:pBdr/>
        <w:tabs>
          <w:tab w:val="right" w:leader="dot" w:pos="8312"/>
        </w:tabs>
        <w:spacing/>
        <w:ind/>
        <w:rPr/>
      </w:pPr>
      <w:r/>
      <w:hyperlink w:tooltip="#_Toc27" w:anchor="_Toc27" w:history="1">
        <w:r>
          <w:rPr>
            <w:rStyle w:val="856"/>
          </w:rPr>
        </w:r>
        <w:r>
          <w:rPr>
            <w:rStyle w:val="856"/>
          </w:rPr>
          <w:t xml:space="preserve">2.10 Critique of Existing Literature</w:t>
        </w:r>
        <w:r>
          <w:rPr>
            <w:rStyle w:val="856"/>
          </w:rPr>
        </w:r>
        <w:r>
          <w:tab/>
        </w:r>
        <w:r>
          <w:fldChar w:fldCharType="begin"/>
          <w:instrText xml:space="preserve">PAGEREF _Toc27 \h</w:instrText>
          <w:fldChar w:fldCharType="separate"/>
          <w:t xml:space="preserve">17</w:t>
          <w:fldChar w:fldCharType="end"/>
        </w:r>
      </w:hyperlink>
      <w:r/>
      <w:r/>
    </w:p>
    <w:p w14:paraId="1FD19362">
      <w:pPr>
        <w:pStyle w:val="859"/>
        <w:pBdr/>
        <w:tabs>
          <w:tab w:val="right" w:leader="dot" w:pos="8312"/>
        </w:tabs>
        <w:spacing/>
        <w:ind/>
        <w:rPr/>
      </w:pPr>
      <w:r/>
      <w:hyperlink w:tooltip="#_Toc28" w:anchor="_Toc28" w:history="1">
        <w:r>
          <w:rPr>
            <w:rStyle w:val="856"/>
          </w:rPr>
        </w:r>
        <w:r>
          <w:rPr>
            <w:rStyle w:val="856"/>
          </w:rPr>
          <w:t xml:space="preserve">2.11 Proposed Work</w:t>
        </w:r>
        <w:r>
          <w:rPr>
            <w:rStyle w:val="856"/>
          </w:rPr>
        </w:r>
        <w:r>
          <w:tab/>
        </w:r>
        <w:r>
          <w:fldChar w:fldCharType="begin"/>
          <w:instrText xml:space="preserve">PAGEREF _Toc28 \h</w:instrText>
          <w:fldChar w:fldCharType="separate"/>
          <w:t xml:space="preserve">18</w:t>
          <w:fldChar w:fldCharType="end"/>
        </w:r>
      </w:hyperlink>
      <w:r/>
      <w:r/>
    </w:p>
    <w:p w14:paraId="2A5F30FD">
      <w:pPr>
        <w:pStyle w:val="858"/>
        <w:pBdr/>
        <w:tabs>
          <w:tab w:val="right" w:leader="dot" w:pos="8312"/>
        </w:tabs>
        <w:spacing/>
        <w:ind/>
        <w:rPr/>
      </w:pPr>
      <w:r/>
      <w:hyperlink w:tooltip="#_Toc29" w:anchor="_Toc29" w:history="1">
        <w:r>
          <w:rPr>
            <w:rStyle w:val="856"/>
          </w:rPr>
        </w:r>
        <w:r>
          <w:rPr>
            <w:rStyle w:val="856"/>
          </w:rPr>
          <w:t xml:space="preserve">CHAPTER THREE</w:t>
        </w:r>
        <w:r>
          <w:rPr>
            <w:rStyle w:val="856"/>
          </w:rPr>
        </w:r>
        <w:r>
          <w:tab/>
        </w:r>
        <w:r>
          <w:fldChar w:fldCharType="begin"/>
          <w:instrText xml:space="preserve">PAGEREF _Toc29 \h</w:instrText>
          <w:fldChar w:fldCharType="separate"/>
          <w:t xml:space="preserve">19</w:t>
          <w:fldChar w:fldCharType="end"/>
        </w:r>
      </w:hyperlink>
      <w:r/>
      <w:r/>
    </w:p>
    <w:p w14:paraId="7A7B659F">
      <w:pPr>
        <w:pStyle w:val="858"/>
        <w:pBdr/>
        <w:tabs>
          <w:tab w:val="right" w:leader="dot" w:pos="8312"/>
        </w:tabs>
        <w:spacing/>
        <w:ind/>
        <w:rPr/>
      </w:pPr>
      <w:r/>
      <w:hyperlink w:tooltip="#_Toc30" w:anchor="_Toc30" w:history="1">
        <w:r>
          <w:rPr>
            <w:rStyle w:val="856"/>
          </w:rPr>
        </w:r>
        <w:r>
          <w:rPr>
            <w:rStyle w:val="856"/>
          </w:rPr>
          <w:t xml:space="preserve">METHODOLOGY</w:t>
        </w:r>
        <w:r>
          <w:rPr>
            <w:rStyle w:val="856"/>
          </w:rPr>
        </w:r>
        <w:r>
          <w:tab/>
        </w:r>
        <w:r>
          <w:fldChar w:fldCharType="begin"/>
          <w:instrText xml:space="preserve">PAGEREF _Toc30 \h</w:instrText>
          <w:fldChar w:fldCharType="separate"/>
          <w:t xml:space="preserve">19</w:t>
          <w:fldChar w:fldCharType="end"/>
        </w:r>
      </w:hyperlink>
      <w:r/>
      <w:r/>
    </w:p>
    <w:p w14:paraId="67B6186F">
      <w:pPr>
        <w:pStyle w:val="859"/>
        <w:pBdr/>
        <w:tabs>
          <w:tab w:val="right" w:leader="dot" w:pos="8312"/>
        </w:tabs>
        <w:spacing/>
        <w:ind/>
        <w:rPr/>
      </w:pPr>
      <w:r/>
      <w:hyperlink w:tooltip="#_Toc31" w:anchor="_Toc31" w:history="1">
        <w:r>
          <w:rPr>
            <w:rStyle w:val="856"/>
          </w:rPr>
        </w:r>
        <w:r>
          <w:rPr>
            <w:rStyle w:val="856"/>
          </w:rPr>
          <w:t xml:space="preserve">3.1 Overview</w:t>
        </w:r>
        <w:r>
          <w:rPr>
            <w:rStyle w:val="856"/>
          </w:rPr>
        </w:r>
        <w:r>
          <w:tab/>
        </w:r>
        <w:r>
          <w:fldChar w:fldCharType="begin"/>
          <w:instrText xml:space="preserve">PAGEREF _Toc31 \h</w:instrText>
          <w:fldChar w:fldCharType="separate"/>
          <w:t xml:space="preserve">19</w:t>
          <w:fldChar w:fldCharType="end"/>
        </w:r>
      </w:hyperlink>
      <w:r/>
      <w:r/>
    </w:p>
    <w:p w14:paraId="0D860A20">
      <w:pPr>
        <w:pStyle w:val="859"/>
        <w:pBdr/>
        <w:tabs>
          <w:tab w:val="right" w:leader="dot" w:pos="8312"/>
        </w:tabs>
        <w:spacing/>
        <w:ind/>
        <w:rPr/>
      </w:pPr>
      <w:r/>
      <w:hyperlink w:tooltip="#_Toc32" w:anchor="_Toc32" w:history="1">
        <w:r>
          <w:rPr>
            <w:rStyle w:val="856"/>
          </w:rPr>
        </w:r>
        <w:r>
          <w:rPr>
            <w:rStyle w:val="856"/>
          </w:rPr>
          <w:t xml:space="preserve">3.2 System Architecture and Hardware Design</w:t>
        </w:r>
        <w:r>
          <w:rPr>
            <w:rStyle w:val="856"/>
          </w:rPr>
        </w:r>
        <w:r>
          <w:tab/>
        </w:r>
        <w:r>
          <w:fldChar w:fldCharType="begin"/>
          <w:instrText xml:space="preserve">PAGEREF _Toc32 \h</w:instrText>
          <w:fldChar w:fldCharType="separate"/>
          <w:t xml:space="preserve">19</w:t>
          <w:fldChar w:fldCharType="end"/>
        </w:r>
      </w:hyperlink>
      <w:r/>
      <w:r/>
    </w:p>
    <w:p w14:paraId="690BE706">
      <w:pPr>
        <w:pStyle w:val="860"/>
        <w:pBdr/>
        <w:tabs>
          <w:tab w:val="right" w:leader="dot" w:pos="8312"/>
        </w:tabs>
        <w:spacing/>
        <w:ind/>
        <w:rPr/>
      </w:pPr>
      <w:r/>
      <w:hyperlink w:tooltip="#_Toc33" w:anchor="_Toc33" w:history="1">
        <w:r>
          <w:rPr>
            <w:rStyle w:val="856"/>
          </w:rPr>
        </w:r>
        <w:r>
          <w:rPr>
            <w:rStyle w:val="856"/>
          </w:rPr>
          <w:t xml:space="preserve">3.2.1 Analog Front-End Design</w:t>
        </w:r>
        <w:r>
          <w:rPr>
            <w:rStyle w:val="856"/>
          </w:rPr>
        </w:r>
        <w:r>
          <w:tab/>
        </w:r>
        <w:r>
          <w:fldChar w:fldCharType="begin"/>
          <w:instrText xml:space="preserve">PAGEREF _Toc33 \h</w:instrText>
          <w:fldChar w:fldCharType="separate"/>
          <w:t xml:space="preserve">20</w:t>
          <w:fldChar w:fldCharType="end"/>
        </w:r>
      </w:hyperlink>
      <w:r/>
      <w:r/>
    </w:p>
    <w:p w14:paraId="4A87445C">
      <w:pPr>
        <w:pStyle w:val="860"/>
        <w:pBdr/>
        <w:tabs>
          <w:tab w:val="right" w:leader="dot" w:pos="8312"/>
        </w:tabs>
        <w:spacing/>
        <w:ind/>
        <w:rPr/>
      </w:pPr>
      <w:r/>
      <w:hyperlink w:tooltip="#_Toc34" w:anchor="_Toc34" w:history="1">
        <w:r>
          <w:rPr>
            <w:rStyle w:val="856"/>
          </w:rPr>
        </w:r>
        <w:r>
          <w:rPr>
            <w:rStyle w:val="856"/>
          </w:rPr>
          <w:t xml:space="preserve">3.2.2 Electrical Safety</w:t>
        </w:r>
        <w:r>
          <w:rPr>
            <w:rStyle w:val="856"/>
          </w:rPr>
        </w:r>
        <w:r>
          <w:tab/>
        </w:r>
        <w:r>
          <w:fldChar w:fldCharType="begin"/>
          <w:instrText xml:space="preserve">PAGEREF _Toc34 \h</w:instrText>
          <w:fldChar w:fldCharType="separate"/>
          <w:t xml:space="preserve">20</w:t>
          <w:fldChar w:fldCharType="end"/>
        </w:r>
      </w:hyperlink>
      <w:r/>
      <w:r/>
    </w:p>
    <w:p w14:paraId="4C21AADF">
      <w:pPr>
        <w:pStyle w:val="860"/>
        <w:pBdr/>
        <w:tabs>
          <w:tab w:val="right" w:leader="dot" w:pos="8312"/>
        </w:tabs>
        <w:spacing/>
        <w:ind/>
        <w:rPr/>
      </w:pPr>
      <w:r/>
      <w:hyperlink w:tooltip="#_Toc35" w:anchor="_Toc35" w:history="1">
        <w:r>
          <w:rPr>
            <w:rStyle w:val="856"/>
          </w:rPr>
        </w:r>
        <w:r>
          <w:rPr>
            <w:rStyle w:val="856"/>
          </w:rPr>
          <w:t xml:space="preserve">3.2.3 SNR and Crosstalk Measurement</w:t>
        </w:r>
        <w:r>
          <w:rPr>
            <w:rStyle w:val="856"/>
          </w:rPr>
        </w:r>
        <w:r>
          <w:tab/>
        </w:r>
        <w:r>
          <w:fldChar w:fldCharType="begin"/>
          <w:instrText xml:space="preserve">PAGEREF _Toc35 \h</w:instrText>
          <w:fldChar w:fldCharType="separate"/>
          <w:t xml:space="preserve">21</w:t>
          <w:fldChar w:fldCharType="end"/>
        </w:r>
      </w:hyperlink>
      <w:r/>
      <w:r/>
    </w:p>
    <w:p w14:paraId="1734A323">
      <w:pPr>
        <w:pStyle w:val="859"/>
        <w:pBdr/>
        <w:tabs>
          <w:tab w:val="right" w:leader="dot" w:pos="8312"/>
        </w:tabs>
        <w:spacing/>
        <w:ind/>
        <w:rPr/>
      </w:pPr>
      <w:r/>
      <w:hyperlink w:tooltip="#_Toc36" w:anchor="_Toc36" w:history="1">
        <w:r>
          <w:rPr>
            <w:rStyle w:val="856"/>
          </w:rPr>
        </w:r>
        <w:r>
          <w:rPr>
            <w:rStyle w:val="856"/>
          </w:rPr>
          <w:t xml:space="preserve">3.3 Signal Processing and Machine Learning</w:t>
        </w:r>
        <w:r>
          <w:rPr>
            <w:rStyle w:val="856"/>
          </w:rPr>
        </w:r>
        <w:r>
          <w:tab/>
        </w:r>
        <w:r>
          <w:fldChar w:fldCharType="begin"/>
          <w:instrText xml:space="preserve">PAGEREF _Toc36 \h</w:instrText>
          <w:fldChar w:fldCharType="separate"/>
          <w:t xml:space="preserve">21</w:t>
          <w:fldChar w:fldCharType="end"/>
        </w:r>
      </w:hyperlink>
      <w:r/>
      <w:r/>
    </w:p>
    <w:p w14:paraId="7C68B24E">
      <w:pPr>
        <w:pStyle w:val="860"/>
        <w:pBdr/>
        <w:tabs>
          <w:tab w:val="right" w:leader="dot" w:pos="8312"/>
        </w:tabs>
        <w:spacing/>
        <w:ind/>
        <w:rPr/>
      </w:pPr>
      <w:r/>
      <w:hyperlink w:tooltip="#_Toc37" w:anchor="_Toc37" w:history="1">
        <w:r>
          <w:rPr>
            <w:rStyle w:val="856"/>
          </w:rPr>
        </w:r>
        <w:r>
          <w:rPr>
            <w:rStyle w:val="856"/>
          </w:rPr>
          <w:t xml:space="preserve">3.3.1 Data Path</w:t>
        </w:r>
        <w:r>
          <w:rPr>
            <w:rStyle w:val="856"/>
          </w:rPr>
        </w:r>
        <w:r>
          <w:tab/>
        </w:r>
        <w:r>
          <w:fldChar w:fldCharType="begin"/>
          <w:instrText xml:space="preserve">PAGEREF _Toc37 \h</w:instrText>
          <w:fldChar w:fldCharType="separate"/>
          <w:t xml:space="preserve">21</w:t>
          <w:fldChar w:fldCharType="end"/>
        </w:r>
      </w:hyperlink>
      <w:r/>
      <w:r/>
    </w:p>
    <w:p w14:paraId="51D1DD75">
      <w:pPr>
        <w:pStyle w:val="860"/>
        <w:pBdr/>
        <w:tabs>
          <w:tab w:val="right" w:leader="dot" w:pos="8312"/>
        </w:tabs>
        <w:spacing/>
        <w:ind/>
        <w:rPr/>
      </w:pPr>
      <w:r/>
      <w:hyperlink w:tooltip="#_Toc38" w:anchor="_Toc38" w:history="1">
        <w:r>
          <w:rPr>
            <w:rStyle w:val="856"/>
          </w:rPr>
        </w:r>
        <w:r>
          <w:rPr>
            <w:rStyle w:val="856"/>
          </w:rPr>
          <w:t xml:space="preserve">3.3.2 Model Architecture and Training</w:t>
        </w:r>
        <w:r>
          <w:rPr>
            <w:rStyle w:val="856"/>
          </w:rPr>
        </w:r>
        <w:r>
          <w:tab/>
        </w:r>
        <w:r>
          <w:fldChar w:fldCharType="begin"/>
          <w:instrText xml:space="preserve">PAGEREF _Toc38 \h</w:instrText>
          <w:fldChar w:fldCharType="separate"/>
          <w:t xml:space="preserve">21</w:t>
          <w:fldChar w:fldCharType="end"/>
        </w:r>
      </w:hyperlink>
      <w:r/>
      <w:r/>
    </w:p>
    <w:p w14:paraId="3C7DD123">
      <w:pPr>
        <w:pStyle w:val="860"/>
        <w:pBdr/>
        <w:tabs>
          <w:tab w:val="right" w:leader="dot" w:pos="8312"/>
        </w:tabs>
        <w:spacing/>
        <w:ind/>
        <w:rPr/>
      </w:pPr>
      <w:r/>
      <w:hyperlink w:tooltip="#_Toc39" w:anchor="_Toc39" w:history="1">
        <w:r>
          <w:rPr>
            <w:rStyle w:val="856"/>
          </w:rPr>
        </w:r>
        <w:r>
          <w:rPr>
            <w:rStyle w:val="856"/>
          </w:rPr>
          <w:t xml:space="preserve">3.3.3 Calibration and Participant Testing</w:t>
        </w:r>
        <w:r>
          <w:rPr>
            <w:rStyle w:val="856"/>
          </w:rPr>
        </w:r>
        <w:r>
          <w:tab/>
        </w:r>
        <w:r>
          <w:fldChar w:fldCharType="begin"/>
          <w:instrText xml:space="preserve">PAGEREF _Toc39 \h</w:instrText>
          <w:fldChar w:fldCharType="separate"/>
          <w:t xml:space="preserve">22</w:t>
          <w:fldChar w:fldCharType="end"/>
        </w:r>
      </w:hyperlink>
      <w:r/>
      <w:r/>
    </w:p>
    <w:p w14:paraId="62EA7A1E">
      <w:pPr>
        <w:pStyle w:val="860"/>
        <w:pBdr/>
        <w:tabs>
          <w:tab w:val="right" w:leader="dot" w:pos="8312"/>
        </w:tabs>
        <w:spacing/>
        <w:ind/>
        <w:rPr/>
      </w:pPr>
      <w:r/>
      <w:hyperlink w:tooltip="#_Toc40" w:anchor="_Toc40" w:history="1">
        <w:r>
          <w:rPr>
            <w:rStyle w:val="856"/>
          </w:rPr>
        </w:r>
        <w:r>
          <w:rPr>
            <w:rStyle w:val="856"/>
          </w:rPr>
          <w:t xml:space="preserve">3.3.4 Metrics Definition</w:t>
        </w:r>
        <w:r>
          <w:rPr>
            <w:rStyle w:val="856"/>
          </w:rPr>
        </w:r>
        <w:r>
          <w:tab/>
        </w:r>
        <w:r>
          <w:fldChar w:fldCharType="begin"/>
          <w:instrText xml:space="preserve">PAGEREF _Toc40 \h</w:instrText>
          <w:fldChar w:fldCharType="separate"/>
          <w:t xml:space="preserve">22</w:t>
          <w:fldChar w:fldCharType="end"/>
        </w:r>
      </w:hyperlink>
      <w:r/>
      <w:r/>
    </w:p>
    <w:p w14:paraId="273270F3">
      <w:pPr>
        <w:pStyle w:val="859"/>
        <w:pBdr/>
        <w:tabs>
          <w:tab w:val="right" w:leader="dot" w:pos="8312"/>
        </w:tabs>
        <w:spacing/>
        <w:ind/>
        <w:rPr/>
      </w:pPr>
      <w:r/>
      <w:hyperlink w:tooltip="#_Toc41" w:anchor="_Toc41" w:history="1">
        <w:r>
          <w:rPr>
            <w:rStyle w:val="856"/>
          </w:rPr>
        </w:r>
        <w:r>
          <w:rPr>
            <w:rStyle w:val="856"/>
          </w:rPr>
          <w:t xml:space="preserve">3.4 Actuation and End-to-End Integration</w:t>
        </w:r>
        <w:r>
          <w:rPr>
            <w:rStyle w:val="856"/>
          </w:rPr>
        </w:r>
        <w:r>
          <w:tab/>
        </w:r>
        <w:r>
          <w:fldChar w:fldCharType="begin"/>
          <w:instrText xml:space="preserve">PAGEREF _Toc41 \h</w:instrText>
          <w:fldChar w:fldCharType="separate"/>
          <w:t xml:space="preserve">23</w:t>
          <w:fldChar w:fldCharType="end"/>
        </w:r>
      </w:hyperlink>
      <w:r/>
      <w:r/>
    </w:p>
    <w:p w14:paraId="4F185015">
      <w:pPr>
        <w:pStyle w:val="859"/>
        <w:pBdr/>
        <w:tabs>
          <w:tab w:val="right" w:leader="dot" w:pos="8312"/>
        </w:tabs>
        <w:spacing/>
        <w:ind/>
        <w:rPr/>
      </w:pPr>
      <w:r/>
      <w:hyperlink w:tooltip="#_Toc42" w:anchor="_Toc42" w:history="1">
        <w:r>
          <w:rPr>
            <w:rStyle w:val="856"/>
          </w:rPr>
        </w:r>
        <w:r>
          <w:rPr>
            <w:rStyle w:val="856"/>
          </w:rPr>
          <w:t xml:space="preserve">3.5 Ethics, Safety, and Data Considerations</w:t>
        </w:r>
        <w:r>
          <w:rPr>
            <w:rStyle w:val="856"/>
          </w:rPr>
        </w:r>
        <w:r>
          <w:tab/>
        </w:r>
        <w:r>
          <w:fldChar w:fldCharType="begin"/>
          <w:instrText xml:space="preserve">PAGEREF _Toc42 \h</w:instrText>
          <w:fldChar w:fldCharType="separate"/>
          <w:t xml:space="preserve">23</w:t>
          <w:fldChar w:fldCharType="end"/>
        </w:r>
      </w:hyperlink>
      <w:r/>
      <w:r/>
    </w:p>
    <w:p w14:paraId="5DD8A26B">
      <w:pPr>
        <w:pStyle w:val="859"/>
        <w:pBdr/>
        <w:tabs>
          <w:tab w:val="right" w:leader="dot" w:pos="8312"/>
        </w:tabs>
        <w:spacing/>
        <w:ind/>
        <w:rPr/>
      </w:pPr>
      <w:r/>
      <w:hyperlink w:tooltip="#_Toc43" w:anchor="_Toc43" w:history="1">
        <w:r>
          <w:rPr>
            <w:rStyle w:val="856"/>
          </w:rPr>
        </w:r>
        <w:r>
          <w:rPr>
            <w:rStyle w:val="856"/>
          </w:rPr>
          <w:t xml:space="preserve">3.6 Cost Evaluation</w:t>
        </w:r>
        <w:r>
          <w:rPr>
            <w:rStyle w:val="856"/>
          </w:rPr>
        </w:r>
        <w:r>
          <w:tab/>
        </w:r>
        <w:r>
          <w:fldChar w:fldCharType="begin"/>
          <w:instrText xml:space="preserve">PAGEREF _Toc43 \h</w:instrText>
          <w:fldChar w:fldCharType="separate"/>
          <w:t xml:space="preserve">24</w:t>
          <w:fldChar w:fldCharType="end"/>
        </w:r>
      </w:hyperlink>
      <w:r/>
      <w:r/>
    </w:p>
    <w:p w14:paraId="56332B89">
      <w:pPr>
        <w:pStyle w:val="859"/>
        <w:pBdr/>
        <w:tabs>
          <w:tab w:val="right" w:leader="dot" w:pos="8312"/>
        </w:tabs>
        <w:spacing/>
        <w:ind/>
        <w:rPr/>
      </w:pPr>
      <w:r/>
      <w:hyperlink w:tooltip="#_Toc44" w:anchor="_Toc44" w:history="1">
        <w:r>
          <w:rPr>
            <w:rStyle w:val="856"/>
          </w:rPr>
        </w:r>
        <w:r>
          <w:rPr>
            <w:rStyle w:val="856"/>
          </w:rPr>
          <w:t xml:space="preserve">3.7 System Testing and Evaluation</w:t>
        </w:r>
        <w:r>
          <w:rPr>
            <w:rStyle w:val="856"/>
          </w:rPr>
        </w:r>
        <w:r>
          <w:tab/>
        </w:r>
        <w:r>
          <w:fldChar w:fldCharType="begin"/>
          <w:instrText xml:space="preserve">PAGEREF _Toc44 \h</w:instrText>
          <w:fldChar w:fldCharType="separate"/>
          <w:t xml:space="preserve">24</w:t>
          <w:fldChar w:fldCharType="end"/>
        </w:r>
      </w:hyperlink>
      <w:r/>
      <w:r/>
    </w:p>
    <w:p w14:paraId="6EE687CA">
      <w:pPr>
        <w:pStyle w:val="859"/>
        <w:pBdr/>
        <w:tabs>
          <w:tab w:val="right" w:leader="dot" w:pos="8312"/>
        </w:tabs>
        <w:spacing/>
        <w:ind/>
        <w:rPr/>
      </w:pPr>
      <w:r/>
      <w:hyperlink w:tooltip="#_Toc45" w:anchor="_Toc45" w:history="1">
        <w:r>
          <w:rPr>
            <w:rStyle w:val="856"/>
          </w:rPr>
        </w:r>
        <w:r>
          <w:rPr>
            <w:rStyle w:val="856"/>
          </w:rPr>
          <w:t xml:space="preserve">3.8 End-to-End Demonstration</w:t>
        </w:r>
        <w:r>
          <w:rPr>
            <w:rStyle w:val="856"/>
          </w:rPr>
        </w:r>
        <w:r>
          <w:tab/>
        </w:r>
        <w:r>
          <w:fldChar w:fldCharType="begin"/>
          <w:instrText xml:space="preserve">PAGEREF _Toc45 \h</w:instrText>
          <w:fldChar w:fldCharType="separate"/>
          <w:t xml:space="preserve">24</w:t>
          <w:fldChar w:fldCharType="end"/>
        </w:r>
      </w:hyperlink>
      <w:r/>
      <w:r/>
    </w:p>
    <w:p w14:paraId="3AD47F04">
      <w:pPr>
        <w:pStyle w:val="858"/>
        <w:pBdr/>
        <w:tabs>
          <w:tab w:val="right" w:leader="dot" w:pos="8312"/>
        </w:tabs>
        <w:spacing/>
        <w:ind/>
        <w:rPr/>
      </w:pPr>
      <w:r/>
      <w:hyperlink w:tooltip="#_Toc46" w:anchor="_Toc46" w:history="1">
        <w:r>
          <w:rPr>
            <w:rStyle w:val="856"/>
          </w:rPr>
        </w:r>
        <w:r>
          <w:rPr>
            <w:rStyle w:val="856"/>
          </w:rPr>
          <w:t xml:space="preserve">CHAPTER FOUR</w:t>
        </w:r>
        <w:r>
          <w:rPr>
            <w:rStyle w:val="856"/>
          </w:rPr>
        </w:r>
        <w:r>
          <w:tab/>
        </w:r>
        <w:r>
          <w:fldChar w:fldCharType="begin"/>
          <w:instrText xml:space="preserve">PAGEREF _Toc46 \h</w:instrText>
          <w:fldChar w:fldCharType="separate"/>
          <w:t xml:space="preserve">26</w:t>
          <w:fldChar w:fldCharType="end"/>
        </w:r>
      </w:hyperlink>
      <w:r/>
      <w:r/>
    </w:p>
    <w:p w14:paraId="1F4BE796">
      <w:pPr>
        <w:pStyle w:val="858"/>
        <w:pBdr/>
        <w:tabs>
          <w:tab w:val="right" w:leader="dot" w:pos="8312"/>
        </w:tabs>
        <w:spacing/>
        <w:ind/>
        <w:rPr/>
      </w:pPr>
      <w:r/>
      <w:hyperlink w:tooltip="#_Toc47" w:anchor="_Toc47" w:history="1">
        <w:r>
          <w:rPr>
            <w:rStyle w:val="856"/>
          </w:rPr>
        </w:r>
        <w:r>
          <w:rPr>
            <w:rStyle w:val="856"/>
          </w:rPr>
          <w:t xml:space="preserve">EXPECTED RESULTS</w:t>
        </w:r>
        <w:r>
          <w:rPr>
            <w:rStyle w:val="856"/>
          </w:rPr>
        </w:r>
        <w:r>
          <w:tab/>
        </w:r>
        <w:r>
          <w:fldChar w:fldCharType="begin"/>
          <w:instrText xml:space="preserve">PAGEREF _Toc47 \h</w:instrText>
          <w:fldChar w:fldCharType="separate"/>
          <w:t xml:space="preserve">26</w:t>
          <w:fldChar w:fldCharType="end"/>
        </w:r>
      </w:hyperlink>
      <w:r/>
      <w:r/>
    </w:p>
    <w:p w14:paraId="01919248">
      <w:pPr>
        <w:pStyle w:val="859"/>
        <w:pBdr/>
        <w:tabs>
          <w:tab w:val="right" w:leader="dot" w:pos="8312"/>
        </w:tabs>
        <w:spacing/>
        <w:ind/>
        <w:rPr/>
      </w:pPr>
      <w:r/>
      <w:hyperlink w:tooltip="#_Toc48" w:anchor="_Toc48" w:history="1">
        <w:r>
          <w:rPr>
            <w:rStyle w:val="856"/>
          </w:rPr>
        </w:r>
        <w:r>
          <w:rPr>
            <w:rStyle w:val="856"/>
          </w:rPr>
          <w:t xml:space="preserve">4.1 Expected Electrical Performance (Objective 1: Design)</w:t>
        </w:r>
        <w:r>
          <w:rPr>
            <w:rStyle w:val="856"/>
          </w:rPr>
        </w:r>
        <w:r>
          <w:tab/>
        </w:r>
        <w:r>
          <w:fldChar w:fldCharType="begin"/>
          <w:instrText xml:space="preserve">PAGEREF _Toc48 \h</w:instrText>
          <w:fldChar w:fldCharType="separate"/>
          <w:t xml:space="preserve">26</w:t>
          <w:fldChar w:fldCharType="end"/>
        </w:r>
      </w:hyperlink>
      <w:r/>
      <w:r/>
    </w:p>
    <w:p w14:paraId="3F9A4942">
      <w:pPr>
        <w:pStyle w:val="859"/>
        <w:pBdr/>
        <w:tabs>
          <w:tab w:val="right" w:leader="dot" w:pos="8312"/>
        </w:tabs>
        <w:spacing/>
        <w:ind/>
        <w:rPr/>
      </w:pPr>
      <w:r/>
      <w:hyperlink w:tooltip="#_Toc49" w:anchor="_Toc49" w:history="1">
        <w:r>
          <w:rPr>
            <w:rStyle w:val="856"/>
          </w:rPr>
        </w:r>
        <w:r>
          <w:rPr>
            <w:rStyle w:val="856"/>
          </w:rPr>
          <w:t xml:space="preserve">4.2 Expected Embedded Performance (Objective 2: Implementation)</w:t>
        </w:r>
        <w:r>
          <w:rPr>
            <w:rStyle w:val="856"/>
          </w:rPr>
        </w:r>
        <w:r>
          <w:tab/>
        </w:r>
        <w:r>
          <w:fldChar w:fldCharType="begin"/>
          <w:instrText xml:space="preserve">PAGEREF _Toc49 \h</w:instrText>
          <w:fldChar w:fldCharType="separate"/>
          <w:t xml:space="preserve">26</w:t>
          <w:fldChar w:fldCharType="end"/>
        </w:r>
      </w:hyperlink>
      <w:r/>
      <w:r/>
    </w:p>
    <w:p w14:paraId="5891A6CD">
      <w:pPr>
        <w:pStyle w:val="859"/>
        <w:pBdr/>
        <w:tabs>
          <w:tab w:val="right" w:leader="dot" w:pos="8312"/>
        </w:tabs>
        <w:spacing/>
        <w:ind/>
        <w:rPr/>
      </w:pPr>
      <w:r/>
      <w:hyperlink w:tooltip="#_Toc50" w:anchor="_Toc50" w:history="1">
        <w:r>
          <w:rPr>
            <w:rStyle w:val="856"/>
          </w:rPr>
        </w:r>
        <w:r>
          <w:rPr>
            <w:rStyle w:val="856"/>
          </w:rPr>
          <w:t xml:space="preserve">4.3 Expected Classification Performance (Objective 2: Implementation)</w:t>
        </w:r>
        <w:r>
          <w:rPr>
            <w:rStyle w:val="856"/>
          </w:rPr>
        </w:r>
        <w:r>
          <w:tab/>
        </w:r>
        <w:r>
          <w:fldChar w:fldCharType="begin"/>
          <w:instrText xml:space="preserve">PAGEREF _Toc50 \h</w:instrText>
          <w:fldChar w:fldCharType="separate"/>
          <w:t xml:space="preserve">26</w:t>
          <w:fldChar w:fldCharType="end"/>
        </w:r>
      </w:hyperlink>
      <w:r/>
      <w:r/>
    </w:p>
    <w:p w14:paraId="1472BEE6">
      <w:pPr>
        <w:pStyle w:val="859"/>
        <w:pBdr/>
        <w:tabs>
          <w:tab w:val="right" w:leader="dot" w:pos="8312"/>
        </w:tabs>
        <w:spacing/>
        <w:ind/>
        <w:rPr/>
      </w:pPr>
      <w:r/>
      <w:hyperlink w:tooltip="#_Toc51" w:anchor="_Toc51" w:history="1">
        <w:r>
          <w:rPr>
            <w:rStyle w:val="856"/>
          </w:rPr>
        </w:r>
        <w:r>
          <w:rPr>
            <w:rStyle w:val="856"/>
          </w:rPr>
          <w:t xml:space="preserve">4.4 Expected Calibration Improvement (Objective 2: Implementation)</w:t>
        </w:r>
        <w:r>
          <w:rPr>
            <w:rStyle w:val="856"/>
          </w:rPr>
        </w:r>
        <w:r>
          <w:tab/>
        </w:r>
        <w:r>
          <w:fldChar w:fldCharType="begin"/>
          <w:instrText xml:space="preserve">PAGEREF _Toc51 \h</w:instrText>
          <w:fldChar w:fldCharType="separate"/>
          <w:t xml:space="preserve">27</w:t>
          <w:fldChar w:fldCharType="end"/>
        </w:r>
      </w:hyperlink>
      <w:r/>
      <w:r/>
    </w:p>
    <w:p w14:paraId="48F646AC">
      <w:pPr>
        <w:pStyle w:val="859"/>
        <w:pBdr/>
        <w:tabs>
          <w:tab w:val="right" w:leader="dot" w:pos="8312"/>
        </w:tabs>
        <w:spacing/>
        <w:ind/>
        <w:rPr/>
      </w:pPr>
      <w:r/>
      <w:hyperlink w:tooltip="#_Toc52" w:anchor="_Toc52" w:history="1">
        <w:r>
          <w:rPr>
            <w:rStyle w:val="856"/>
          </w:rPr>
        </w:r>
        <w:r>
          <w:rPr>
            <w:rStyle w:val="856"/>
          </w:rPr>
          <w:t xml:space="preserve">4.5 Expected End-to-End System Performance (Objective 3: Test and Evaluate)</w:t>
        </w:r>
        <w:r>
          <w:rPr>
            <w:rStyle w:val="856"/>
          </w:rPr>
        </w:r>
        <w:r>
          <w:tab/>
        </w:r>
        <w:r>
          <w:fldChar w:fldCharType="begin"/>
          <w:instrText xml:space="preserve">PAGEREF _Toc52 \h</w:instrText>
          <w:fldChar w:fldCharType="separate"/>
          <w:t xml:space="preserve">27</w:t>
          <w:fldChar w:fldCharType="end"/>
        </w:r>
      </w:hyperlink>
      <w:r/>
      <w:r/>
    </w:p>
    <w:p w14:paraId="5332E6F2">
      <w:pPr>
        <w:pStyle w:val="859"/>
        <w:pBdr/>
        <w:tabs>
          <w:tab w:val="right" w:leader="dot" w:pos="8312"/>
        </w:tabs>
        <w:spacing/>
        <w:ind/>
        <w:rPr/>
      </w:pPr>
      <w:r/>
      <w:hyperlink w:tooltip="#_Toc53" w:anchor="_Toc53" w:history="1">
        <w:r>
          <w:rPr>
            <w:rStyle w:val="856"/>
          </w:rPr>
        </w:r>
        <w:r>
          <w:rPr>
            <w:rStyle w:val="856"/>
          </w:rPr>
          <w:t xml:space="preserve">4.6 Expected Cost Outcome (Objective 3: Test and Evaluate)</w:t>
        </w:r>
        <w:r>
          <w:rPr>
            <w:rStyle w:val="856"/>
          </w:rPr>
        </w:r>
        <w:r>
          <w:tab/>
        </w:r>
        <w:r>
          <w:fldChar w:fldCharType="begin"/>
          <w:instrText xml:space="preserve">PAGEREF _Toc53 \h</w:instrText>
          <w:fldChar w:fldCharType="separate"/>
          <w:t xml:space="preserve">27</w:t>
          <w:fldChar w:fldCharType="end"/>
        </w:r>
      </w:hyperlink>
      <w:r/>
      <w:r/>
    </w:p>
    <w:p w14:paraId="5D468D8D">
      <w:pPr>
        <w:pStyle w:val="858"/>
        <w:pBdr/>
        <w:tabs>
          <w:tab w:val="right" w:leader="dot" w:pos="8312"/>
        </w:tabs>
        <w:spacing/>
        <w:ind/>
        <w:rPr/>
      </w:pPr>
      <w:r/>
      <w:hyperlink w:tooltip="#_Toc54" w:anchor="_Toc54" w:history="1">
        <w:r>
          <w:rPr>
            <w:rStyle w:val="856"/>
          </w:rPr>
        </w:r>
        <w:r>
          <w:rPr>
            <w:rStyle w:val="856"/>
          </w:rPr>
          <w:t xml:space="preserve">PROJECT BUDGET</w:t>
        </w:r>
        <w:r>
          <w:rPr>
            <w:rStyle w:val="856"/>
          </w:rPr>
        </w:r>
        <w:r>
          <w:tab/>
        </w:r>
        <w:r>
          <w:fldChar w:fldCharType="begin"/>
          <w:instrText xml:space="preserve">PAGEREF _Toc54 \h</w:instrText>
          <w:fldChar w:fldCharType="separate"/>
          <w:t xml:space="preserve">28</w:t>
          <w:fldChar w:fldCharType="end"/>
        </w:r>
      </w:hyperlink>
      <w:r/>
      <w:r/>
    </w:p>
    <w:p w14:paraId="5309AFBA">
      <w:pPr>
        <w:pStyle w:val="858"/>
        <w:pBdr/>
        <w:tabs>
          <w:tab w:val="right" w:leader="dot" w:pos="8312"/>
        </w:tabs>
        <w:spacing/>
        <w:ind/>
        <w:rPr/>
      </w:pPr>
      <w:r/>
      <w:hyperlink w:tooltip="#_Toc55" w:anchor="_Toc55" w:history="1">
        <w:r>
          <w:rPr>
            <w:rStyle w:val="856"/>
          </w:rPr>
        </w:r>
        <w:r>
          <w:rPr>
            <w:rStyle w:val="856"/>
          </w:rPr>
          <w:t xml:space="preserve">PROJECT TIMEPLAN</w:t>
        </w:r>
        <w:r>
          <w:rPr>
            <w:rStyle w:val="856"/>
          </w:rPr>
        </w:r>
        <w:r>
          <w:tab/>
        </w:r>
        <w:r>
          <w:fldChar w:fldCharType="begin"/>
          <w:instrText xml:space="preserve">PAGEREF _Toc55 \h</w:instrText>
          <w:fldChar w:fldCharType="separate"/>
          <w:t xml:space="preserve">30</w:t>
          <w:fldChar w:fldCharType="end"/>
        </w:r>
      </w:hyperlink>
      <w:r/>
      <w:r/>
    </w:p>
    <w:p w14:paraId="10B77A3D">
      <w:pPr>
        <w:pStyle w:val="858"/>
        <w:pBdr/>
        <w:tabs>
          <w:tab w:val="right" w:leader="dot" w:pos="8312"/>
        </w:tabs>
        <w:spacing/>
        <w:ind/>
        <w:rPr/>
      </w:pPr>
      <w:r/>
      <w:hyperlink w:tooltip="#_Toc56" w:anchor="_Toc56" w:history="1">
        <w:r>
          <w:rPr>
            <w:rStyle w:val="856"/>
          </w:rPr>
        </w:r>
        <w:r>
          <w:rPr>
            <w:rStyle w:val="856"/>
          </w:rPr>
          <w:t xml:space="preserve">REFERENCES</w:t>
        </w:r>
        <w:r>
          <w:rPr>
            <w:rStyle w:val="856"/>
          </w:rPr>
        </w:r>
        <w:r>
          <w:tab/>
        </w:r>
        <w:r>
          <w:fldChar w:fldCharType="begin"/>
          <w:instrText xml:space="preserve">PAGEREF _Toc56 \h</w:instrText>
          <w:fldChar w:fldCharType="separate"/>
          <w:t xml:space="preserve">31</w:t>
          <w:fldChar w:fldCharType="end"/>
        </w:r>
      </w:hyperlink>
      <w:r/>
      <w:r/>
    </w:p>
    <w:p w14:paraId="2D2118DD">
      <w:pPr>
        <w:pBdr/>
        <w:spacing/>
        <w:ind/>
        <w:rPr/>
      </w:pPr>
      <w:r>
        <w:rPr>
          <w:sz w:val="20"/>
          <w:szCs w:val="20"/>
        </w:rPr>
      </w:r>
      <w:r>
        <w:fldChar w:fldCharType="end"/>
      </w:r>
      <w:r/>
    </w:p>
    <w:p>
      <w:pPr>
        <w:pBdr/>
        <w:spacing/>
        <w:ind/>
        <w:rPr/>
      </w:pPr>
      <w:r>
        <w:br w:type="page" w:clear="all"/>
      </w:r>
      <w:r/>
    </w:p>
    <w:p>
      <w:pPr>
        <w:pStyle w:val="874"/>
        <w:pBdr/>
        <w:spacing/>
        <w:ind/>
        <w:rPr/>
      </w:pPr>
      <w:r/>
      <w:bookmarkStart w:id="4" w:name="_Toc4"/>
      <w:r>
        <w:t xml:space="preserve">LIST OF FIGURES</w:t>
      </w:r>
      <w:bookmarkEnd w:id="4"/>
      <w:r/>
      <w:r/>
    </w:p>
    <w:p>
      <w:pPr>
        <w:pBdr/>
        <w:spacing/>
        <w:ind/>
        <w:rPr/>
      </w:pPr>
      <w:r>
        <w:rPr>
          <w:rFonts w:ascii="Times New Roman" w:hAnsi="Times New Roman"/>
          <w:sz w:val="24"/>
        </w:rPr>
        <w:t xml:space="preserve">Figure 1: Full System Architecture Block Diagram</w:t>
      </w:r>
      <w:r/>
    </w:p>
    <w:p>
      <w:pPr>
        <w:pBdr/>
        <w:spacing/>
        <w:ind/>
        <w:rPr/>
      </w:pPr>
      <w:r>
        <w:rPr>
          <w:rFonts w:ascii="Times New Roman" w:hAnsi="Times New Roman"/>
          <w:sz w:val="24"/>
        </w:rPr>
        <w:t xml:space="preserve">Figure 2: Signal-Processing Pipeline and Timing Targets</w:t>
      </w:r>
      <w:r/>
    </w:p>
    <w:p>
      <w:pPr>
        <w:pBdr/>
        <w:spacing/>
        <w:ind/>
        <w:rPr/>
      </w:pPr>
      <w:r>
        <w:rPr>
          <w:rFonts w:ascii="Times New Roman" w:hAnsi="Times New Roman"/>
          <w:sz w:val="24"/>
        </w:rPr>
        <w:t xml:space="preserve">Figure 3: System Operation Flowchart</w:t>
      </w:r>
      <w:r/>
    </w:p>
    <w:p>
      <w:pPr>
        <w:pStyle w:val="874"/>
        <w:pBdr/>
        <w:spacing/>
        <w:ind/>
        <w:rPr/>
      </w:pPr>
      <w:r/>
      <w:bookmarkStart w:id="5" w:name="_Toc5"/>
      <w:r>
        <w:t xml:space="preserve">LIST OF TABLES</w:t>
      </w:r>
      <w:bookmarkEnd w:id="5"/>
      <w:r/>
      <w:r/>
    </w:p>
    <w:p>
      <w:pPr>
        <w:pBdr/>
        <w:spacing/>
        <w:ind/>
        <w:rPr/>
      </w:pPr>
      <w:r>
        <w:rPr>
          <w:rFonts w:ascii="Times New Roman" w:hAnsi="Times New Roman"/>
          <w:sz w:val="24"/>
        </w:rPr>
        <w:t xml:space="preserve">Table 1: Comparison of Existing sEMG Systems and the Proposed Project</w:t>
      </w:r>
      <w:r/>
    </w:p>
    <w:p>
      <w:pPr>
        <w:pBdr/>
        <w:spacing/>
        <w:ind/>
        <w:rPr/>
      </w:pPr>
      <w:r>
        <w:rPr>
          <w:rFonts w:ascii="Times New Roman" w:hAnsi="Times New Roman"/>
          <w:sz w:val="24"/>
        </w:rPr>
        <w:t xml:space="preserve">Table 2: sEMG Signal Specification</w:t>
      </w:r>
      <w:r/>
    </w:p>
    <w:p>
      <w:pPr>
        <w:pBdr/>
        <w:spacing/>
        <w:ind/>
        <w:rPr/>
      </w:pPr>
      <w:r>
        <w:rPr>
          <w:rFonts w:ascii="Times New Roman" w:hAnsi="Times New Roman"/>
          <w:sz w:val="24"/>
        </w:rPr>
        <w:t xml:space="preserve">Table 3: Target Gesture Classes</w:t>
      </w:r>
      <w:r/>
    </w:p>
    <w:p>
      <w:pPr>
        <w:pBdr/>
        <w:spacing/>
        <w:ind/>
        <w:rPr/>
      </w:pPr>
      <w:r>
        <w:rPr>
          <w:rFonts w:ascii="Times New Roman" w:hAnsi="Times New Roman"/>
          <w:sz w:val="24"/>
        </w:rPr>
        <w:t xml:space="preserve">Table 4: Performance Targets</w:t>
      </w:r>
      <w:r/>
    </w:p>
    <w:p>
      <w:pPr>
        <w:pBdr/>
        <w:spacing/>
        <w:ind/>
        <w:rPr/>
      </w:pPr>
      <w:r>
        <w:rPr>
          <w:rFonts w:ascii="Times New Roman" w:hAnsi="Times New Roman"/>
          <w:sz w:val="24"/>
        </w:rPr>
        <w:t xml:space="preserve">Table 5: Cost Tiers</w:t>
      </w:r>
      <w:r/>
    </w:p>
    <w:p>
      <w:pPr>
        <w:pBdr/>
        <w:spacing/>
        <w:ind/>
        <w:rPr/>
      </w:pPr>
      <w:r>
        <w:rPr>
          <w:rFonts w:ascii="Times New Roman" w:hAnsi="Times New Roman"/>
          <w:sz w:val="24"/>
        </w:rPr>
        <w:t xml:space="preserve">Table 6: Project Budget</w:t>
      </w:r>
      <w:r/>
    </w:p>
    <w:p>
      <w:pPr>
        <w:pBdr/>
        <w:spacing/>
        <w:ind/>
        <w:rPr/>
      </w:pPr>
      <w:r>
        <w:rPr>
          <w:rFonts w:ascii="Times New Roman" w:hAnsi="Times New Roman"/>
          <w:sz w:val="24"/>
        </w:rPr>
        <w:t xml:space="preserve">Table 7: Project Timeplan</w:t>
      </w:r>
      <w:r/>
    </w:p>
    <w:p>
      <w:pPr>
        <w:pStyle w:val="874"/>
        <w:pBdr/>
        <w:spacing/>
        <w:ind/>
        <w:rPr/>
      </w:pPr>
      <w:r/>
      <w:bookmarkStart w:id="6" w:name="_Toc6"/>
      <w:r>
        <w:t xml:space="preserve">LIST OF ABBREVIATIONS</w:t>
      </w:r>
      <w:bookmarkEnd w:id="6"/>
      <w:r/>
      <w:r/>
    </w:p>
    <w:p>
      <w:pPr>
        <w:pBdr/>
        <w:spacing/>
        <w:ind/>
        <w:rPr/>
      </w:pPr>
      <w:r>
        <w:rPr>
          <w:rFonts w:ascii="Times New Roman" w:hAnsi="Times New Roman"/>
          <w:sz w:val="24"/>
        </w:rPr>
        <w:t xml:space="preserve">sEMG -- Surface Electromyography</w:t>
      </w:r>
      <w:r/>
    </w:p>
    <w:p>
      <w:pPr>
        <w:pBdr/>
        <w:spacing/>
        <w:ind/>
        <w:rPr/>
      </w:pPr>
      <w:r>
        <w:rPr>
          <w:rFonts w:ascii="Times New Roman" w:hAnsi="Times New Roman"/>
          <w:sz w:val="24"/>
        </w:rPr>
        <w:t xml:space="preserve">ESP32-S3 -- Espressif Systems Microcontroller with dual-core Xtensa LX7</w:t>
      </w:r>
      <w:r/>
    </w:p>
    <w:p>
      <w:pPr>
        <w:pBdr/>
        <w:spacing/>
        <w:ind/>
        <w:rPr/>
      </w:pPr>
      <w:r>
        <w:rPr>
          <w:rFonts w:ascii="Times New Roman" w:hAnsi="Times New Roman"/>
          <w:sz w:val="24"/>
        </w:rPr>
        <w:t xml:space="preserve">BLE -- Bluetooth Low Energy</w:t>
      </w:r>
      <w:r/>
    </w:p>
    <w:p>
      <w:pPr>
        <w:pBdr/>
        <w:spacing/>
        <w:ind/>
        <w:rPr/>
      </w:pPr>
      <w:r>
        <w:rPr>
          <w:rFonts w:ascii="Times New Roman" w:hAnsi="Times New Roman"/>
          <w:sz w:val="24"/>
        </w:rPr>
        <w:t xml:space="preserve">CNN -- 1D Convolutional Neural Network</w:t>
      </w:r>
      <w:r/>
    </w:p>
    <w:p>
      <w:pPr>
        <w:pBdr/>
        <w:spacing/>
        <w:ind/>
        <w:rPr/>
      </w:pPr>
      <w:r>
        <w:rPr>
          <w:rFonts w:ascii="Times New Roman" w:hAnsi="Times New Roman"/>
          <w:sz w:val="24"/>
        </w:rPr>
        <w:t xml:space="preserve">TFLite -- TensorFlow Lite for Microcontrollers</w:t>
      </w:r>
      <w:r/>
    </w:p>
    <w:p>
      <w:pPr>
        <w:pBdr/>
        <w:spacing/>
        <w:ind/>
        <w:rPr/>
      </w:pPr>
      <w:r>
        <w:rPr>
          <w:rFonts w:ascii="Times New Roman" w:hAnsi="Times New Roman"/>
          <w:sz w:val="24"/>
        </w:rPr>
        <w:t xml:space="preserve">INA128 -- Instrumentation Amplifier (Texas Instruments)</w:t>
      </w:r>
      <w:r/>
    </w:p>
    <w:p>
      <w:pPr>
        <w:pBdr/>
        <w:spacing/>
        <w:ind/>
        <w:rPr/>
      </w:pPr>
      <w:r>
        <w:rPr>
          <w:rFonts w:ascii="Times New Roman" w:hAnsi="Times New Roman"/>
          <w:sz w:val="24"/>
        </w:rPr>
        <w:t xml:space="preserve">ADC -- Analog-to-Digital Converter</w:t>
      </w:r>
      <w:r/>
    </w:p>
    <w:p>
      <w:pPr>
        <w:pBdr/>
        <w:spacing/>
        <w:ind/>
        <w:rPr/>
      </w:pPr>
      <w:r>
        <w:rPr>
          <w:rFonts w:ascii="Times New Roman" w:hAnsi="Times New Roman"/>
          <w:sz w:val="24"/>
        </w:rPr>
        <w:t xml:space="preserve">BOM -- Bill of Materials</w:t>
      </w:r>
      <w:r/>
    </w:p>
    <w:p>
      <w:pPr>
        <w:pBdr/>
        <w:spacing/>
        <w:ind/>
        <w:rPr/>
      </w:pPr>
      <w:r>
        <w:rPr>
          <w:rFonts w:ascii="Times New Roman" w:hAnsi="Times New Roman"/>
          <w:sz w:val="24"/>
        </w:rPr>
        <w:t xml:space="preserve">PCB -- Printed Circuit Board</w:t>
      </w:r>
      <w:r/>
    </w:p>
    <w:p>
      <w:pPr>
        <w:pBdr/>
        <w:spacing/>
        <w:ind/>
        <w:rPr/>
      </w:pPr>
      <w:r>
        <w:rPr>
          <w:rFonts w:ascii="Times New Roman" w:hAnsi="Times New Roman"/>
          <w:sz w:val="24"/>
        </w:rPr>
        <w:t xml:space="preserve">DOF -- Degrees of Freedom</w:t>
      </w:r>
      <w:r/>
    </w:p>
    <w:p>
      <w:pPr>
        <w:pBdr/>
        <w:spacing/>
        <w:ind/>
        <w:rPr/>
      </w:pPr>
      <w:r>
        <w:rPr>
          <w:rFonts w:ascii="Times New Roman" w:hAnsi="Times New Roman"/>
          <w:sz w:val="24"/>
        </w:rPr>
        <w:t xml:space="preserve">SNR -- Signal-to-Noise Ratio</w:t>
      </w:r>
      <w:r/>
    </w:p>
    <w:p>
      <w:pPr>
        <w:pBdr/>
        <w:spacing/>
        <w:ind/>
        <w:rPr/>
      </w:pPr>
      <w:r>
        <w:rPr>
          <w:rFonts w:ascii="Times New Roman" w:hAnsi="Times New Roman"/>
          <w:sz w:val="24"/>
        </w:rPr>
        <w:t xml:space="preserve">CMRR -- Common-Mode Rejection Ratio</w:t>
      </w:r>
      <w:r/>
    </w:p>
    <w:p>
      <w:pPr>
        <w:pBdr/>
        <w:spacing/>
        <w:ind/>
        <w:rPr/>
      </w:pPr>
      <w:r>
        <w:rPr>
          <w:rFonts w:ascii="Times New Roman" w:hAnsi="Times New Roman"/>
          <w:sz w:val="24"/>
        </w:rPr>
        <w:t xml:space="preserve">DMA -- Direct Memory Access</w:t>
      </w:r>
      <w:r/>
    </w:p>
    <w:p>
      <w:pPr>
        <w:pBdr/>
        <w:spacing/>
        <w:ind/>
        <w:rPr/>
      </w:pPr>
      <w:r>
        <w:rPr>
          <w:rFonts w:ascii="Times New Roman" w:hAnsi="Times New Roman"/>
          <w:sz w:val="24"/>
        </w:rPr>
        <w:t xml:space="preserve">PWM -- Pulse Width Modulation</w:t>
      </w:r>
      <w:r/>
    </w:p>
    <w:p>
      <w:pPr>
        <w:pBdr/>
        <w:spacing/>
        <w:ind/>
        <w:rPr/>
      </w:pPr>
      <w:r>
        <w:rPr>
          <w:rFonts w:ascii="Times New Roman" w:hAnsi="Times New Roman"/>
          <w:sz w:val="24"/>
        </w:rPr>
        <w:t xml:space="preserve">PCA9685 -- 16-channel I2C PWM driver</w:t>
      </w:r>
      <w:r/>
    </w:p>
    <w:p>
      <w:pPr>
        <w:pBdr/>
        <w:spacing/>
        <w:ind/>
        <w:rPr/>
      </w:pPr>
      <w:r>
        <w:rPr>
          <w:rFonts w:ascii="Times New Roman" w:hAnsi="Times New Roman"/>
          <w:sz w:val="24"/>
        </w:rPr>
        <w:t xml:space="preserve">NinaPro -- Non-Invasive Adaptive Prosthetics (public sEMG dataset)</w:t>
      </w:r>
      <w:r/>
    </w:p>
    <w:p>
      <w:pPr>
        <w:pBdr/>
        <w:spacing/>
        <w:ind/>
        <w:rPr/>
      </w:pPr>
      <w:r>
        <w:rPr>
          <w:rFonts w:ascii="Times New Roman" w:hAnsi="Times New Roman"/>
          <w:sz w:val="24"/>
        </w:rPr>
        <w:t xml:space="preserve">MAV -- Mean Absolute Value</w:t>
      </w:r>
      <w:r/>
    </w:p>
    <w:p>
      <w:pPr>
        <w:pBdr/>
        <w:spacing/>
        <w:ind/>
        <w:rPr/>
      </w:pPr>
      <w:r>
        <w:rPr>
          <w:rFonts w:ascii="Times New Roman" w:hAnsi="Times New Roman"/>
          <w:sz w:val="24"/>
        </w:rPr>
        <w:t xml:space="preserve">RMS -- Root Mean Square</w:t>
      </w:r>
      <w:r/>
    </w:p>
    <w:p>
      <w:pPr>
        <w:pBdr/>
        <w:spacing/>
        <w:ind/>
        <w:rPr/>
      </w:pPr>
      <w:r>
        <w:rPr>
          <w:rFonts w:ascii="Times New Roman" w:hAnsi="Times New Roman"/>
          <w:sz w:val="24"/>
        </w:rPr>
        <w:t xml:space="preserve">WL -- Waveform Length</w:t>
      </w:r>
      <w:r/>
    </w:p>
    <w:p>
      <w:pPr>
        <w:pBdr/>
        <w:spacing/>
        <w:ind/>
        <w:rPr/>
      </w:pPr>
      <w:r>
        <w:rPr>
          <w:rFonts w:ascii="Times New Roman" w:hAnsi="Times New Roman"/>
          <w:sz w:val="24"/>
        </w:rPr>
        <w:t xml:space="preserve">ZC -- Zero Crossings</w:t>
      </w:r>
      <w:r/>
    </w:p>
    <w:p>
      <w:pPr>
        <w:pBdr/>
        <w:spacing/>
        <w:ind/>
        <w:rPr/>
      </w:pPr>
      <w:r>
        <w:rPr>
          <w:rFonts w:ascii="Times New Roman" w:hAnsi="Times New Roman"/>
          <w:sz w:val="24"/>
        </w:rPr>
        <w:t xml:space="preserve">SSC -- Slope Sign Changes</w:t>
      </w:r>
      <w:r/>
    </w:p>
    <w:p>
      <w:pPr>
        <w:pBdr/>
        <w:spacing/>
        <w:ind/>
        <w:rPr/>
      </w:pPr>
      <w:r>
        <w:rPr>
          <w:rFonts w:ascii="Times New Roman" w:hAnsi="Times New Roman"/>
          <w:sz w:val="24"/>
        </w:rPr>
        <w:t xml:space="preserve">F1 -- Harmonic Mean of Precision and Recall</w:t>
      </w:r>
      <w:r/>
    </w:p>
    <w:p>
      <w:pPr>
        <w:pBdr/>
        <w:spacing/>
        <w:ind/>
        <w:rPr/>
      </w:pPr>
      <w:r>
        <w:rPr>
          <w:rFonts w:ascii="Times New Roman" w:hAnsi="Times New Roman"/>
          <w:sz w:val="24"/>
        </w:rPr>
        <w:t xml:space="preserve">LDA -- Linear Discriminant Analysis</w:t>
      </w:r>
      <w:r/>
    </w:p>
    <w:p>
      <w:pPr>
        <w:pBdr/>
        <w:spacing/>
        <w:ind/>
        <w:rPr/>
      </w:pPr>
      <w:r>
        <w:rPr>
          <w:rFonts w:ascii="Times New Roman" w:hAnsi="Times New Roman"/>
          <w:sz w:val="24"/>
        </w:rPr>
        <w:t xml:space="preserve">SVM -- Support Vector Machine</w:t>
      </w:r>
      <w:r/>
    </w:p>
    <w:p>
      <w:pPr>
        <w:pBdr/>
        <w:spacing/>
        <w:ind/>
        <w:rPr/>
      </w:pPr>
      <w:r>
        <w:rPr>
          <w:rFonts w:ascii="Times New Roman" w:hAnsi="Times New Roman"/>
          <w:sz w:val="24"/>
        </w:rPr>
        <w:t xml:space="preserve">RF -- Random Forest</w:t>
      </w:r>
      <w:r/>
    </w:p>
    <w:p>
      <w:pPr>
        <w:pBdr/>
        <w:spacing/>
        <w:ind/>
        <w:rPr/>
      </w:pPr>
      <w:r>
        <w:rPr>
          <w:rFonts w:ascii="Times New Roman" w:hAnsi="Times New Roman"/>
          <w:sz w:val="24"/>
        </w:rPr>
        <w:t xml:space="preserve">INT8 -- 8-bit Integer Quantization</w:t>
      </w:r>
      <w:r/>
    </w:p>
    <w:p>
      <w:pPr>
        <w:pBdr/>
        <w:spacing/>
        <w:ind/>
        <w:rPr/>
      </w:pPr>
      <w:r>
        <w:rPr>
          <w:rFonts w:ascii="Times New Roman" w:hAnsi="Times New Roman"/>
          <w:sz w:val="24"/>
        </w:rPr>
        <w:t xml:space="preserve">IEEE -- Institute of Electrical and Electronics Engineers</w:t>
      </w:r>
      <w:r/>
    </w:p>
    <w:p>
      <w:pPr>
        <w:pBdr/>
        <w:spacing/>
        <w:ind/>
        <w:rPr/>
      </w:pPr>
      <w:r>
        <w:rPr>
          <w:rFonts w:ascii="Times New Roman" w:hAnsi="Times New Roman"/>
          <w:sz w:val="24"/>
        </w:rPr>
        <w:t xml:space="preserve">WHO -- World Health Organization</w:t>
      </w:r>
      <w:r/>
    </w:p>
    <w:p>
      <w:pPr>
        <w:pBdr/>
        <w:spacing/>
        <w:ind/>
        <w:rPr/>
      </w:pPr>
      <w:r>
        <w:rPr>
          <w:rFonts w:ascii="Times New Roman" w:hAnsi="Times New Roman"/>
          <w:sz w:val="24"/>
        </w:rPr>
        <w:t xml:space="preserve">KES -- Kenyan Shilling</w:t>
      </w:r>
      <w:r/>
    </w:p>
    <w:p>
      <w:pPr>
        <w:pBdr/>
        <w:spacing/>
        <w:ind/>
        <w:rPr/>
      </w:pPr>
      <w:r>
        <w:br w:type="page" w:clear="all"/>
      </w:r>
      <w:r/>
    </w:p>
    <w:p>
      <w:pPr>
        <w:pStyle w:val="874"/>
        <w:pBdr/>
        <w:spacing/>
        <w:ind/>
        <w:rPr/>
      </w:pPr>
      <w:r/>
      <w:bookmarkStart w:id="7" w:name="_Toc7"/>
      <w:r>
        <w:t xml:space="preserve">CHAPTER ONE</w:t>
      </w:r>
      <w:bookmarkEnd w:id="7"/>
      <w:r/>
      <w:r/>
    </w:p>
    <w:p>
      <w:pPr>
        <w:pStyle w:val="874"/>
        <w:pBdr/>
        <w:spacing/>
        <w:ind/>
        <w:rPr/>
      </w:pPr>
      <w:r/>
      <w:bookmarkStart w:id="8" w:name="_Toc8"/>
      <w:r>
        <w:t xml:space="preserve">INTRODUCTION</w:t>
      </w:r>
      <w:bookmarkEnd w:id="8"/>
      <w:r/>
      <w:r/>
    </w:p>
    <w:p>
      <w:pPr>
        <w:pStyle w:val="875"/>
        <w:pBdr/>
        <w:spacing/>
        <w:ind/>
        <w:rPr/>
      </w:pPr>
      <w:r/>
      <w:bookmarkStart w:id="9" w:name="_Toc9"/>
      <w:r>
        <w:t xml:space="preserve">1.1 Background of the Study</w:t>
      </w:r>
      <w:bookmarkEnd w:id="9"/>
      <w:r/>
      <w:r/>
    </w:p>
    <w:p>
      <w:pPr>
        <w:pBdr/>
        <w:spacing w:after="120" w:before="0" w:line="360" w:lineRule="auto"/>
        <w:ind w:firstLine="720"/>
        <w:rPr/>
      </w:pPr>
      <w:r>
        <w:rPr>
          <w:rFonts w:ascii="Times New Roman" w:hAnsi="Times New Roman"/>
          <w:b w:val="0"/>
          <w:sz w:val="24"/>
        </w:rPr>
        <w:t xml:space="preserve">Surface electromyography (sEMG) is a non-invasive technique for observing electrical activity associated with voluntary skeletal-muscle contraction. Motor-</w:t>
      </w:r>
      <w:r>
        <w:rPr>
          <w:rFonts w:ascii="Times New Roman" w:hAnsi="Times New Roman"/>
          <w:b w:val="0"/>
          <w:sz w:val="24"/>
        </w:rPr>
        <w:t xml:space="preserve">unit action potentials produce small voltage variations at the skin surface; after amplification and filtering, these signals can be analysed to infer intended movement. Typical sEMG energy is concentrated approximately within the 20--500 Hz range, with ra</w:t>
      </w:r>
      <w:r>
        <w:rPr>
          <w:rFonts w:ascii="Times New Roman" w:hAnsi="Times New Roman"/>
          <w:b w:val="0"/>
          <w:sz w:val="24"/>
        </w:rPr>
        <w:t xml:space="preserve">w amplitudes between 50 microvolts and 5 millivolts, while practical measurements are affected by 50 Hz power-line interference, motion artefacts below 20 Hz, electrode-skin impedance variations, and thermal noise from the acquisition electronics [1], [6].</w:t>
      </w:r>
      <w:r/>
    </w:p>
    <w:p>
      <w:pPr>
        <w:pBdr/>
        <w:spacing w:after="120" w:before="0" w:line="360" w:lineRule="auto"/>
        <w:ind w:firstLine="720"/>
        <w:rPr/>
      </w:pPr>
      <w:r>
        <w:rPr>
          <w:rFonts w:ascii="Times New Roman" w:hAnsi="Times New Roman"/>
          <w:b w:val="0"/>
          <w:sz w:val="24"/>
        </w:rPr>
        <w:t xml:space="preserve">For myoelectric prosthetic control, surface electrodes positioned over residual-limb musculature capture sEMG signals during voluntary contractions. A signal-conditioning and classification pipeline a</w:t>
      </w:r>
      <w:r>
        <w:rPr>
          <w:rFonts w:ascii="Times New Roman" w:hAnsi="Times New Roman"/>
          <w:b w:val="0"/>
          <w:sz w:val="24"/>
        </w:rPr>
        <w:t xml:space="preserve">mplifies the differential signal, suppresses unwanted frequency components, samples the conditioned waveform, computes discriminative features from analysis windows, and maps the resulting feature vector to a hand gesture. The gesture is then translated in</w:t>
      </w:r>
      <w:r>
        <w:rPr>
          <w:rFonts w:ascii="Times New Roman" w:hAnsi="Times New Roman"/>
          <w:b w:val="0"/>
          <w:sz w:val="24"/>
        </w:rPr>
        <w:t xml:space="preserve">to actuator commands for a prosthetic mechanism. Multichannel acquisition, typically four to eight channels, provides spatial diversity across different muscle groups, which is essential for distinguishing more than two or three gestures reliably [6], [7].</w:t>
      </w:r>
      <w:r/>
    </w:p>
    <w:p>
      <w:pPr>
        <w:pBdr/>
        <w:spacing w:after="120" w:before="0" w:line="360" w:lineRule="auto"/>
        <w:ind w:firstLine="720"/>
        <w:rPr/>
      </w:pPr>
      <w:r>
        <w:rPr>
          <w:rFonts w:ascii="Times New Roman" w:hAnsi="Times New Roman"/>
          <w:b w:val="0"/>
          <w:sz w:val="24"/>
        </w:rPr>
        <w:t xml:space="preserve">Commercial myoelectric prostheses from manufacturers such as Ottobock and Ossur achieve classification accuracy exceeding 95 percent but cost between USD 10,000</w:t>
      </w:r>
      <w:r>
        <w:rPr>
          <w:rFonts w:ascii="Times New Roman" w:hAnsi="Times New Roman"/>
          <w:b w:val="0"/>
          <w:sz w:val="24"/>
        </w:rPr>
        <w:t xml:space="preserve"> and USD 40,000. The control interface electronics alone account for USD 3,000 to USD 8,000 of this total. Even research prototypes documented in the literature cost USD 500 to USD 1,500 for the electronics subsystem [4], which is prohibitive in developing</w:t>
      </w:r>
      <w:r>
        <w:rPr>
          <w:rFonts w:ascii="Times New Roman" w:hAnsi="Times New Roman"/>
          <w:b w:val="0"/>
          <w:sz w:val="24"/>
        </w:rPr>
        <w:t xml:space="preserve"> economies. Globally, an estimated 30 million people require prosthetic or orthotic devices, with sub-Saharan Africa carrying a disproportionate burden at approximately 0.5 percent population prevalence [10]. In Kenya, the National Council for Persons with</w:t>
      </w:r>
      <w:r>
        <w:rPr>
          <w:rFonts w:ascii="Times New Roman" w:hAnsi="Times New Roman"/>
          <w:b w:val="0"/>
          <w:sz w:val="24"/>
        </w:rPr>
        <w:t xml:space="preserve"> Disabilities registers over 30,000 individuals requiring upper-limb assistive devices, yet the Kenyatta National Hospital orthotics department, the largest referral facility in East and Central Africa, fits fewer than 200 powered prosthetic arms per year.</w:t>
      </w:r>
      <w:r/>
    </w:p>
    <w:p>
      <w:pPr>
        <w:pBdr/>
        <w:spacing w:after="120" w:before="0" w:line="360" w:lineRule="auto"/>
        <w:ind w:firstLine="720"/>
        <w:rPr/>
      </w:pPr>
      <w:r>
        <w:rPr>
          <w:rFonts w:ascii="Times New Roman" w:hAnsi="Times New Roman"/>
          <w:b w:val="0"/>
          <w:sz w:val="24"/>
        </w:rPr>
        <w:t xml:space="preserve">Three recent developments make a truly low-cost system feasible. First, the ESP32-S3 microcontroller provides dual-core 240 MHz processing, 512 KB SRAM, hardware-ac</w:t>
      </w:r>
      <w:r>
        <w:rPr>
          <w:rFonts w:ascii="Times New Roman" w:hAnsi="Times New Roman"/>
          <w:b w:val="0"/>
          <w:sz w:val="24"/>
        </w:rPr>
        <w:t xml:space="preserve">celerated vector operations, BLE 5.0, and TensorFlow Lite for Microcontrollers support for approximately USD 5 [1]. Second, TensorFlow Lite for Microcontrollers enables deployment of quantized neural networks on memory-constrained devices with models under</w:t>
      </w:r>
      <w:r>
        <w:rPr>
          <w:rFonts w:ascii="Times New Roman" w:hAnsi="Times New Roman"/>
          <w:b w:val="0"/>
          <w:sz w:val="24"/>
        </w:rPr>
        <w:t xml:space="preserve"> 100 KB. Third, recent publications from 2025 and 2026 have demonstrated that sEMG classification on ESP32 platforms is achievable with inference latency under 10 milliseconds [1], proving the concept's technical viability for real-time prosthetic control.</w:t>
      </w:r>
      <w:r/>
    </w:p>
    <w:p>
      <w:pPr>
        <w:pBdr/>
        <w:spacing w:after="120" w:before="0" w:line="360" w:lineRule="auto"/>
        <w:ind w:firstLine="720"/>
        <w:rPr/>
      </w:pPr>
      <w:r>
        <w:rPr>
          <w:rFonts w:ascii="Times New Roman" w:hAnsi="Times New Roman"/>
          <w:b w:val="0"/>
          <w:sz w:val="24"/>
        </w:rPr>
        <w:t xml:space="preserve">Four sEMG channels represent a practical engineering trade-off between spatial i</w:t>
      </w:r>
      <w:r>
        <w:rPr>
          <w:rFonts w:ascii="Times New Roman" w:hAnsi="Times New Roman"/>
          <w:b w:val="0"/>
          <w:sz w:val="24"/>
        </w:rPr>
        <w:t xml:space="preserve">nformation, electrode count, hardware complexity, and computational load. Literature consensus indicates that four to eight channels is the optimal range for distinguishing six to eight gestures reliably [6], [7]. Beyond eight channels, classification gain</w:t>
      </w:r>
      <w:r>
        <w:rPr>
          <w:rFonts w:ascii="Times New Roman" w:hAnsi="Times New Roman"/>
          <w:b w:val="0"/>
          <w:sz w:val="24"/>
        </w:rPr>
        <w:t xml:space="preserve">s diminish while hardware cost and wiring complexity increase substantially. This project adopts four channels as the minimum that provides sufficient spatial diversity for the target eight-gesture vocabulary while keeping the electronics BOM below USD 20.</w:t>
      </w:r>
      <w:r/>
    </w:p>
    <w:p>
      <w:pPr>
        <w:pStyle w:val="875"/>
        <w:pBdr/>
        <w:spacing/>
        <w:ind/>
        <w:rPr/>
      </w:pPr>
      <w:r/>
      <w:bookmarkStart w:id="10" w:name="_Toc10"/>
      <w:r>
        <w:t xml:space="preserve">1.2 Problem Statement</w:t>
      </w:r>
      <w:bookmarkEnd w:id="10"/>
      <w:r/>
      <w:r/>
    </w:p>
    <w:p>
      <w:pPr>
        <w:pBdr/>
        <w:spacing w:after="120" w:before="0" w:line="360" w:lineRule="auto"/>
        <w:ind w:firstLine="720"/>
        <w:rPr/>
      </w:pPr>
      <w:r>
        <w:rPr>
          <w:rFonts w:ascii="Times New Roman" w:hAnsi="Times New Roman"/>
          <w:b w:val="0"/>
          <w:sz w:val="24"/>
        </w:rPr>
        <w:t xml:space="preserve">The electronic control interface for myoelectric prosthetics -- comprising the sensing, signal conditioning, embedded processing, gesture classification, and actuator-control layers between muscle activity and mechanical m</w:t>
      </w:r>
      <w:r>
        <w:rPr>
          <w:rFonts w:ascii="Times New Roman" w:hAnsi="Times New Roman"/>
          <w:b w:val="0"/>
          <w:sz w:val="24"/>
        </w:rPr>
        <w:t xml:space="preserve">ovement -- remains prohibitively expensive for users in developing economies. Commercial systems price the control electronics at USD 3,000 to USD 8,000, while published research prototypes cost USD 500 to USD 1,500 for the electronics subsystem alone [4].</w:t>
      </w:r>
      <w:r/>
    </w:p>
    <w:p>
      <w:pPr>
        <w:pBdr/>
        <w:spacing w:after="120" w:before="0" w:line="360" w:lineRule="auto"/>
        <w:ind w:firstLine="720"/>
        <w:rPr/>
      </w:pPr>
      <w:r>
        <w:rPr>
          <w:rFonts w:ascii="Times New Roman" w:hAnsi="Times New Roman"/>
          <w:b w:val="0"/>
          <w:sz w:val="24"/>
        </w:rPr>
        <w:t xml:space="preserve">Within the reviewed literature, low-cost prototypes commonly address only parts of the complete pipeline. Some demonstrate si</w:t>
      </w:r>
      <w:r>
        <w:rPr>
          <w:rFonts w:ascii="Times New Roman" w:hAnsi="Times New Roman"/>
          <w:b w:val="0"/>
          <w:sz w:val="24"/>
        </w:rPr>
        <w:t xml:space="preserve">ngle-channel classification without prosthetic integration [1]. Others achieve high classification accuracy using deep learning but require desktop GPU inference unsuitable for wearable deployment [2]. Systems that do include prosthetic actuation rely on c</w:t>
      </w:r>
      <w:r>
        <w:rPr>
          <w:rFonts w:ascii="Times New Roman" w:hAnsi="Times New Roman"/>
          <w:b w:val="0"/>
          <w:sz w:val="24"/>
        </w:rPr>
        <w:t xml:space="preserve">ustom ASICs or FPGAs with electronics costs exceeding USD 500 [4]. No published system combines multichannel sEMG acquisition, on-device CNN classification, user-specific calibration, and prosthetic actuation for under USD 20 in electronics component cost.</w:t>
      </w:r>
      <w:r/>
    </w:p>
    <w:p>
      <w:pPr>
        <w:pBdr/>
        <w:spacing w:after="120" w:before="0" w:line="360" w:lineRule="auto"/>
        <w:ind w:firstLine="720"/>
        <w:rPr/>
      </w:pPr>
      <w:r>
        <w:rPr>
          <w:rFonts w:ascii="Times New Roman" w:hAnsi="Times New Roman"/>
          <w:b w:val="0"/>
          <w:sz w:val="24"/>
        </w:rPr>
        <w:t xml:space="preserve">This project addresses the follo</w:t>
      </w:r>
      <w:r>
        <w:rPr>
          <w:rFonts w:ascii="Times New Roman" w:hAnsi="Times New Roman"/>
          <w:b w:val="0"/>
          <w:sz w:val="24"/>
        </w:rPr>
        <w:t xml:space="preserve">wing research question: can a complete, four-channel myoelectric control system -- from skin electrode to mechanical grip -- be designed, built, and validated for under USD 20 in component cost using commercially available components and open-source tools?</w:t>
      </w:r>
      <w:r/>
    </w:p>
    <w:p>
      <w:pPr>
        <w:pStyle w:val="875"/>
        <w:pBdr/>
        <w:spacing/>
        <w:ind/>
        <w:rPr/>
      </w:pPr>
      <w:r/>
      <w:bookmarkStart w:id="11" w:name="_Toc11"/>
      <w:r>
        <w:t xml:space="preserve">1.3 Project Justification</w:t>
      </w:r>
      <w:bookmarkEnd w:id="11"/>
      <w:r/>
      <w:r/>
    </w:p>
    <w:p>
      <w:pPr>
        <w:pBdr/>
        <w:spacing w:after="120" w:before="0" w:line="360" w:lineRule="auto"/>
        <w:ind w:firstLine="720"/>
        <w:rPr/>
      </w:pPr>
      <w:r>
        <w:rPr>
          <w:rFonts w:ascii="Times New Roman" w:hAnsi="Times New Roman"/>
          <w:b w:val="0"/>
          <w:sz w:val="24"/>
        </w:rPr>
        <w:t xml:space="preserve">Developing a low-cost multichannel sEMG control interface will reduce the electronics cost barrier for myoelectric prosthetic research and rehabilitation prototypes from hundreds of dollars to under USD 20. By moving signa</w:t>
      </w:r>
      <w:r>
        <w:rPr>
          <w:rFonts w:ascii="Times New Roman" w:hAnsi="Times New Roman"/>
          <w:b w:val="0"/>
          <w:sz w:val="24"/>
        </w:rPr>
        <w:t xml:space="preserve">l processing and inference onto the embedded device, the system eliminates the need for a continuous PC connection, enabling standalone wearable operation essential for daily-use rehabilitation. A BLE-based calibration workflow allows the system to adapt t</w:t>
      </w:r>
      <w:r>
        <w:rPr>
          <w:rFonts w:ascii="Times New Roman" w:hAnsi="Times New Roman"/>
          <w:b w:val="0"/>
          <w:sz w:val="24"/>
        </w:rPr>
        <w:t xml:space="preserve">o individual users' sEMG characteristics in approximately three minutes, addressing the cross-user variability that limits many existing systems. The complete end-to-end demonstration -- from physiological signal acquisition through classification to mecha</w:t>
      </w:r>
      <w:r>
        <w:rPr>
          <w:rFonts w:ascii="Times New Roman" w:hAnsi="Times New Roman"/>
          <w:b w:val="0"/>
          <w:sz w:val="24"/>
        </w:rPr>
        <w:t xml:space="preserve">nical actuation -- validates the engineering feasibility rather than evaluating classification in isolation. Additionally, the modular architecture creates a reproducible, open-source platform that other researchers and clinicians can replicate and extend.</w:t>
      </w:r>
      <w:r/>
    </w:p>
    <w:p>
      <w:pPr>
        <w:pStyle w:val="875"/>
        <w:pBdr/>
        <w:spacing/>
        <w:ind/>
        <w:rPr/>
      </w:pPr>
      <w:r/>
      <w:bookmarkStart w:id="12" w:name="_Toc12"/>
      <w:r>
        <w:t xml:space="preserve">1.4 Scope of the Study</w:t>
      </w:r>
      <w:bookmarkEnd w:id="12"/>
      <w:r/>
      <w:r/>
    </w:p>
    <w:p>
      <w:pPr>
        <w:pBdr/>
        <w:spacing w:after="120" w:before="0" w:line="360" w:lineRule="auto"/>
        <w:ind w:firstLine="720"/>
        <w:rPr/>
      </w:pPr>
      <w:r>
        <w:rPr>
          <w:rFonts w:ascii="Times New Roman" w:hAnsi="Times New Roman"/>
          <w:b w:val="0"/>
          <w:sz w:val="24"/>
        </w:rPr>
        <w:t xml:space="preserve">This project covers the following: four-channel sEMG acquisition using INA128 instrumentation amplifiers; analog signal conditioning with bandpass f</w:t>
      </w:r>
      <w:r>
        <w:rPr>
          <w:rFonts w:ascii="Times New Roman" w:hAnsi="Times New Roman"/>
          <w:b w:val="0"/>
          <w:sz w:val="24"/>
        </w:rPr>
        <w:t xml:space="preserve">iltering and notch rejection; embedded digital signal processing on the ESP32-S3 at 2 kHz per channel; time-domain feature extraction; 1D-CNN gesture classification quantized to INT8; BLE-based user calibration; and actuation of a 5-finger tendon-driven 3D</w:t>
      </w:r>
      <w:r>
        <w:rPr>
          <w:rFonts w:ascii="Times New Roman" w:hAnsi="Times New Roman"/>
          <w:b w:val="0"/>
          <w:sz w:val="24"/>
        </w:rPr>
        <w:t xml:space="preserve">-printed prosthetic hand (five SG90 servo motors for fingers, one MG996R servo motor for wrist, controlled via PCA9685) driven by classified gestures. Validation will be conducted with five test subjects using informed consent under institutional approval.</w:t>
      </w:r>
      <w:r>
        <w:rPr>
          <w:rFonts w:ascii="Times New Roman" w:hAnsi="Times New Roman"/>
          <w:b w:val="0"/>
          <w:sz w:val="24"/>
        </w:rPr>
      </w:r>
      <w:r/>
    </w:p>
    <w:p>
      <w:pPr>
        <w:pBdr/>
        <w:spacing w:after="120" w:before="0" w:line="360" w:lineRule="auto"/>
        <w:ind w:firstLine="720"/>
        <w:rPr/>
      </w:pPr>
      <w:r>
        <w:rPr>
          <w:rFonts w:ascii="Times New Roman" w:hAnsi="Times New Roman"/>
          <w:b w:val="0"/>
          <w:sz w:val="24"/>
        </w:rPr>
        <w:t xml:space="preserve">The following are explicitly outside scope: large-scale deployment or clinical trials; integration with multiple electrode types beyond Ag/AgCl surface electrodes;</w:t>
      </w:r>
      <w:r>
        <w:rPr>
          <w:rFonts w:ascii="Times New Roman" w:hAnsi="Times New Roman"/>
          <w:b w:val="0"/>
          <w:sz w:val="24"/>
        </w:rPr>
        <w:t xml:space="preserve"> frequency-domain or wavelet feature extraction; more than eight gesture classes; certification as a medical device; and use of high-density electrode arrays. The prototype is a research and rehabilitation demonstrator, not a certified clinical prosthesis.</w:t>
      </w:r>
      <w:r/>
    </w:p>
    <w:p>
      <w:pPr>
        <w:pStyle w:val="875"/>
        <w:pBdr/>
        <w:spacing/>
        <w:ind/>
        <w:rPr/>
      </w:pPr>
      <w:r/>
      <w:bookmarkStart w:id="13" w:name="_Toc13"/>
      <w:r>
        <w:t xml:space="preserve">1.5 Objectives</w:t>
      </w:r>
      <w:bookmarkEnd w:id="13"/>
      <w:r/>
      <w:r/>
    </w:p>
    <w:p>
      <w:pPr>
        <w:pStyle w:val="876"/>
        <w:pBdr/>
        <w:spacing/>
        <w:ind/>
        <w:rPr/>
      </w:pPr>
      <w:r/>
      <w:bookmarkStart w:id="14" w:name="_Toc14"/>
      <w:r>
        <w:t xml:space="preserve">1.5.1 Main Objective</w:t>
      </w:r>
      <w:bookmarkEnd w:id="14"/>
      <w:r/>
      <w:r/>
    </w:p>
    <w:p>
      <w:pPr>
        <w:pBdr/>
        <w:spacing w:after="120" w:before="0" w:line="360" w:lineRule="auto"/>
        <w:ind w:firstLine="720"/>
        <w:rPr/>
      </w:pPr>
      <w:r>
        <w:rPr>
          <w:rFonts w:ascii="Times New Roman" w:hAnsi="Times New Roman"/>
          <w:b w:val="0"/>
          <w:sz w:val="24"/>
        </w:rPr>
        <w:t xml:space="preserve">To design, implement, and validate a low-cost, four-channel surface electromyography acquisition and gesture-classification system based on an ESP32-S3 microcontroller, targeting real-time recognition of</w:t>
      </w:r>
      <w:r>
        <w:rPr>
          <w:rFonts w:ascii="Times New Roman" w:hAnsi="Times New Roman"/>
          <w:b w:val="0"/>
          <w:sz w:val="24"/>
        </w:rPr>
        <w:t xml:space="preserve"> eight hand gestures with greater than 80 percent accuracy and inference latency below 50 milliseconds, and to demonstrate the classified output through a 5-finger tendon-driven 3D-printed prosthetic hand with an electronics bill of materials below USD 20.</w:t>
      </w:r>
      <w:r>
        <w:rPr>
          <w:rFonts w:ascii="Times New Roman" w:hAnsi="Times New Roman"/>
          <w:b w:val="0"/>
          <w:sz w:val="24"/>
        </w:rPr>
      </w:r>
      <w:r/>
    </w:p>
    <w:p>
      <w:pPr>
        <w:pStyle w:val="876"/>
        <w:pBdr/>
        <w:spacing/>
        <w:ind/>
        <w:rPr/>
      </w:pPr>
      <w:r/>
      <w:bookmarkStart w:id="15" w:name="_Toc15"/>
      <w:r>
        <w:t xml:space="preserve">1.5.2 Specific Objectives</w:t>
      </w:r>
      <w:bookmarkEnd w:id="15"/>
      <w:r/>
      <w:r/>
    </w:p>
    <w:p>
      <w:pPr>
        <w:pBdr/>
        <w:spacing w:line="360" w:lineRule="auto"/>
        <w:ind w:left="720"/>
        <w:rPr/>
      </w:pPr>
      <w:r>
        <w:rPr>
          <w:rFonts w:ascii="Times New Roman" w:hAnsi="Times New Roman"/>
          <w:sz w:val="24"/>
        </w:rPr>
        <w:t xml:space="preserve">1. To</w:t>
      </w:r>
      <w:r>
        <w:rPr>
          <w:rFonts w:ascii="Times New Roman" w:hAnsi="Times New Roman"/>
          <w:sz w:val="24"/>
        </w:rPr>
        <w:t xml:space="preserve"> design a four-channel analog front-end using INA128 instrumentation amplifiers (gain = 50), Sallen-Key bandpass filtering (20--500 Hz), and a twin-T 50 Hz notch stage, targeting a signal-to-noise ratio above 20 dB and inter-channel crosstalk below -40 dB.</w:t>
      </w:r>
      <w:r/>
    </w:p>
    <w:p>
      <w:pPr>
        <w:pBdr/>
        <w:spacing w:line="360" w:lineRule="auto"/>
        <w:ind w:left="720"/>
        <w:rPr/>
      </w:pPr>
      <w:r>
        <w:rPr>
          <w:rFonts w:ascii="Times New Roman" w:hAnsi="Times New Roman"/>
          <w:sz w:val="24"/>
        </w:rPr>
        <w:t xml:space="preserve">2. To implement a real-time embedded signal processing and gesture classification pipeline </w:t>
      </w:r>
      <w:r>
        <w:rPr>
          <w:rFonts w:ascii="Times New Roman" w:hAnsi="Times New Roman"/>
          <w:sz w:val="24"/>
        </w:rPr>
        <w:t xml:space="preserve">on the ESP32-S3, including 2 kHz per channel sampling, 24-element time-domain feature extraction, and deployment of an INT8-quantized 1D-CNN (less than 100 KB) via TensorFlow Lite for Microcontrollers, achieving an offline macro F1 score of 0.85 or higher.</w:t>
      </w:r>
      <w:r/>
    </w:p>
    <w:p>
      <w:pPr>
        <w:pBdr/>
        <w:spacing w:line="360" w:lineRule="auto"/>
        <w:ind w:left="720"/>
        <w:rPr/>
      </w:pPr>
      <w:r>
        <w:rPr>
          <w:rFonts w:ascii="Times New Roman" w:hAnsi="Times New Roman"/>
          <w:sz w:val="24"/>
        </w:rPr>
        <w:t xml:space="preserve">3. To test and evaluate the complete system by integrating the classified gesture output with a PCA9685-driven 5-f</w:t>
      </w:r>
      <w:r>
        <w:rPr>
          <w:rFonts w:ascii="Times New Roman" w:hAnsi="Times New Roman"/>
          <w:sz w:val="24"/>
        </w:rPr>
        <w:t xml:space="preserve">inger tendon-driven prosthetic hand (5x SG90 finger servos + 1x MG996R wrist servo), validating end-to-end performance with five test subjects, and measuring real-time accuracy, actuation correctness, system latency, and cost against the USD 20 BOM target.</w:t>
      </w:r>
      <w:r>
        <w:rPr>
          <w:rFonts w:ascii="Times New Roman" w:hAnsi="Times New Roman"/>
          <w:sz w:val="24"/>
        </w:rPr>
      </w:r>
      <w:r/>
    </w:p>
    <w:p>
      <w:pPr>
        <w:pBdr/>
        <w:spacing/>
        <w:ind/>
        <w:rPr/>
      </w:pPr>
      <w:r>
        <w:br w:type="page" w:clear="all"/>
      </w:r>
      <w:r/>
    </w:p>
    <w:p>
      <w:pPr>
        <w:pStyle w:val="874"/>
        <w:pBdr/>
        <w:spacing/>
        <w:ind/>
        <w:rPr/>
      </w:pPr>
      <w:r/>
      <w:bookmarkStart w:id="16" w:name="_Toc16"/>
      <w:r>
        <w:t xml:space="preserve">CHAPTER TWO</w:t>
      </w:r>
      <w:bookmarkEnd w:id="16"/>
      <w:r/>
      <w:r/>
    </w:p>
    <w:p>
      <w:pPr>
        <w:pStyle w:val="874"/>
        <w:pBdr/>
        <w:spacing/>
        <w:ind/>
        <w:rPr/>
      </w:pPr>
      <w:r/>
      <w:bookmarkStart w:id="17" w:name="_Toc17"/>
      <w:r>
        <w:t xml:space="preserve">LITERATURE REVIEW</w:t>
      </w:r>
      <w:bookmarkEnd w:id="17"/>
      <w:r/>
      <w:r/>
    </w:p>
    <w:p>
      <w:pPr>
        <w:pStyle w:val="875"/>
        <w:pBdr/>
        <w:spacing/>
        <w:ind/>
        <w:rPr/>
      </w:pPr>
      <w:r/>
      <w:bookmarkStart w:id="18" w:name="_Toc18"/>
      <w:r>
        <w:t xml:space="preserve">2.1 Overview</w:t>
      </w:r>
      <w:bookmarkEnd w:id="18"/>
      <w:r/>
      <w:r/>
    </w:p>
    <w:p>
      <w:pPr>
        <w:pBdr/>
        <w:spacing w:after="120" w:before="0" w:line="360" w:lineRule="auto"/>
        <w:ind w:firstLine="720"/>
        <w:rPr/>
      </w:pPr>
      <w:r>
        <w:rPr>
          <w:rFonts w:ascii="Times New Roman" w:hAnsi="Times New Roman"/>
          <w:b w:val="0"/>
          <w:sz w:val="24"/>
        </w:rPr>
        <w:t xml:space="preserve">This chapter reviews the technical literature relevant to the proposed system. The review is organised by technical themes rather than individual papers, following </w:t>
      </w:r>
      <w:r>
        <w:rPr>
          <w:rFonts w:ascii="Times New Roman" w:hAnsi="Times New Roman"/>
          <w:b w:val="0"/>
          <w:sz w:val="24"/>
        </w:rPr>
        <w:t xml:space="preserve">the signal processing pipeline from electrode to actuator. Each theme justifies a design choice made in the methodology. The chapter concludes with a critique of existing work, identification of the research gap, and a summary of the proposed contribution.</w:t>
      </w:r>
      <w:r/>
    </w:p>
    <w:p>
      <w:pPr>
        <w:pStyle w:val="875"/>
        <w:pBdr/>
        <w:spacing/>
        <w:ind/>
        <w:rPr/>
      </w:pPr>
      <w:r/>
      <w:bookmarkStart w:id="19" w:name="_Toc19"/>
      <w:r>
        <w:t xml:space="preserve">2.2 sEMG Signal Characteristics, Electrode Placement, and Acquisition</w:t>
      </w:r>
      <w:bookmarkEnd w:id="19"/>
      <w:r/>
      <w:r/>
    </w:p>
    <w:p>
      <w:pPr>
        <w:pBdr/>
        <w:spacing w:after="120" w:before="0" w:line="360" w:lineRule="auto"/>
        <w:ind w:firstLine="720"/>
        <w:rPr/>
      </w:pPr>
      <w:r>
        <w:rPr>
          <w:rFonts w:ascii="Times New Roman" w:hAnsi="Times New Roman"/>
          <w:b w:val="0"/>
          <w:sz w:val="24"/>
        </w:rPr>
        <w:t xml:space="preserve">Surface electromyography captures the superposition of motor-unit action potentials through electrodes placed on the skin surface above target muscles. The signal amplitude ranges from 50 </w:t>
      </w:r>
      <w:r>
        <w:rPr>
          <w:rFonts w:ascii="Times New Roman" w:hAnsi="Times New Roman"/>
          <w:b w:val="0"/>
          <w:sz w:val="24"/>
        </w:rPr>
        <w:t xml:space="preserve">microvolts to 5 millivolts with useful frequency content concentrated between 20 Hz and 500 Hz. Practical measurements are contaminated by 50 Hz power-line interference, motion artefacts below 20 Hz, and electrode-skin impedance variations [6]. For forearm</w:t>
      </w:r>
      <w:r>
        <w:rPr>
          <w:rFonts w:ascii="Times New Roman" w:hAnsi="Times New Roman"/>
          <w:b w:val="0"/>
          <w:sz w:val="24"/>
        </w:rPr>
        <w:t xml:space="preserve">-based gesture recognition, differential electrode placement over the flexor carpi radialis, extensor digitorum, flexor digitorum superficialis, and brachioradialis provides spatial diversity across the primary muscle groups involved in hand movements [7].</w:t>
      </w:r>
      <w:r/>
    </w:p>
    <w:p>
      <w:pPr>
        <w:pStyle w:val="875"/>
        <w:pBdr/>
        <w:spacing/>
        <w:ind/>
        <w:rPr/>
      </w:pPr>
      <w:r/>
      <w:bookmarkStart w:id="20" w:name="_Toc20"/>
      <w:r>
        <w:t xml:space="preserve">2.3 Analog Front-End Design: Amplification, Filtering, and Noise Reduction</w:t>
      </w:r>
      <w:bookmarkEnd w:id="20"/>
      <w:r/>
      <w:r/>
    </w:p>
    <w:p>
      <w:pPr>
        <w:pBdr/>
        <w:spacing w:after="120" w:before="0" w:line="360" w:lineRule="auto"/>
        <w:ind w:firstLine="720"/>
        <w:rPr/>
      </w:pPr>
      <w:r>
        <w:rPr>
          <w:rFonts w:ascii="Times New Roman" w:hAnsi="Times New Roman"/>
          <w:b w:val="0"/>
          <w:sz w:val="24"/>
        </w:rPr>
        <w:t xml:space="preserve">The analog front-end conditions the raw sEMG signal for digital acquisition. Instrumentation amplifiers such as the INA128 provide high common-mode rejection ratio (CMRR &gt; 120 dB) and low input bias current, making them suitable for differential biopotenti</w:t>
      </w:r>
      <w:r>
        <w:rPr>
          <w:rFonts w:ascii="Times New Roman" w:hAnsi="Times New Roman"/>
          <w:b w:val="0"/>
          <w:sz w:val="24"/>
        </w:rPr>
        <w:t xml:space="preserve">al measurement. A critical design consideration is gain distribution: concentrating gain at the instrumentation amplifier (e.g., gain = 500) causes saturation from electrode DC offset (approximately 300 mV multiplied by 500 yields 150 V, exceeding supply r</w:t>
      </w:r>
      <w:r>
        <w:rPr>
          <w:rFonts w:ascii="Times New Roman" w:hAnsi="Times New Roman"/>
          <w:b w:val="0"/>
          <w:sz w:val="24"/>
        </w:rPr>
        <w:t xml:space="preserve">ails). The correct approach uses moderate first-stage gain (gain = 50) at the instrumentation amplifier, followed by a high-pass filter to remove DC offset, and then a variable post-filter gain stage (4x to 10x) for a total system gain of 200x to 500x [6].</w:t>
      </w:r>
      <w:r/>
    </w:p>
    <w:p>
      <w:pPr>
        <w:pBdr/>
        <w:spacing w:after="120" w:before="0" w:line="360" w:lineRule="auto"/>
        <w:ind w:firstLine="720"/>
        <w:rPr/>
      </w:pPr>
      <w:r>
        <w:rPr>
          <w:rFonts w:ascii="Times New Roman" w:hAnsi="Times New Roman"/>
          <w:b w:val="0"/>
          <w:sz w:val="24"/>
        </w:rPr>
        <w:t xml:space="preserve">Bandpass filtering (20--500 Hz) is implemented using Sallen-Key second-order active filter topology, which provides unity passband gain with minimal component count. A twin-T passive notch filter at 50 Hz rejects power-li</w:t>
      </w:r>
      <w:r>
        <w:rPr>
          <w:rFonts w:ascii="Times New Roman" w:hAnsi="Times New Roman"/>
          <w:b w:val="0"/>
          <w:sz w:val="24"/>
        </w:rPr>
        <w:t xml:space="preserve">ne interference with target rejection exceeding 30 dB. For single-supply operation (1.8--6 V), rail-to-rail op-amps such as the MCP6002 (1 MHz GBW) are preferred over dual-supply alternatives such as the TL072 (which requires minimum plus/minus 3.5 V) [6].</w:t>
      </w:r>
      <w:r/>
    </w:p>
    <w:p>
      <w:pPr>
        <w:pStyle w:val="875"/>
        <w:pBdr/>
        <w:spacing/>
        <w:ind/>
        <w:rPr/>
      </w:pPr>
      <w:r/>
      <w:bookmarkStart w:id="21" w:name="_Toc21"/>
      <w:r>
        <w:t xml:space="preserve">2.4 Signal Segmentation, Feature Extraction, and Preprocessing</w:t>
      </w:r>
      <w:bookmarkEnd w:id="21"/>
      <w:r/>
      <w:r/>
    </w:p>
    <w:p>
      <w:pPr>
        <w:pBdr/>
        <w:spacing w:after="120" w:before="0" w:line="360" w:lineRule="auto"/>
        <w:ind w:firstLine="720"/>
        <w:rPr/>
      </w:pPr>
      <w:r>
        <w:rPr>
          <w:rFonts w:ascii="Times New Roman" w:hAnsi="Times New Roman"/>
          <w:b w:val="0"/>
          <w:sz w:val="24"/>
        </w:rPr>
        <w:t xml:space="preserve">After digitisation, the continuous sEMG stream is segmented into overlapping analysis windows. A 250 ms window with 50 ms step (80 percent overlap) is the widely acce</w:t>
      </w:r>
      <w:r>
        <w:rPr>
          <w:rFonts w:ascii="Times New Roman" w:hAnsi="Times New Roman"/>
          <w:b w:val="0"/>
          <w:sz w:val="24"/>
        </w:rPr>
        <w:t xml:space="preserve">pted standard, balancing classification accuracy against response latency [6]. From each window, time-domain features are computed: Mean Absolute Value (MAV), Root Mean Square (RMS), Waveform Length (WL), Zero Crossings (ZC), Slope Sign Changes (SSC), and </w:t>
      </w:r>
      <w:r>
        <w:rPr>
          <w:rFonts w:ascii="Times New Roman" w:hAnsi="Times New Roman"/>
          <w:b w:val="0"/>
          <w:sz w:val="24"/>
        </w:rPr>
        <w:t xml:space="preserve">Variance. Literature consensus confirms that these six time-domain features compete with frequency-domain and deep-learning features for six to eight gesture classification tasks, while adding negligible computational overhead on microcontrollers [6], [7].</w:t>
      </w:r>
      <w:r/>
    </w:p>
    <w:p>
      <w:pPr>
        <w:pStyle w:val="875"/>
        <w:pBdr/>
        <w:spacing/>
        <w:ind/>
        <w:rPr/>
      </w:pPr>
      <w:r/>
      <w:bookmarkStart w:id="22" w:name="_Toc22"/>
      <w:r>
        <w:t xml:space="preserve">2.5 Machine-Learning Methods for sEMG Gesture Classification</w:t>
      </w:r>
      <w:bookmarkEnd w:id="22"/>
      <w:r/>
      <w:r/>
    </w:p>
    <w:p>
      <w:pPr>
        <w:pBdr/>
        <w:spacing w:after="120" w:before="0" w:line="360" w:lineRule="auto"/>
        <w:ind w:firstLine="720"/>
        <w:rPr/>
      </w:pPr>
      <w:r>
        <w:rPr>
          <w:rFonts w:ascii="Times New Roman" w:hAnsi="Times New Roman"/>
          <w:b w:val="0"/>
          <w:sz w:val="24"/>
        </w:rPr>
        <w:t xml:space="preserve">Salgado et al. [1] demonstrated single-channel sEMG hand gesture classification on an ESP32 microcontroller, classifying four gestures with 92 p</w:t>
      </w:r>
      <w:r>
        <w:rPr>
          <w:rFonts w:ascii="Times New Roman" w:hAnsi="Times New Roman"/>
          <w:b w:val="0"/>
          <w:sz w:val="24"/>
        </w:rPr>
        <w:t xml:space="preserve">ercent accuracy and inference latency under 10 ms. Their work validates that the ESP32 ADC is adequate for sEMG acquisition when properly conditioned, but the single channel severely limits the number of distinguishable gestures. Mekruksavanich et al. [2] </w:t>
      </w:r>
      <w:r>
        <w:rPr>
          <w:rFonts w:ascii="Times New Roman" w:hAnsi="Times New Roman"/>
          <w:b w:val="0"/>
          <w:sz w:val="24"/>
        </w:rPr>
        <w:t xml:space="preserve">proposed a deep residual network with channel attention achieving 97 percent accuracy on NinaPro DB5, but the model requires desktop GPU inference with no embedded deployment path. CNN-based classifiers consistently outperform traditional methods (LDA, SVM</w:t>
      </w:r>
      <w:r>
        <w:rPr>
          <w:rFonts w:ascii="Times New Roman" w:hAnsi="Times New Roman"/>
          <w:b w:val="0"/>
          <w:sz w:val="24"/>
        </w:rPr>
        <w:t xml:space="preserve">, Random Forest) when gesture count exceeds four classes [6]. However, the computational cost of deep networks must be managed through model compression: INT8 quantisation reduces model size by 4x and accelerates inference on integer-only microcontrollers.</w:t>
      </w:r>
      <w:r/>
    </w:p>
    <w:p>
      <w:pPr>
        <w:pStyle w:val="875"/>
        <w:pBdr/>
        <w:spacing/>
        <w:ind/>
        <w:rPr/>
      </w:pPr>
      <w:r/>
      <w:bookmarkStart w:id="23" w:name="_Toc23"/>
      <w:r>
        <w:t xml:space="preserve">2.6 Embedded and TinyML Deployment</w:t>
      </w:r>
      <w:bookmarkEnd w:id="23"/>
      <w:r/>
      <w:r/>
    </w:p>
    <w:p>
      <w:pPr>
        <w:pBdr/>
        <w:spacing w:after="120" w:before="0" w:line="360" w:lineRule="auto"/>
        <w:ind w:firstLine="720"/>
        <w:rPr/>
      </w:pPr>
      <w:r>
        <w:rPr>
          <w:rFonts w:ascii="Times New Roman" w:hAnsi="Times New Roman"/>
          <w:b w:val="0"/>
          <w:sz w:val="24"/>
        </w:rPr>
        <w:t xml:space="preserve">TensorFlow Lite for Microcontrollers enables deployment of quantized neural networks on devic</w:t>
      </w:r>
      <w:r>
        <w:rPr>
          <w:rFonts w:ascii="Times New Roman" w:hAnsi="Times New Roman"/>
          <w:b w:val="0"/>
          <w:sz w:val="24"/>
        </w:rPr>
        <w:t xml:space="preserve">es with as little as 256 KB of flash and 64 KB of SRAM. The ESP32-S3 provides 512 KB SRAM and 8 MB of PSRAM, with hardware support for 8-bit integer operations. Salgado et al. [1] demonstrated that an ESP32 can perform sEMG inference within 10 ms, leaving </w:t>
      </w:r>
      <w:r>
        <w:rPr>
          <w:rFonts w:ascii="Times New Roman" w:hAnsi="Times New Roman"/>
          <w:b w:val="0"/>
          <w:sz w:val="24"/>
        </w:rPr>
        <w:t xml:space="preserve">substantial margin for the proposed 50 ms end-to-end latency target. The 1D-CNN architecture is selected because it operates on the extracted feature sequence (24 elements per window), not on raw time series, keeping model input compact and inference fast.</w:t>
      </w:r>
      <w:r/>
    </w:p>
    <w:p>
      <w:pPr>
        <w:pStyle w:val="875"/>
        <w:pBdr/>
        <w:spacing/>
        <w:ind/>
        <w:rPr/>
      </w:pPr>
      <w:r/>
      <w:bookmarkStart w:id="24" w:name="_Toc24"/>
      <w:r>
        <w:t xml:space="preserve">2.7 User Calibration and Personalisation</w:t>
      </w:r>
      <w:bookmarkEnd w:id="24"/>
      <w:r/>
      <w:r/>
    </w:p>
    <w:p>
      <w:pPr>
        <w:pBdr/>
        <w:spacing w:after="120" w:before="0" w:line="360" w:lineRule="auto"/>
        <w:ind w:firstLine="720"/>
        <w:rPr/>
      </w:pPr>
      <w:r>
        <w:rPr>
          <w:rFonts w:ascii="Times New Roman" w:hAnsi="Times New Roman"/>
          <w:b w:val="0"/>
          <w:sz w:val="24"/>
        </w:rPr>
        <w:t xml:space="preserve">sEMG signals vary substantially across users due to differences in muscle mass, subcutaneous fat, electr</w:t>
      </w:r>
      <w:r>
        <w:rPr>
          <w:rFonts w:ascii="Times New Roman" w:hAnsi="Times New Roman"/>
          <w:b w:val="0"/>
          <w:sz w:val="24"/>
        </w:rPr>
        <w:t xml:space="preserve">ode placement, and skin impedance. Lee et al. [3] addressed cross-user variability through federated prototype learning, achieving personalisation with approximately two minutes of calibration data per new user. A key finding is that fine-tuning only the l</w:t>
      </w:r>
      <w:r>
        <w:rPr>
          <w:rFonts w:ascii="Times New Roman" w:hAnsi="Times New Roman"/>
          <w:b w:val="0"/>
          <w:sz w:val="24"/>
        </w:rPr>
        <w:t xml:space="preserve">ast classification layer via transfer learning is sufficient for user adaptation, which is the approach adopted in this project. The BLE calibration protocol guides the user through eight gestures with three repetitions each in approximately three minutes.</w:t>
      </w:r>
      <w:r/>
    </w:p>
    <w:p>
      <w:pPr>
        <w:pStyle w:val="875"/>
        <w:pBdr/>
        <w:spacing/>
        <w:ind/>
        <w:rPr/>
      </w:pPr>
      <w:r/>
      <w:bookmarkStart w:id="25" w:name="_Toc25"/>
      <w:r>
        <w:t xml:space="preserve">2.8 Prosthetic Actuation and Control Interfaces</w:t>
      </w:r>
      <w:bookmarkEnd w:id="25"/>
      <w:r/>
      <w:r/>
    </w:p>
    <w:p>
      <w:pPr>
        <w:pBdr/>
        <w:spacing w:after="120" w:before="0" w:line="360" w:lineRule="auto"/>
        <w:ind w:firstLine="720"/>
        <w:rPr>
          <w:rFonts w:ascii="Times New Roman" w:hAnsi="Times New Roman"/>
          <w:b w:val="0"/>
          <w:bCs w:val="0"/>
          <w:sz w:val="24"/>
          <w:szCs w:val="24"/>
          <w:highlight w:val="none"/>
        </w:rPr>
      </w:pPr>
      <w:r>
        <w:rPr>
          <w:rFonts w:ascii="Times New Roman" w:hAnsi="Times New Roman"/>
          <w:b w:val="0"/>
          <w:sz w:val="24"/>
        </w:rPr>
        <w:t xml:space="preserve">Furtado</w:t>
      </w:r>
      <w:r>
        <w:rPr>
          <w:rFonts w:ascii="Times New Roman" w:hAnsi="Times New Roman"/>
          <w:b w:val="0"/>
          <w:sz w:val="24"/>
        </w:rPr>
        <w:t xml:space="preserve"> et al. [5] presented a modular low-cost myoelectric prosthetic hand using 2 to 3 degrees of freedom, finding that mechanical simplicity is sufficient for 80 percent of activities of daily living. Molinari et al. [4] demonstrated real-time prosthetic contr</w:t>
      </w:r>
      <w:r>
        <w:rPr>
          <w:rFonts w:ascii="Times New Roman" w:hAnsi="Times New Roman"/>
          <w:b w:val="0"/>
          <w:sz w:val="24"/>
        </w:rPr>
        <w:t xml:space="preserve">ol with 64 channels but required a custom ASIC and FPGA with electronics costs exceeding USD 500. For the proposed system, a PCA9685 I2C PWM driver controls six servo motors -- five SG90 motors actuating individual finger tendons and one MG996R motor for w</w:t>
      </w:r>
      <w:r>
        <w:rPr>
          <w:rFonts w:ascii="Times New Roman" w:hAnsi="Times New Roman"/>
          <w:b w:val="0"/>
          <w:sz w:val="24"/>
        </w:rPr>
        <w:t xml:space="preserve">rist rotation -- on a 5-finger tendon-driven 3D-printed prosthetic hand. Gesture predictions are not sent directly to motors; confidence threshold, temporal debounce, and command hold time reduce unintended transitions from transient classification errors.</w:t>
      </w:r>
      <w:r>
        <w:rPr>
          <w:rFonts w:ascii="Times New Roman" w:hAnsi="Times New Roman"/>
          <w:b w:val="0"/>
          <w:sz w:val="24"/>
        </w:rPr>
      </w:r>
      <w:r/>
    </w:p>
    <w:p w14:paraId="075BF6D2">
      <w:pPr>
        <w:pBdr/>
        <w:spacing w:after="120" w:before="0" w:line="360" w:lineRule="auto"/>
        <w:ind w:firstLine="720"/>
        <w:rPr/>
      </w:pPr>
      <w:r>
        <w:rPr>
          <w:rFonts w:ascii="Times New Roman" w:hAnsi="Times New Roman"/>
          <w:b w:val="0"/>
          <w:sz w:val="24"/>
          <w:highlight w:val="none"/>
        </w:rPr>
      </w:r>
      <w:r>
        <w:rPr>
          <w:rFonts w:ascii="Times New Roman" w:hAnsi="Times New Roman"/>
          <w:b w:val="0"/>
          <w:sz w:val="24"/>
          <w:highlight w:val="none"/>
        </w:rPr>
      </w:r>
      <w:r>
        <w:rPr>
          <w:rFonts w:ascii="Times New Roman" w:hAnsi="Times New Roman"/>
          <w:b w:val="0"/>
          <w:sz w:val="24"/>
          <w:highlight w:val="none"/>
        </w:rPr>
      </w:r>
    </w:p>
    <w:p>
      <w:pPr>
        <w:pStyle w:val="875"/>
        <w:pBdr/>
        <w:spacing/>
        <w:ind/>
        <w:rPr/>
      </w:pPr>
      <w:r/>
      <w:bookmarkStart w:id="26" w:name="_Toc26"/>
      <w:r>
        <w:t xml:space="preserve">2.9 Cost and Accessibility of Existing Implementations</w:t>
      </w:r>
      <w:bookmarkEnd w:id="26"/>
      <w:r/>
      <w:r/>
    </w:p>
    <w:p>
      <w:pPr>
        <w:pBdr/>
        <w:spacing w:after="120" w:before="0" w:line="360" w:lineRule="auto"/>
        <w:ind w:firstLine="720"/>
        <w:rPr/>
      </w:pPr>
      <w:r>
        <w:rPr>
          <w:rFonts w:ascii="Times New Roman" w:hAnsi="Times New Roman"/>
          <w:b w:val="0"/>
          <w:sz w:val="24"/>
        </w:rPr>
        <w:t xml:space="preserve">Cost reporting in the literature is inconsistent: many systems claim "low-cost" w</w:t>
      </w:r>
      <w:r>
        <w:rPr>
          <w:rFonts w:ascii="Times New Roman" w:hAnsi="Times New Roman"/>
          <w:b w:val="0"/>
          <w:sz w:val="24"/>
        </w:rPr>
        <w:t xml:space="preserve">ithout specifying what is included or excluded. This project defines three cost tiers to ensure transparency: Tier A (electronics BOM: ICs, passives, connectors), Tier B (prototype BOM: Tier A plus PCB fabrication, 3D printing, batteries, servos), and Tier</w:t>
      </w:r>
      <w:r>
        <w:rPr>
          <w:rFonts w:ascii="Times New Roman" w:hAnsi="Times New Roman"/>
          <w:b w:val="0"/>
          <w:sz w:val="24"/>
        </w:rPr>
        <w:t xml:space="preserve"> C (volume estimate at 100-plus units). The USD 20 target for Tier A will be compared against the electronics costs of Molinari et al. (more than USD 500), Furtado et al. ("low-cost" without quantification), and commercial systems (USD 3,000 to USD 8,000).</w:t>
      </w:r>
      <w:r/>
    </w:p>
    <w:p>
      <w:pPr>
        <w:pStyle w:val="875"/>
        <w:pBdr/>
        <w:spacing/>
        <w:ind/>
        <w:rPr/>
      </w:pPr>
      <w:r/>
      <w:bookmarkStart w:id="27" w:name="_Toc27"/>
      <w:r>
        <w:t xml:space="preserve">2.10 Critique of Existing Literature</w:t>
      </w:r>
      <w:bookmarkEnd w:id="27"/>
      <w:r/>
      <w:r/>
    </w:p>
    <w:p>
      <w:pPr>
        <w:pBdr/>
        <w:spacing w:after="120" w:before="0" w:line="360" w:lineRule="auto"/>
        <w:ind w:firstLine="720"/>
        <w:rPr/>
      </w:pPr>
      <w:r>
        <w:rPr>
          <w:rFonts w:ascii="Times New Roman" w:hAnsi="Times New Roman"/>
          <w:b w:val="0"/>
          <w:sz w:val="24"/>
        </w:rPr>
        <w:t xml:space="preserve">The reviewed studies address important components of the myoelectric control problem but reveal critical gaps when evaluated against the requirements of a complet</w:t>
      </w:r>
      <w:r>
        <w:rPr>
          <w:rFonts w:ascii="Times New Roman" w:hAnsi="Times New Roman"/>
          <w:b w:val="0"/>
          <w:sz w:val="24"/>
        </w:rPr>
        <w:t xml:space="preserve">e, low-cost, standalone system. Salgado et al. [1] prove ESP32-based inference is feasible but are limited to a single channel and four gestures with no prosthetic integration. Mekruksavanich et al. [2] achieve high classification accuracy but their model </w:t>
      </w:r>
      <w:r>
        <w:rPr>
          <w:rFonts w:ascii="Times New Roman" w:hAnsi="Times New Roman"/>
          <w:b w:val="0"/>
          <w:sz w:val="24"/>
        </w:rPr>
        <w:t xml:space="preserve">requires desktop GPU inference, making it impractical for wearable deployment. Lee et al. [3] address the important problem of cross-user personalisation but do not demonstrate hardware integration or cost analysis. Molinari et al. [4] provide a complete w</w:t>
      </w:r>
      <w:r>
        <w:rPr>
          <w:rFonts w:ascii="Times New Roman" w:hAnsi="Times New Roman"/>
          <w:b w:val="0"/>
          <w:sz w:val="24"/>
        </w:rPr>
        <w:t xml:space="preserve">earable platform with real-time prosthetic control but at an electronics cost exceeding USD 500 using custom ASICs. Furtado et al. [5] demonstrate mechanical integration at claimed low cost but do not report specific BOM figures or on-device ML deployment.</w:t>
      </w:r>
      <w:r/>
    </w:p>
    <w:p>
      <w:pPr>
        <w:pBdr/>
        <w:spacing w:after="120" w:before="0" w:line="360" w:lineRule="auto"/>
        <w:ind w:firstLine="720"/>
        <w:rPr/>
      </w:pPr>
      <w:r>
        <w:rPr>
          <w:rFonts w:ascii="Times New Roman" w:hAnsi="Times New Roman"/>
          <w:b w:val="0"/>
          <w:sz w:val="24"/>
        </w:rPr>
        <w:t xml:space="preserve">Systematic reviews by Prakash et al. [6] and Abdikenov et al. [7] confirm consensus findings: four to eight channel</w:t>
      </w:r>
      <w:r>
        <w:rPr>
          <w:rFonts w:ascii="Times New Roman" w:hAnsi="Times New Roman"/>
          <w:b w:val="0"/>
          <w:sz w:val="24"/>
        </w:rPr>
        <w:t xml:space="preserve">s is optimal for six to eight gesture classification; time-domain features remain competitive with deep-learning features at this gesture count; 250 ms is the accepted analysis window; and CNN-based classifiers outperform SVM and LDA beyond four classes. H</w:t>
      </w:r>
      <w:r>
        <w:rPr>
          <w:rFonts w:ascii="Times New Roman" w:hAnsi="Times New Roman"/>
          <w:b w:val="0"/>
          <w:sz w:val="24"/>
        </w:rPr>
        <w:t xml:space="preserve">owever, no reviewed system integrates all four critical capabilities -- multichannel acquisition, on-device CNN classification, user personalisation, and prosthetic actuation -- at a component cost below USD 20. Emerging approaches include transformer-base</w:t>
      </w:r>
      <w:r>
        <w:rPr>
          <w:rFonts w:ascii="Times New Roman" w:hAnsi="Times New Roman"/>
          <w:b w:val="0"/>
          <w:sz w:val="24"/>
        </w:rPr>
        <w:t xml:space="preserve">d multimodal sEMG recognition [8] and finger position prediction for amputee-centric interaction [9]; however, both are available only as preprints or early publications without embedded deployment paths, and neither addresses cost as a primary constraint.</w:t>
      </w:r>
      <w:r>
        <w:rPr>
          <w:rFonts w:ascii="Times New Roman" w:hAnsi="Times New Roman"/>
          <w:b w:val="0"/>
          <w:sz w:val="24"/>
        </w:rPr>
      </w:r>
      <w:r/>
    </w:p>
    <w:p>
      <w:pPr>
        <w:pBdr/>
        <w:spacing w:after="120" w:before="240" w:line="360" w:lineRule="auto"/>
        <w:ind/>
        <w:rPr/>
      </w:pPr>
      <w:r>
        <w:rPr>
          <w:rFonts w:ascii="Times New Roman" w:hAnsi="Times New Roman"/>
          <w:b/>
          <w:sz w:val="24"/>
        </w:rPr>
        <w:t xml:space="preserve">Table 1: Comparison of Existing sEMG Systems and the Proposed Project</w:t>
      </w:r>
      <w:r/>
    </w:p>
    <w:tbl>
      <w:tblPr>
        <w:tblStyle w:val="934"/>
        <w:jc w:val="center"/>
        <w:tblW w:w="0" w:type="auto"/>
        <w:tblBorders/>
        <w:tblLook w:val="04A0" w:firstRow="1" w:lastRow="0" w:firstColumn="1" w:lastColumn="0" w:noHBand="0" w:noVBand="1"/>
      </w:tblPr>
      <w:tblGrid>
        <w:gridCol w:w="1134"/>
        <w:gridCol w:w="1134"/>
        <w:gridCol w:w="1134"/>
        <w:gridCol w:w="1134"/>
        <w:gridCol w:w="1134"/>
        <w:gridCol w:w="1134"/>
        <w:gridCol w:w="1134"/>
        <w:gridCol w:w="1134"/>
        <w:gridCol w:w="1134"/>
      </w:tblGrid>
      <w:tr>
        <w:trPr/>
        <w:tc>
          <w:tcPr>
            <w:tcBorders/>
          </w:tcPr>
          <w:p>
            <w:pPr>
              <w:pBdr/>
              <w:spacing/>
              <w:ind/>
              <w:rPr/>
            </w:pPr>
            <w:r>
              <w:rPr>
                <w:b/>
              </w:rPr>
              <w:t xml:space="preserve">Study</w:t>
            </w:r>
            <w:r/>
          </w:p>
        </w:tc>
        <w:tc>
          <w:tcPr>
            <w:tcBorders/>
          </w:tcPr>
          <w:p>
            <w:pPr>
              <w:pBdr/>
              <w:spacing/>
              <w:ind/>
              <w:rPr/>
            </w:pPr>
            <w:r>
              <w:rPr>
                <w:b/>
              </w:rPr>
              <w:t xml:space="preserve">Channels</w:t>
            </w:r>
            <w:r/>
          </w:p>
        </w:tc>
        <w:tc>
          <w:tcPr>
            <w:tcBorders/>
          </w:tcPr>
          <w:p>
            <w:pPr>
              <w:pBdr/>
              <w:spacing/>
              <w:ind/>
              <w:rPr/>
            </w:pPr>
            <w:r>
              <w:rPr>
                <w:b/>
              </w:rPr>
              <w:t xml:space="preserve">Acquisition Hardware</w:t>
            </w:r>
            <w:r/>
          </w:p>
        </w:tc>
        <w:tc>
          <w:tcPr>
            <w:tcBorders/>
          </w:tcPr>
          <w:p>
            <w:pPr>
              <w:pBdr/>
              <w:spacing/>
              <w:ind/>
              <w:rPr/>
            </w:pPr>
            <w:r>
              <w:rPr>
                <w:b/>
              </w:rPr>
              <w:t xml:space="preserve">Model Type</w:t>
            </w:r>
            <w:r/>
          </w:p>
        </w:tc>
        <w:tc>
          <w:tcPr>
            <w:tcBorders/>
          </w:tcPr>
          <w:p>
            <w:pPr>
              <w:pBdr/>
              <w:spacing/>
              <w:ind/>
              <w:rPr/>
            </w:pPr>
            <w:r>
              <w:rPr>
                <w:b/>
              </w:rPr>
              <w:t xml:space="preserve">On-Device Inference</w:t>
            </w:r>
            <w:r/>
          </w:p>
        </w:tc>
        <w:tc>
          <w:tcPr>
            <w:tcBorders/>
          </w:tcPr>
          <w:p>
            <w:pPr>
              <w:pBdr/>
              <w:spacing/>
              <w:ind/>
              <w:rPr/>
            </w:pPr>
            <w:r>
              <w:rPr>
                <w:b/>
              </w:rPr>
              <w:t xml:space="preserve">Gesture Classes</w:t>
            </w:r>
            <w:r/>
          </w:p>
        </w:tc>
        <w:tc>
          <w:tcPr>
            <w:tcBorders/>
          </w:tcPr>
          <w:p>
            <w:pPr>
              <w:pBdr/>
              <w:spacing/>
              <w:ind/>
              <w:rPr/>
            </w:pPr>
            <w:r>
              <w:rPr>
                <w:b/>
              </w:rPr>
              <w:t xml:space="preserve">Accuracy / F1</w:t>
            </w:r>
            <w:r/>
          </w:p>
        </w:tc>
        <w:tc>
          <w:tcPr>
            <w:tcBorders/>
          </w:tcPr>
          <w:p>
            <w:pPr>
              <w:pBdr/>
              <w:spacing/>
              <w:ind/>
              <w:rPr/>
            </w:pPr>
            <w:r>
              <w:rPr>
                <w:b/>
              </w:rPr>
              <w:t xml:space="preserve">Prosthetic Integration</w:t>
            </w:r>
            <w:r/>
          </w:p>
        </w:tc>
        <w:tc>
          <w:tcPr>
            <w:tcBorders/>
          </w:tcPr>
          <w:p>
            <w:pPr>
              <w:pBdr/>
              <w:spacing/>
              <w:ind/>
              <w:rPr/>
            </w:pPr>
            <w:r>
              <w:rPr>
                <w:b/>
              </w:rPr>
              <w:t xml:space="preserve">Reported Cost (Electronics)</w:t>
            </w:r>
            <w:r/>
          </w:p>
        </w:tc>
      </w:tr>
      <w:tr>
        <w:trPr/>
        <w:tc>
          <w:tcPr>
            <w:tcBorders/>
          </w:tcPr>
          <w:p>
            <w:pPr>
              <w:pBdr/>
              <w:spacing/>
              <w:ind/>
              <w:rPr/>
            </w:pPr>
            <w:r>
              <w:t xml:space="preserve">Salgado et al. [1]</w:t>
            </w:r>
            <w:r/>
          </w:p>
        </w:tc>
        <w:tc>
          <w:tcPr>
            <w:tcBorders/>
          </w:tcPr>
          <w:p>
            <w:pPr>
              <w:pBdr/>
              <w:spacing/>
              <w:ind/>
              <w:rPr/>
            </w:pPr>
            <w:r>
              <w:t xml:space="preserve">1</w:t>
            </w:r>
            <w:r/>
          </w:p>
        </w:tc>
        <w:tc>
          <w:tcPr>
            <w:tcBorders/>
          </w:tcPr>
          <w:p>
            <w:pPr>
              <w:pBdr/>
              <w:spacing/>
              <w:ind/>
              <w:rPr/>
            </w:pPr>
            <w:r>
              <w:t xml:space="preserve">ESP32 ADC (direct)</w:t>
            </w:r>
            <w:r/>
          </w:p>
        </w:tc>
        <w:tc>
          <w:tcPr>
            <w:tcBorders/>
          </w:tcPr>
          <w:p>
            <w:pPr>
              <w:pBdr/>
              <w:spacing/>
              <w:ind/>
              <w:rPr/>
            </w:pPr>
            <w:r>
              <w:t xml:space="preserve">ANN</w:t>
            </w:r>
            <w:r/>
          </w:p>
        </w:tc>
        <w:tc>
          <w:tcPr>
            <w:tcBorders/>
          </w:tcPr>
          <w:p>
            <w:pPr>
              <w:pBdr/>
              <w:spacing/>
              <w:ind/>
              <w:rPr/>
            </w:pPr>
            <w:r>
              <w:t xml:space="preserve">Yes (ESP32)</w:t>
            </w:r>
            <w:r/>
          </w:p>
        </w:tc>
        <w:tc>
          <w:tcPr>
            <w:tcBorders/>
          </w:tcPr>
          <w:p>
            <w:pPr>
              <w:pBdr/>
              <w:spacing/>
              <w:ind/>
              <w:rPr/>
            </w:pPr>
            <w:r>
              <w:t xml:space="preserve">4</w:t>
            </w:r>
            <w:r/>
          </w:p>
        </w:tc>
        <w:tc>
          <w:tcPr>
            <w:tcBorders/>
          </w:tcPr>
          <w:p>
            <w:pPr>
              <w:pBdr/>
              <w:spacing/>
              <w:ind/>
              <w:rPr/>
            </w:pPr>
            <w:r>
              <w:t xml:space="preserve">92%</w:t>
            </w:r>
            <w:r/>
          </w:p>
        </w:tc>
        <w:tc>
          <w:tcPr>
            <w:tcBorders/>
          </w:tcPr>
          <w:p>
            <w:pPr>
              <w:pBdr/>
              <w:spacing/>
              <w:ind/>
              <w:rPr/>
            </w:pPr>
            <w:r>
              <w:t xml:space="preserve">No</w:t>
            </w:r>
            <w:r/>
          </w:p>
        </w:tc>
        <w:tc>
          <w:tcPr>
            <w:tcBorders/>
          </w:tcPr>
          <w:p>
            <w:pPr>
              <w:pBdr/>
              <w:spacing/>
              <w:ind/>
              <w:rPr/>
            </w:pPr>
            <w:r>
              <w:t xml:space="preserve">Not reported</w:t>
            </w:r>
            <w:r/>
          </w:p>
        </w:tc>
      </w:tr>
      <w:tr>
        <w:trPr/>
        <w:tc>
          <w:tcPr>
            <w:tcBorders/>
          </w:tcPr>
          <w:p>
            <w:pPr>
              <w:pBdr/>
              <w:spacing/>
              <w:ind/>
              <w:rPr/>
            </w:pPr>
            <w:r>
              <w:t xml:space="preserve">Mekruksavanich et al. [2]</w:t>
            </w:r>
            <w:r/>
          </w:p>
        </w:tc>
        <w:tc>
          <w:tcPr>
            <w:tcBorders/>
          </w:tcPr>
          <w:p>
            <w:pPr>
              <w:pBdr/>
              <w:spacing/>
              <w:ind/>
              <w:rPr/>
            </w:pPr>
            <w:r>
              <w:t xml:space="preserve">16</w:t>
            </w:r>
            <w:r/>
          </w:p>
        </w:tc>
        <w:tc>
          <w:tcPr>
            <w:tcBorders/>
          </w:tcPr>
          <w:p>
            <w:pPr>
              <w:pBdr/>
              <w:spacing/>
              <w:ind/>
              <w:rPr/>
            </w:pPr>
            <w:r>
              <w:t xml:space="preserve">Myo Armband</w:t>
            </w:r>
            <w:r/>
          </w:p>
        </w:tc>
        <w:tc>
          <w:tcPr>
            <w:tcBorders/>
          </w:tcPr>
          <w:p>
            <w:pPr>
              <w:pBdr/>
              <w:spacing/>
              <w:ind/>
              <w:rPr/>
            </w:pPr>
            <w:r>
              <w:t xml:space="preserve">CNN-ResBiGRU-SE</w:t>
            </w:r>
            <w:r/>
          </w:p>
        </w:tc>
        <w:tc>
          <w:tcPr>
            <w:tcBorders/>
          </w:tcPr>
          <w:p>
            <w:pPr>
              <w:pBdr/>
              <w:spacing/>
              <w:ind/>
              <w:rPr/>
            </w:pPr>
            <w:r>
              <w:t xml:space="preserve">No (GPU/desktop)</w:t>
            </w:r>
            <w:r/>
          </w:p>
        </w:tc>
        <w:tc>
          <w:tcPr>
            <w:tcBorders/>
          </w:tcPr>
          <w:p>
            <w:pPr>
              <w:pBdr/>
              <w:spacing/>
              <w:ind/>
              <w:rPr/>
            </w:pPr>
            <w:r>
              <w:t xml:space="preserve">18</w:t>
            </w:r>
            <w:r/>
          </w:p>
        </w:tc>
        <w:tc>
          <w:tcPr>
            <w:tcBorders/>
          </w:tcPr>
          <w:p>
            <w:pPr>
              <w:pBdr/>
              <w:spacing/>
              <w:ind/>
              <w:rPr/>
            </w:pPr>
            <w:r>
              <w:t xml:space="preserve">97%</w:t>
            </w:r>
            <w:r/>
          </w:p>
        </w:tc>
        <w:tc>
          <w:tcPr>
            <w:tcBorders/>
          </w:tcPr>
          <w:p>
            <w:pPr>
              <w:pBdr/>
              <w:spacing/>
              <w:ind/>
              <w:rPr/>
            </w:pPr>
            <w:r>
              <w:t xml:space="preserve">No</w:t>
            </w:r>
            <w:r/>
          </w:p>
        </w:tc>
        <w:tc>
          <w:tcPr>
            <w:tcBorders/>
          </w:tcPr>
          <w:p>
            <w:pPr>
              <w:pBdr/>
              <w:spacing/>
              <w:ind/>
              <w:rPr/>
            </w:pPr>
            <w:r>
              <w:t xml:space="preserve">N/A</w:t>
            </w:r>
            <w:r/>
          </w:p>
        </w:tc>
      </w:tr>
      <w:tr>
        <w:trPr/>
        <w:tc>
          <w:tcPr>
            <w:tcBorders/>
          </w:tcPr>
          <w:p>
            <w:pPr>
              <w:pBdr/>
              <w:spacing/>
              <w:ind/>
              <w:rPr/>
            </w:pPr>
            <w:r>
              <w:t xml:space="preserve">Lee et al. [3]</w:t>
            </w:r>
            <w:r/>
          </w:p>
        </w:tc>
        <w:tc>
          <w:tcPr>
            <w:tcBorders/>
          </w:tcPr>
          <w:p>
            <w:pPr>
              <w:pBdr/>
              <w:spacing/>
              <w:ind/>
              <w:rPr/>
            </w:pPr>
            <w:r>
              <w:t xml:space="preserve">Multiple</w:t>
            </w:r>
            <w:r/>
          </w:p>
        </w:tc>
        <w:tc>
          <w:tcPr>
            <w:tcBorders/>
          </w:tcPr>
          <w:p>
            <w:pPr>
              <w:pBdr/>
              <w:spacing/>
              <w:ind/>
              <w:rPr/>
            </w:pPr>
            <w:r>
              <w:t xml:space="preserve">Commercial EMG</w:t>
            </w:r>
            <w:r/>
          </w:p>
        </w:tc>
        <w:tc>
          <w:tcPr>
            <w:tcBorders/>
          </w:tcPr>
          <w:p>
            <w:pPr>
              <w:pBdr/>
              <w:spacing/>
              <w:ind/>
              <w:rPr/>
            </w:pPr>
            <w:r>
              <w:t xml:space="preserve">Prototype CNN</w:t>
            </w:r>
            <w:r/>
          </w:p>
        </w:tc>
        <w:tc>
          <w:tcPr>
            <w:tcBorders/>
          </w:tcPr>
          <w:p>
            <w:pPr>
              <w:pBdr/>
              <w:spacing/>
              <w:ind/>
              <w:rPr/>
            </w:pPr>
            <w:r>
              <w:t xml:space="preserve">Edge-capable</w:t>
            </w:r>
            <w:r/>
          </w:p>
        </w:tc>
        <w:tc>
          <w:tcPr>
            <w:tcBorders/>
          </w:tcPr>
          <w:p>
            <w:pPr>
              <w:pBdr/>
              <w:spacing/>
              <w:ind/>
              <w:rPr/>
            </w:pPr>
            <w:r>
              <w:t xml:space="preserve">8</w:t>
            </w:r>
            <w:r/>
          </w:p>
        </w:tc>
        <w:tc>
          <w:tcPr>
            <w:tcBorders/>
          </w:tcPr>
          <w:p>
            <w:pPr>
              <w:pBdr/>
              <w:spacing/>
              <w:ind/>
              <w:rPr/>
            </w:pPr>
            <w:r>
              <w:t xml:space="preserve">N/A</w:t>
            </w:r>
            <w:r/>
          </w:p>
        </w:tc>
        <w:tc>
          <w:tcPr>
            <w:tcBorders/>
          </w:tcPr>
          <w:p>
            <w:pPr>
              <w:pBdr/>
              <w:spacing/>
              <w:ind/>
              <w:rPr/>
            </w:pPr>
            <w:r>
              <w:t xml:space="preserve">No</w:t>
            </w:r>
            <w:r/>
          </w:p>
        </w:tc>
        <w:tc>
          <w:tcPr>
            <w:tcBorders/>
          </w:tcPr>
          <w:p>
            <w:pPr>
              <w:pBdr/>
              <w:spacing/>
              <w:ind/>
              <w:rPr/>
            </w:pPr>
            <w:r>
              <w:t xml:space="preserve">N/A</w:t>
            </w:r>
            <w:r/>
          </w:p>
        </w:tc>
      </w:tr>
      <w:tr>
        <w:trPr/>
        <w:tc>
          <w:tcPr>
            <w:tcBorders/>
          </w:tcPr>
          <w:p>
            <w:pPr>
              <w:pBdr/>
              <w:spacing/>
              <w:ind/>
              <w:rPr/>
            </w:pPr>
            <w:r>
              <w:t xml:space="preserve">Molinari et al. [4]</w:t>
            </w:r>
            <w:r/>
          </w:p>
        </w:tc>
        <w:tc>
          <w:tcPr>
            <w:tcBorders/>
          </w:tcPr>
          <w:p>
            <w:pPr>
              <w:pBdr/>
              <w:spacing/>
              <w:ind/>
              <w:rPr/>
            </w:pPr>
            <w:r>
              <w:t xml:space="preserve">64</w:t>
            </w:r>
            <w:r/>
          </w:p>
        </w:tc>
        <w:tc>
          <w:tcPr>
            <w:tcBorders/>
          </w:tcPr>
          <w:p>
            <w:pPr>
              <w:pBdr/>
              <w:spacing/>
              <w:ind/>
              <w:rPr/>
            </w:pPr>
            <w:r>
              <w:t xml:space="preserve">Custom HD-EMG PCB</w:t>
            </w:r>
            <w:r/>
          </w:p>
        </w:tc>
        <w:tc>
          <w:tcPr>
            <w:tcBorders/>
          </w:tcPr>
          <w:p>
            <w:pPr>
              <w:pBdr/>
              <w:spacing/>
              <w:ind/>
              <w:rPr/>
            </w:pPr>
            <w:r>
              <w:t xml:space="preserve">LDA + FPGA</w:t>
            </w:r>
            <w:r/>
          </w:p>
        </w:tc>
        <w:tc>
          <w:tcPr>
            <w:tcBorders/>
          </w:tcPr>
          <w:p>
            <w:pPr>
              <w:pBdr/>
              <w:spacing/>
              <w:ind/>
              <w:rPr/>
            </w:pPr>
            <w:r>
              <w:t xml:space="preserve">FPGA</w:t>
            </w:r>
            <w:r/>
          </w:p>
        </w:tc>
        <w:tc>
          <w:tcPr>
            <w:tcBorders/>
          </w:tcPr>
          <w:p>
            <w:pPr>
              <w:pBdr/>
              <w:spacing/>
              <w:ind/>
              <w:rPr/>
            </w:pPr>
            <w:r>
              <w:t xml:space="preserve">7</w:t>
            </w:r>
            <w:r/>
          </w:p>
        </w:tc>
        <w:tc>
          <w:tcPr>
            <w:tcBorders/>
          </w:tcPr>
          <w:p>
            <w:pPr>
              <w:pBdr/>
              <w:spacing/>
              <w:ind/>
              <w:rPr/>
            </w:pPr>
            <w:r>
              <w:t xml:space="preserve">&gt;90%</w:t>
            </w:r>
            <w:r/>
          </w:p>
        </w:tc>
        <w:tc>
          <w:tcPr>
            <w:tcBorders/>
          </w:tcPr>
          <w:p>
            <w:pPr>
              <w:pBdr/>
              <w:spacing/>
              <w:ind/>
              <w:rPr/>
            </w:pPr>
            <w:r>
              <w:t xml:space="preserve">Yes</w:t>
            </w:r>
            <w:r/>
          </w:p>
        </w:tc>
        <w:tc>
          <w:tcPr>
            <w:tcBorders/>
          </w:tcPr>
          <w:p>
            <w:pPr>
              <w:pBdr/>
              <w:spacing/>
              <w:ind/>
              <w:rPr/>
            </w:pPr>
            <w:r>
              <w:t xml:space="preserve">&gt; USD 500</w:t>
            </w:r>
            <w:r/>
          </w:p>
        </w:tc>
      </w:tr>
      <w:tr>
        <w:trPr/>
        <w:tc>
          <w:tcPr>
            <w:tcBorders/>
          </w:tcPr>
          <w:p>
            <w:pPr>
              <w:pBdr/>
              <w:spacing/>
              <w:ind/>
              <w:rPr/>
            </w:pPr>
            <w:r>
              <w:t xml:space="preserve">Furtado et al. [5]</w:t>
            </w:r>
            <w:r/>
          </w:p>
        </w:tc>
        <w:tc>
          <w:tcPr>
            <w:tcBorders/>
          </w:tcPr>
          <w:p>
            <w:pPr>
              <w:pBdr/>
              <w:spacing/>
              <w:ind/>
              <w:rPr/>
            </w:pPr>
            <w:r>
              <w:t xml:space="preserve">2-3 DOF</w:t>
            </w:r>
            <w:r/>
          </w:p>
        </w:tc>
        <w:tc>
          <w:tcPr>
            <w:tcBorders/>
          </w:tcPr>
          <w:p>
            <w:pPr>
              <w:pBdr/>
              <w:spacing/>
              <w:ind/>
              <w:rPr/>
            </w:pPr>
            <w:r>
              <w:t xml:space="preserve">Surface EMG (unspecified)</w:t>
            </w:r>
            <w:r/>
          </w:p>
        </w:tc>
        <w:tc>
          <w:tcPr>
            <w:tcBorders/>
          </w:tcPr>
          <w:p>
            <w:pPr>
              <w:pBdr/>
              <w:spacing/>
              <w:ind/>
              <w:rPr/>
            </w:pPr>
            <w:r>
              <w:t xml:space="preserve">Threshold-based</w:t>
            </w:r>
            <w:r/>
          </w:p>
        </w:tc>
        <w:tc>
          <w:tcPr>
            <w:tcBorders/>
          </w:tcPr>
          <w:p>
            <w:pPr>
              <w:pBdr/>
              <w:spacing/>
              <w:ind/>
              <w:rPr/>
            </w:pPr>
            <w:r>
              <w:t xml:space="preserve">No (MCU control)</w:t>
            </w:r>
            <w:r/>
          </w:p>
        </w:tc>
        <w:tc>
          <w:tcPr>
            <w:tcBorders/>
          </w:tcPr>
          <w:p>
            <w:pPr>
              <w:pBdr/>
              <w:spacing/>
              <w:ind/>
              <w:rPr/>
            </w:pPr>
            <w:r>
              <w:t xml:space="preserve">4 basic</w:t>
            </w:r>
            <w:r/>
          </w:p>
        </w:tc>
        <w:tc>
          <w:tcPr>
            <w:tcBorders/>
          </w:tcPr>
          <w:p>
            <w:pPr>
              <w:pBdr/>
              <w:spacing/>
              <w:ind/>
              <w:rPr/>
            </w:pPr>
            <w:r>
              <w:t xml:space="preserve">Not reported</w:t>
            </w:r>
            <w:r/>
          </w:p>
        </w:tc>
        <w:tc>
          <w:tcPr>
            <w:tcBorders/>
          </w:tcPr>
          <w:p>
            <w:pPr>
              <w:pBdr/>
              <w:spacing/>
              <w:ind/>
              <w:rPr/>
            </w:pPr>
            <w:r>
              <w:t xml:space="preserve">Yes</w:t>
            </w:r>
            <w:r/>
          </w:p>
        </w:tc>
        <w:tc>
          <w:tcPr>
            <w:tcBorders/>
          </w:tcPr>
          <w:p>
            <w:pPr>
              <w:pBdr/>
              <w:spacing/>
              <w:ind/>
              <w:rPr/>
            </w:pPr>
            <w:r>
              <w:t xml:space="preserve">"Low-cost" (unquantified)</w:t>
            </w:r>
            <w:r/>
          </w:p>
        </w:tc>
      </w:tr>
      <w:tr>
        <w:trPr/>
        <w:tc>
          <w:tcPr>
            <w:tcBorders/>
          </w:tcPr>
          <w:p>
            <w:pPr>
              <w:pBdr/>
              <w:spacing/>
              <w:ind/>
              <w:rPr/>
            </w:pPr>
            <w:r>
              <w:t xml:space="preserve">This project</w:t>
            </w:r>
            <w:r/>
          </w:p>
        </w:tc>
        <w:tc>
          <w:tcPr>
            <w:tcBorders/>
          </w:tcPr>
          <w:p>
            <w:pPr>
              <w:pBdr/>
              <w:spacing/>
              <w:ind/>
              <w:rPr/>
            </w:pPr>
            <w:r>
              <w:t xml:space="preserve">4</w:t>
            </w:r>
            <w:r/>
          </w:p>
        </w:tc>
        <w:tc>
          <w:tcPr>
            <w:tcBorders/>
          </w:tcPr>
          <w:p>
            <w:pPr>
              <w:pBdr/>
              <w:spacing/>
              <w:ind/>
              <w:rPr/>
            </w:pPr>
            <w:r>
              <w:t xml:space="preserve">INA128 custom AFE + ESP32-S3 ADC</w:t>
            </w:r>
            <w:r/>
          </w:p>
        </w:tc>
        <w:tc>
          <w:tcPr>
            <w:tcBorders/>
          </w:tcPr>
          <w:p>
            <w:pPr>
              <w:pBdr/>
              <w:spacing/>
              <w:ind/>
              <w:rPr/>
            </w:pPr>
            <w:r>
              <w:t xml:space="preserve">1D-CNN INT8</w:t>
            </w:r>
            <w:r/>
          </w:p>
        </w:tc>
        <w:tc>
          <w:tcPr>
            <w:tcBorders/>
          </w:tcPr>
          <w:p>
            <w:pPr>
              <w:pBdr/>
              <w:spacing/>
              <w:ind/>
              <w:rPr/>
            </w:pPr>
            <w:r>
              <w:t xml:space="preserve">Yes (ESP32-S3)</w:t>
            </w:r>
            <w:r/>
          </w:p>
        </w:tc>
        <w:tc>
          <w:tcPr>
            <w:tcBorders/>
          </w:tcPr>
          <w:p>
            <w:pPr>
              <w:pBdr/>
              <w:spacing/>
              <w:ind/>
              <w:rPr/>
            </w:pPr>
            <w:r>
              <w:t xml:space="preserve">8</w:t>
            </w:r>
            <w:r/>
          </w:p>
        </w:tc>
        <w:tc>
          <w:tcPr>
            <w:tcBorders/>
          </w:tcPr>
          <w:p>
            <w:pPr>
              <w:pBdr/>
              <w:spacing/>
              <w:ind/>
              <w:rPr/>
            </w:pPr>
            <w:r>
              <w:t xml:space="preserve">target F1 &gt;= 0.85</w:t>
            </w:r>
            <w:r/>
          </w:p>
        </w:tc>
        <w:tc>
          <w:tcPr>
            <w:tcBorders/>
          </w:tcPr>
          <w:p>
            <w:pPr>
              <w:pBdr/>
              <w:spacing/>
              <w:ind/>
              <w:rPr/>
            </w:pPr>
            <w:r>
              <w:t xml:space="preserve">Yes</w:t>
            </w:r>
            <w:r/>
          </w:p>
        </w:tc>
        <w:tc>
          <w:tcPr>
            <w:tcBorders/>
          </w:tcPr>
          <w:p>
            <w:pPr>
              <w:pBdr/>
              <w:spacing/>
              <w:ind/>
              <w:rPr/>
            </w:pPr>
            <w:r>
              <w:t xml:space="preserve">&lt; USD 20 (KES 3,150)</w:t>
            </w:r>
            <w:r/>
          </w:p>
        </w:tc>
      </w:tr>
    </w:tbl>
    <w:p>
      <w:pPr>
        <w:pBdr/>
        <w:spacing/>
        <w:ind/>
        <w:rPr/>
      </w:pPr>
      <w:r/>
      <w:r/>
    </w:p>
    <w:p>
      <w:pPr>
        <w:pStyle w:val="875"/>
        <w:pBdr/>
        <w:spacing/>
        <w:ind/>
        <w:rPr/>
      </w:pPr>
      <w:r/>
      <w:bookmarkStart w:id="28" w:name="_Toc28"/>
      <w:r>
        <w:t xml:space="preserve">2.11 Proposed Work</w:t>
      </w:r>
      <w:bookmarkEnd w:id="28"/>
      <w:r/>
      <w:r/>
    </w:p>
    <w:p>
      <w:pPr>
        <w:pBdr/>
        <w:spacing w:after="120" w:before="0" w:line="360" w:lineRule="auto"/>
        <w:ind w:firstLine="720"/>
        <w:rPr/>
      </w:pPr>
      <w:r>
        <w:rPr>
          <w:rFonts w:ascii="Times New Roman" w:hAnsi="Times New Roman"/>
          <w:b w:val="0"/>
          <w:sz w:val="24"/>
        </w:rPr>
        <w:t xml:space="preserve">To address the i</w:t>
      </w:r>
      <w:r>
        <w:rPr>
          <w:rFonts w:ascii="Times New Roman" w:hAnsi="Times New Roman"/>
          <w:b w:val="0"/>
          <w:sz w:val="24"/>
        </w:rPr>
        <w:t xml:space="preserve">dentified gaps, the proposed work will design and implement a four-channel sEMG control interface with on-device 1D-CNN classification on an ESP32-S3 microcontroller, driving a 5-finger tendon-driven 3D-printed prosthetic hand (5x SG90 finger servos + 1x M</w:t>
      </w:r>
      <w:r>
        <w:rPr>
          <w:rFonts w:ascii="Times New Roman" w:hAnsi="Times New Roman"/>
          <w:b w:val="0"/>
          <w:sz w:val="24"/>
        </w:rPr>
        <w:t xml:space="preserve">G996R wrist servo via PCA9685), at an electronics BOM target of USD 20. The system integrates instrumentation amplification, analog bandpass filtering and notch rejection, embedded digital signal processing, INT8-quantized gesture classification, BLE-based</w:t>
      </w:r>
      <w:r>
        <w:rPr>
          <w:rFonts w:ascii="Times New Roman" w:hAnsi="Times New Roman"/>
          <w:b w:val="0"/>
          <w:sz w:val="24"/>
        </w:rPr>
        <w:t xml:space="preserve"> user calibration, and servo-driven actuation into a single, battery-powered, untethered platform. The contribution is an integrated engineering implementation and validation of a low-cost end-to-end control interface, not a claim of a new physiological se</w:t>
      </w:r>
      <w:r>
        <w:rPr>
          <w:rFonts w:ascii="Times New Roman" w:hAnsi="Times New Roman"/>
          <w:b w:val="0"/>
          <w:sz w:val="24"/>
        </w:rPr>
        <w:t xml:space="preserve">nsing principle. This proposed solution is intended to be affordable, reproducible, and relevant to the Kenyan sociotechnical context, laying the foundation for Chapter Three, which details the methodology for system design, implementation, and evaluation.</w:t>
      </w:r>
      <w:r>
        <w:rPr>
          <w:rFonts w:ascii="Times New Roman" w:hAnsi="Times New Roman"/>
          <w:b w:val="0"/>
          <w:sz w:val="24"/>
        </w:rPr>
      </w:r>
      <w:r/>
    </w:p>
    <w:p>
      <w:pPr>
        <w:pBdr/>
        <w:spacing/>
        <w:ind/>
        <w:rPr/>
      </w:pPr>
      <w:r>
        <w:br w:type="page" w:clear="all"/>
      </w:r>
      <w:r/>
    </w:p>
    <w:p>
      <w:pPr>
        <w:pStyle w:val="874"/>
        <w:pBdr/>
        <w:spacing/>
        <w:ind/>
        <w:rPr/>
      </w:pPr>
      <w:r/>
      <w:bookmarkStart w:id="29" w:name="_Toc29"/>
      <w:r>
        <w:t xml:space="preserve">CHAPTER THREE</w:t>
      </w:r>
      <w:bookmarkEnd w:id="29"/>
      <w:r/>
      <w:r/>
    </w:p>
    <w:p>
      <w:pPr>
        <w:pStyle w:val="874"/>
        <w:pBdr/>
        <w:spacing/>
        <w:ind/>
        <w:rPr/>
      </w:pPr>
      <w:r/>
      <w:bookmarkStart w:id="30" w:name="_Toc30"/>
      <w:r>
        <w:t xml:space="preserve">METHODOLOGY</w:t>
      </w:r>
      <w:bookmarkEnd w:id="30"/>
      <w:r/>
      <w:r/>
    </w:p>
    <w:p>
      <w:pPr>
        <w:pStyle w:val="875"/>
        <w:pBdr/>
        <w:spacing/>
        <w:ind/>
        <w:rPr/>
      </w:pPr>
      <w:r/>
      <w:bookmarkStart w:id="31" w:name="_Toc31"/>
      <w:r>
        <w:t xml:space="preserve">3.1 Overview</w:t>
      </w:r>
      <w:bookmarkEnd w:id="31"/>
      <w:r/>
      <w:r/>
    </w:p>
    <w:p>
      <w:pPr>
        <w:pBdr/>
        <w:spacing w:after="120" w:before="0" w:line="360" w:lineRule="auto"/>
        <w:ind w:firstLine="720"/>
        <w:rPr/>
      </w:pPr>
      <w:r>
        <w:rPr>
          <w:rFonts w:ascii="Times New Roman" w:hAnsi="Times New Roman"/>
          <w:b w:val="0"/>
          <w:sz w:val="24"/>
        </w:rPr>
        <w:t xml:space="preserve">This chapter presents the methodology used to design, implement, and evaluate </w:t>
      </w:r>
      <w:r>
        <w:rPr>
          <w:rFonts w:ascii="Times New Roman" w:hAnsi="Times New Roman"/>
          <w:b w:val="0"/>
          <w:sz w:val="24"/>
        </w:rPr>
        <w:t xml:space="preserve">the proposed four-channel sEMG control interface. The methodology is structured according to the three specific objectives: hardware design (Section 3.2), embedded signal processing and machine learning (Section 3.3), and system testing and evaluation (Sec</w:t>
      </w:r>
      <w:r>
        <w:rPr>
          <w:rFonts w:ascii="Times New Roman" w:hAnsi="Times New Roman"/>
          <w:b w:val="0"/>
          <w:sz w:val="24"/>
        </w:rPr>
        <w:t xml:space="preserve">tion 3.4). Each section describes the engineering design decisions, calculations, and validation procedures. The chapter also addresses electrical safety (Section 3.5), cost evaluation (Section 3.6), and the end-to-end demonstration scenario (Section 3.7).</w:t>
      </w:r>
      <w:r/>
    </w:p>
    <w:p>
      <w:pPr>
        <w:pStyle w:val="875"/>
        <w:pBdr/>
        <w:spacing/>
        <w:ind/>
        <w:rPr/>
      </w:pPr>
      <w:r/>
      <w:bookmarkStart w:id="32" w:name="_Toc32"/>
      <w:r>
        <w:t xml:space="preserve">3.2 System Architecture and Hardware Design</w:t>
      </w:r>
      <w:bookmarkEnd w:id="32"/>
      <w:r/>
      <w:r/>
    </w:p>
    <w:p>
      <w:pPr>
        <w:pBdr/>
        <w:spacing w:after="120" w:before="0" w:line="360" w:lineRule="auto"/>
        <w:ind w:firstLine="720"/>
        <w:rPr/>
      </w:pPr>
      <w:r>
        <w:rPr>
          <w:rFonts w:ascii="Times New Roman" w:hAnsi="Times New Roman"/>
          <w:b w:val="0"/>
          <w:sz w:val="24"/>
        </w:rPr>
        <w:t xml:space="preserve">The system architecture integrates an analog acquisition section and a digital</w:t>
      </w:r>
      <w:r>
        <w:rPr>
          <w:rFonts w:ascii="Times New Roman" w:hAnsi="Times New Roman"/>
          <w:b w:val="0"/>
          <w:sz w:val="24"/>
        </w:rPr>
        <w:t xml:space="preserve"> control section. Four differential electrode pairs feed INA128 instrumentation amplifiers. Each channel passes through a high-pass filter (20 Hz), a low-pass filter (500 Hz), a 50 Hz twin-T notch filter, and an adjustable gain stage. The conditioned chann</w:t>
      </w:r>
      <w:r>
        <w:rPr>
          <w:rFonts w:ascii="Times New Roman" w:hAnsi="Times New Roman"/>
          <w:b w:val="0"/>
          <w:sz w:val="24"/>
        </w:rPr>
        <w:t xml:space="preserve">els are sampled by the ESP32-S3 ADC via DMA. The embedded processor performs windowing, feature extraction, and gesture classification before issuing actuator commands through a PCA9685 PWM driver. Figure 1 shows the full system architecture block diagram.</w:t>
      </w:r>
      <w:r/>
    </w:p>
    <w:p>
      <w:pPr>
        <w:pBdr/>
        <w:spacing w:after="120" w:before="240" w:line="360" w:lineRule="auto"/>
        <w:ind/>
        <w:rPr/>
      </w:pPr>
      <w:r>
        <w:rPr>
          <w:rFonts w:ascii="Times New Roman" w:hAnsi="Times New Roman"/>
          <w:b/>
          <w:sz w:val="24"/>
        </w:rPr>
        <w:t xml:space="preserve">Table 2: sEMG Signal Specification</w:t>
      </w:r>
      <w:r/>
    </w:p>
    <w:tbl>
      <w:tblPr>
        <w:tblStyle w:val="934"/>
        <w:jc w:val="center"/>
        <w:tblW w:w="0" w:type="auto"/>
        <w:tblBorders/>
        <w:tblLook w:val="04A0" w:firstRow="1" w:lastRow="0" w:firstColumn="1" w:lastColumn="0" w:noHBand="0" w:noVBand="1"/>
      </w:tblPr>
      <w:tblGrid>
        <w:gridCol w:w="4156"/>
        <w:gridCol w:w="4156"/>
      </w:tblGrid>
      <w:tr>
        <w:trPr/>
        <w:tc>
          <w:tcPr>
            <w:tcBorders/>
            <w:tcW w:w="4156" w:type="dxa"/>
          </w:tcPr>
          <w:p>
            <w:pPr>
              <w:pBdr/>
              <w:spacing/>
              <w:ind/>
              <w:rPr/>
            </w:pPr>
            <w:r>
              <w:rPr>
                <w:rFonts w:ascii="Times New Roman" w:hAnsi="Times New Roman"/>
                <w:b/>
                <w:sz w:val="20"/>
              </w:rPr>
              <w:t xml:space="preserve">Parameter</w:t>
            </w:r>
            <w:r/>
          </w:p>
        </w:tc>
        <w:tc>
          <w:tcPr>
            <w:tcBorders/>
            <w:tcW w:w="4156" w:type="dxa"/>
          </w:tcPr>
          <w:p>
            <w:pPr>
              <w:pBdr/>
              <w:spacing/>
              <w:ind/>
              <w:rPr/>
            </w:pPr>
            <w:r>
              <w:rPr>
                <w:rFonts w:ascii="Times New Roman" w:hAnsi="Times New Roman"/>
                <w:b/>
                <w:sz w:val="20"/>
              </w:rPr>
              <w:t xml:space="preserve">Proposed Specification</w:t>
            </w:r>
            <w:r/>
          </w:p>
        </w:tc>
      </w:tr>
      <w:tr>
        <w:trPr/>
        <w:tc>
          <w:tcPr>
            <w:tcBorders/>
            <w:tcW w:w="4156" w:type="dxa"/>
          </w:tcPr>
          <w:p>
            <w:pPr>
              <w:pBdr/>
              <w:spacing/>
              <w:ind/>
              <w:rPr/>
            </w:pPr>
            <w:r>
              <w:rPr>
                <w:rFonts w:ascii="Times New Roman" w:hAnsi="Times New Roman"/>
                <w:sz w:val="20"/>
              </w:rPr>
              <w:t xml:space="preserve">Signal type</w:t>
            </w:r>
            <w:r/>
          </w:p>
        </w:tc>
        <w:tc>
          <w:tcPr>
            <w:tcBorders/>
            <w:tcW w:w="4156" w:type="dxa"/>
          </w:tcPr>
          <w:p>
            <w:pPr>
              <w:pBdr/>
              <w:spacing/>
              <w:ind/>
              <w:rPr/>
            </w:pPr>
            <w:r>
              <w:rPr>
                <w:rFonts w:ascii="Times New Roman" w:hAnsi="Times New Roman"/>
                <w:sz w:val="20"/>
              </w:rPr>
              <w:t xml:space="preserve">Surface EMG, differential measurement</w:t>
            </w:r>
            <w:r/>
          </w:p>
        </w:tc>
      </w:tr>
      <w:tr>
        <w:trPr/>
        <w:tc>
          <w:tcPr>
            <w:tcBorders/>
            <w:tcW w:w="4156" w:type="dxa"/>
          </w:tcPr>
          <w:p>
            <w:pPr>
              <w:pBdr/>
              <w:spacing/>
              <w:ind/>
              <w:rPr/>
            </w:pPr>
            <w:r>
              <w:rPr>
                <w:rFonts w:ascii="Times New Roman" w:hAnsi="Times New Roman"/>
                <w:sz w:val="20"/>
              </w:rPr>
              <w:t xml:space="preserve">Channels</w:t>
            </w:r>
            <w:r/>
          </w:p>
        </w:tc>
        <w:tc>
          <w:tcPr>
            <w:tcBorders/>
            <w:tcW w:w="4156" w:type="dxa"/>
          </w:tcPr>
          <w:p>
            <w:pPr>
              <w:pBdr/>
              <w:spacing/>
              <w:ind/>
              <w:rPr/>
            </w:pPr>
            <w:r>
              <w:rPr>
                <w:rFonts w:ascii="Times New Roman" w:hAnsi="Times New Roman"/>
                <w:sz w:val="20"/>
              </w:rPr>
              <w:t xml:space="preserve">4 (flexor carpi radialis, extensor digitorum, flexor digitorum superficialis, brachioradialis)</w:t>
            </w:r>
            <w:r/>
          </w:p>
        </w:tc>
      </w:tr>
      <w:tr>
        <w:trPr/>
        <w:tc>
          <w:tcPr>
            <w:tcBorders/>
            <w:tcW w:w="4156" w:type="dxa"/>
          </w:tcPr>
          <w:p>
            <w:pPr>
              <w:pBdr/>
              <w:spacing/>
              <w:ind/>
              <w:rPr/>
            </w:pPr>
            <w:r>
              <w:rPr>
                <w:rFonts w:ascii="Times New Roman" w:hAnsi="Times New Roman"/>
                <w:sz w:val="20"/>
              </w:rPr>
              <w:t xml:space="preserve">Raw amplitude</w:t>
            </w:r>
            <w:r/>
          </w:p>
        </w:tc>
        <w:tc>
          <w:tcPr>
            <w:tcBorders/>
            <w:tcW w:w="4156" w:type="dxa"/>
          </w:tcPr>
          <w:p>
            <w:pPr>
              <w:pBdr/>
              <w:spacing/>
              <w:ind/>
              <w:rPr/>
            </w:pPr>
            <w:r>
              <w:rPr>
                <w:rFonts w:ascii="Times New Roman" w:hAnsi="Times New Roman"/>
                <w:sz w:val="20"/>
              </w:rPr>
              <w:t xml:space="preserve">50 uV to 5 mV</w:t>
            </w:r>
            <w:r/>
          </w:p>
        </w:tc>
      </w:tr>
      <w:tr>
        <w:trPr/>
        <w:tc>
          <w:tcPr>
            <w:tcBorders/>
            <w:tcW w:w="4156" w:type="dxa"/>
          </w:tcPr>
          <w:p>
            <w:pPr>
              <w:pBdr/>
              <w:spacing/>
              <w:ind/>
              <w:rPr/>
            </w:pPr>
            <w:r>
              <w:rPr>
                <w:rFonts w:ascii="Times New Roman" w:hAnsi="Times New Roman"/>
                <w:sz w:val="20"/>
              </w:rPr>
              <w:t xml:space="preserve">Frequency band</w:t>
            </w:r>
            <w:r/>
          </w:p>
        </w:tc>
        <w:tc>
          <w:tcPr>
            <w:tcBorders/>
            <w:tcW w:w="4156" w:type="dxa"/>
          </w:tcPr>
          <w:p>
            <w:pPr>
              <w:pBdr/>
              <w:spacing/>
              <w:ind/>
              <w:rPr/>
            </w:pPr>
            <w:r>
              <w:rPr>
                <w:rFonts w:ascii="Times New Roman" w:hAnsi="Times New Roman"/>
                <w:sz w:val="20"/>
              </w:rPr>
              <w:t xml:space="preserve">20--500 Hz with 50 Hz notch rejection</w:t>
            </w:r>
            <w:r/>
          </w:p>
        </w:tc>
      </w:tr>
      <w:tr>
        <w:trPr/>
        <w:tc>
          <w:tcPr>
            <w:tcBorders/>
            <w:tcW w:w="4156" w:type="dxa"/>
          </w:tcPr>
          <w:p>
            <w:pPr>
              <w:pBdr/>
              <w:spacing/>
              <w:ind/>
              <w:rPr/>
            </w:pPr>
            <w:r>
              <w:rPr>
                <w:rFonts w:ascii="Times New Roman" w:hAnsi="Times New Roman"/>
                <w:sz w:val="20"/>
              </w:rPr>
              <w:t xml:space="preserve">Sampling rate</w:t>
            </w:r>
            <w:r/>
          </w:p>
        </w:tc>
        <w:tc>
          <w:tcPr>
            <w:tcBorders/>
            <w:tcW w:w="4156" w:type="dxa"/>
          </w:tcPr>
          <w:p>
            <w:pPr>
              <w:pBdr/>
              <w:spacing/>
              <w:ind/>
              <w:rPr/>
            </w:pPr>
            <w:r>
              <w:rPr>
                <w:rFonts w:ascii="Times New Roman" w:hAnsi="Times New Roman"/>
                <w:sz w:val="20"/>
              </w:rPr>
              <w:t xml:space="preserve">2 kHz per channel</w:t>
            </w:r>
            <w:r/>
          </w:p>
        </w:tc>
      </w:tr>
      <w:tr>
        <w:trPr/>
        <w:tc>
          <w:tcPr>
            <w:tcBorders/>
            <w:tcW w:w="4156" w:type="dxa"/>
          </w:tcPr>
          <w:p>
            <w:pPr>
              <w:pBdr/>
              <w:spacing/>
              <w:ind/>
              <w:rPr/>
            </w:pPr>
            <w:r>
              <w:rPr>
                <w:rFonts w:ascii="Times New Roman" w:hAnsi="Times New Roman"/>
                <w:sz w:val="20"/>
              </w:rPr>
              <w:t xml:space="preserve">Analysis window</w:t>
            </w:r>
            <w:r/>
          </w:p>
        </w:tc>
        <w:tc>
          <w:tcPr>
            <w:tcBorders/>
            <w:tcW w:w="4156" w:type="dxa"/>
          </w:tcPr>
          <w:p>
            <w:pPr>
              <w:pBdr/>
              <w:spacing/>
              <w:ind/>
              <w:rPr/>
            </w:pPr>
            <w:r>
              <w:rPr>
                <w:rFonts w:ascii="Times New Roman" w:hAnsi="Times New Roman"/>
                <w:sz w:val="20"/>
              </w:rPr>
              <w:t xml:space="preserve">250 ms (500 samples), 50 ms step, 80% overlap</w:t>
            </w:r>
            <w:r/>
          </w:p>
        </w:tc>
      </w:tr>
      <w:tr>
        <w:trPr/>
        <w:tc>
          <w:tcPr>
            <w:tcBorders/>
            <w:tcW w:w="4156" w:type="dxa"/>
          </w:tcPr>
          <w:p>
            <w:pPr>
              <w:pBdr/>
              <w:spacing/>
              <w:ind/>
              <w:rPr/>
            </w:pPr>
            <w:r>
              <w:rPr>
                <w:rFonts w:ascii="Times New Roman" w:hAnsi="Times New Roman"/>
                <w:sz w:val="20"/>
              </w:rPr>
              <w:t xml:space="preserve">Features per channel</w:t>
            </w:r>
            <w:r/>
          </w:p>
        </w:tc>
        <w:tc>
          <w:tcPr>
            <w:tcBorders/>
            <w:tcW w:w="4156" w:type="dxa"/>
          </w:tcPr>
          <w:p>
            <w:pPr>
              <w:pBdr/>
              <w:spacing/>
              <w:ind/>
              <w:rPr/>
            </w:pPr>
            <w:r>
              <w:rPr>
                <w:rFonts w:ascii="Times New Roman" w:hAnsi="Times New Roman"/>
                <w:sz w:val="20"/>
              </w:rPr>
              <w:t xml:space="preserve">MAV, RMS, WL, ZC, SSC, Variance (6)</w:t>
            </w:r>
            <w:r/>
          </w:p>
        </w:tc>
      </w:tr>
      <w:tr>
        <w:trPr/>
        <w:tc>
          <w:tcPr>
            <w:tcBorders/>
            <w:tcW w:w="4156" w:type="dxa"/>
          </w:tcPr>
          <w:p>
            <w:pPr>
              <w:pBdr/>
              <w:spacing/>
              <w:ind/>
              <w:rPr/>
            </w:pPr>
            <w:r>
              <w:rPr>
                <w:rFonts w:ascii="Times New Roman" w:hAnsi="Times New Roman"/>
                <w:sz w:val="20"/>
              </w:rPr>
              <w:t xml:space="preserve">Feature vector</w:t>
            </w:r>
            <w:r/>
          </w:p>
        </w:tc>
        <w:tc>
          <w:tcPr>
            <w:tcBorders/>
            <w:tcW w:w="4156" w:type="dxa"/>
          </w:tcPr>
          <w:p>
            <w:pPr>
              <w:pBdr/>
              <w:spacing/>
              <w:ind/>
              <w:rPr/>
            </w:pPr>
            <w:r>
              <w:rPr>
                <w:rFonts w:ascii="Times New Roman" w:hAnsi="Times New Roman"/>
                <w:sz w:val="20"/>
              </w:rPr>
              <w:t xml:space="preserve">24 elements (6 features x 4 channels)</w:t>
            </w:r>
            <w:r/>
          </w:p>
        </w:tc>
      </w:tr>
    </w:tbl>
    <w:p>
      <w:pPr>
        <w:pBdr/>
        <w:spacing/>
        <w:ind/>
        <w:rPr/>
      </w:pPr>
      <w:r/>
      <w:r/>
    </w:p>
    <w:p>
      <w:pPr>
        <w:pStyle w:val="876"/>
        <w:pBdr/>
        <w:spacing/>
        <w:ind/>
        <w:rPr/>
      </w:pPr>
      <w:r/>
      <w:bookmarkStart w:id="33" w:name="_Toc33"/>
      <w:r>
        <w:t xml:space="preserve">3.2.1 Analog Front-End Design</w:t>
      </w:r>
      <w:bookmarkEnd w:id="33"/>
      <w:r/>
      <w:r/>
    </w:p>
    <w:p>
      <w:pPr>
        <w:pBdr/>
        <w:spacing w:after="120" w:before="0" w:line="360" w:lineRule="auto"/>
        <w:ind w:firstLine="720"/>
        <w:rPr/>
      </w:pPr>
      <w:r>
        <w:rPr>
          <w:rFonts w:ascii="Times New Roman" w:hAnsi="Times New Roman"/>
          <w:b w:val="0"/>
          <w:sz w:val="24"/>
        </w:rPr>
        <w:t xml:space="preserve">The i</w:t>
      </w:r>
      <w:r>
        <w:rPr>
          <w:rFonts w:ascii="Times New Roman" w:hAnsi="Times New Roman"/>
          <w:b w:val="0"/>
          <w:sz w:val="24"/>
        </w:rPr>
        <w:t xml:space="preserve">nstrumentation amplifier stage uses the INA128 (Texas Instruments) with gain set to 50 by the external resistor R_G. The INA128 gain equation is G = 1 + 50 kOhm / R_G, yielding R_G = 50 kOhm / (50 - 1) = 1.02 kOhm. At gain 50, a 5 mV sEMG signal produces 2</w:t>
      </w:r>
      <w:r>
        <w:rPr>
          <w:rFonts w:ascii="Times New Roman" w:hAnsi="Times New Roman"/>
          <w:b w:val="0"/>
          <w:sz w:val="24"/>
        </w:rPr>
        <w:t xml:space="preserve">50 mV at the output, and the maximum electrode DC offset of approximately 300 mV produces 15 V at the INA128 output, which exceeds the supply rail. Therefore, the high-pass filter following the INA128 removes this DC component before further amplification.</w:t>
      </w:r>
      <w:r/>
    </w:p>
    <w:p>
      <w:pPr>
        <w:pBdr/>
        <w:spacing w:after="120" w:before="0" w:line="360" w:lineRule="auto"/>
        <w:ind w:firstLine="720"/>
        <w:rPr/>
      </w:pPr>
      <w:r>
        <w:rPr>
          <w:rFonts w:ascii="Times New Roman" w:hAnsi="Times New Roman"/>
          <w:b w:val="0"/>
          <w:sz w:val="24"/>
        </w:rPr>
        <w:t xml:space="preserve">The bandpass filtering is implemented as a cascade of a second-order Sallen-Key high-pass filter (cutoff 20 Hz) a</w:t>
      </w:r>
      <w:r>
        <w:rPr>
          <w:rFonts w:ascii="Times New Roman" w:hAnsi="Times New Roman"/>
          <w:b w:val="0"/>
          <w:sz w:val="24"/>
        </w:rPr>
        <w:t xml:space="preserve">nd a second-order Sallen-Key low-pass filter (cutoff 500 Hz), using MCP6002 rail-to-rail op-amps. Filter component values are calculated from the standard Sallen-Key design equations with Butterworth coefficients (Q = 0.707). For the high-pass stage with f</w:t>
      </w:r>
      <w:r>
        <w:rPr>
          <w:rFonts w:ascii="Times New Roman" w:hAnsi="Times New Roman"/>
          <w:b w:val="0"/>
          <w:sz w:val="24"/>
        </w:rPr>
        <w:t xml:space="preserve">_c = 20 Hz, selecting C = 100 nF yields R = 1 / (2 * pi * f_c * C) = 79.6 kOhm (nearest standard value: 82 kOhm). For the low-pass stage with f_c = 500 Hz, selecting C = 10 nF yields R = 1 / (2 * pi * f_c * C) = 31.8 kOhm (nearest standard value: 33 kOhm).</w:t>
      </w:r>
      <w:r/>
    </w:p>
    <w:p>
      <w:pPr>
        <w:pBdr/>
        <w:spacing w:after="120" w:before="0" w:line="360" w:lineRule="auto"/>
        <w:ind w:firstLine="720"/>
        <w:rPr/>
      </w:pPr>
      <w:r>
        <w:rPr>
          <w:rFonts w:ascii="Times New Roman" w:hAnsi="Times New Roman"/>
          <w:b w:val="0"/>
          <w:sz w:val="24"/>
        </w:rPr>
        <w:t xml:space="preserve">A twin-T passive notch filter at 50 Hz provides power-line rejection with a target depth exceeding 30 dB. The twin-T componen</w:t>
      </w:r>
      <w:r>
        <w:rPr>
          <w:rFonts w:ascii="Times New Roman" w:hAnsi="Times New Roman"/>
          <w:b w:val="0"/>
          <w:sz w:val="24"/>
        </w:rPr>
        <w:t xml:space="preserve">t values are R = 33 kOhm and C = 100 nF, yielding f_notch = 1 / (2 * pi * R * C) = 48.2 Hz, tuned to 50 Hz by adjusting R to 31.8 kOhm (standard value: 33 kOhm with 5 percent tolerance covers the range). A variable gain stage (4x to 10x) follows the notch </w:t>
      </w:r>
      <w:r>
        <w:rPr>
          <w:rFonts w:ascii="Times New Roman" w:hAnsi="Times New Roman"/>
          <w:b w:val="0"/>
          <w:sz w:val="24"/>
        </w:rPr>
        <w:t xml:space="preserve">filter, providing total system gain of 200x to 500x. The 500 Hz Sallen-Key low-pass filter also serves as an anti-aliasing stage, attenuating spectral components above the 1 kHz Nyquist frequency imposed by the 2 kHz ADC sampling rate. Each channel uses a </w:t>
      </w:r>
      <w:r>
        <w:rPr>
          <w:rFonts w:ascii="Times New Roman" w:hAnsi="Times New Roman"/>
          <w:b w:val="0"/>
          <w:sz w:val="24"/>
        </w:rPr>
        <w:t xml:space="preserve">common signal reference tied to the analog ground mid-rail (VCC/2 formed by a resistor divider). A driven right-leg (DRL) circuit is not used at this stage; instead, a single body-reference electrode is connected to the analog ground mid-rail to reduce com</w:t>
      </w:r>
      <w:r>
        <w:rPr>
          <w:rFonts w:ascii="Times New Roman" w:hAnsi="Times New Roman"/>
          <w:b w:val="0"/>
          <w:sz w:val="24"/>
        </w:rPr>
        <w:t xml:space="preserve">mon-mode interference. The PCB layout separates the analog front-end ground plane from the digital ground plane, with a single-point star connection at the power entry to minimise digital switching noise coupling into the microvolt-level sEMG signal paths.</w:t>
      </w:r>
      <w:r>
        <w:rPr>
          <w:rFonts w:ascii="Times New Roman" w:hAnsi="Times New Roman"/>
          <w:b w:val="0"/>
          <w:sz w:val="24"/>
        </w:rPr>
      </w:r>
      <w:r/>
    </w:p>
    <w:p>
      <w:pPr>
        <w:pStyle w:val="876"/>
        <w:pBdr/>
        <w:spacing/>
        <w:ind/>
        <w:rPr/>
      </w:pPr>
      <w:r/>
      <w:bookmarkStart w:id="34" w:name="_Toc34"/>
      <w:r>
        <w:t xml:space="preserve">3.2.2 Electrical Safety</w:t>
      </w:r>
      <w:bookmarkEnd w:id="34"/>
      <w:r/>
      <w:r/>
    </w:p>
    <w:p>
      <w:pPr>
        <w:pBdr/>
        <w:spacing w:after="120" w:before="0" w:line="360" w:lineRule="auto"/>
        <w:ind w:firstLine="720"/>
        <w:rPr/>
      </w:pPr>
      <w:r>
        <w:rPr>
          <w:rFonts w:ascii="Times New Roman" w:hAnsi="Times New Roman"/>
          <w:b w:val="0"/>
          <w:sz w:val="24"/>
        </w:rPr>
        <w:t xml:space="preserve">Because surface electrodes are connected to a human participant, electrical safe</w:t>
      </w:r>
      <w:r>
        <w:rPr>
          <w:rFonts w:ascii="Times New Roman" w:hAnsi="Times New Roman"/>
          <w:b w:val="0"/>
          <w:sz w:val="24"/>
        </w:rPr>
        <w:t xml:space="preserve">ty is addressed explicitly. The system is powered entirely from 9 V batteries with no mains connection, providing inherent isolation from the power grid. The INA128 instrumentation amplifier has high input impedance (10 GOhm) and draws negligible current t</w:t>
      </w:r>
      <w:r>
        <w:rPr>
          <w:rFonts w:ascii="Times New Roman" w:hAnsi="Times New Roman"/>
          <w:b w:val="0"/>
          <w:sz w:val="24"/>
        </w:rPr>
        <w:t xml:space="preserve">hrough the electrodes (less than 1 microampere bias current). Current-limiting resistors (10 kOhm) are placed in series with each electrode lead to limit fault current below 50 microamperes under any single-fault condition. Before any human testing, the sy</w:t>
      </w:r>
      <w:r>
        <w:rPr>
          <w:rFonts w:ascii="Times New Roman" w:hAnsi="Times New Roman"/>
          <w:b w:val="0"/>
          <w:sz w:val="24"/>
        </w:rPr>
        <w:t xml:space="preserve">stem will pass a leakage current test using a multimeter to confirm electrode-to-ground current is below 10 microamperes. Human testing will be conducted only after obtaining institutional ethics approval and written informed consent from each participant.</w:t>
      </w:r>
      <w:r/>
    </w:p>
    <w:p>
      <w:pPr>
        <w:pStyle w:val="876"/>
        <w:pBdr/>
        <w:spacing/>
        <w:ind/>
        <w:rPr/>
      </w:pPr>
      <w:r/>
      <w:bookmarkStart w:id="35" w:name="_Toc35"/>
      <w:r>
        <w:t xml:space="preserve">3.2.3 SNR and Crosstalk Measurement</w:t>
      </w:r>
      <w:bookmarkEnd w:id="35"/>
      <w:r/>
      <w:r/>
    </w:p>
    <w:p>
      <w:pPr>
        <w:pBdr/>
        <w:spacing w:after="120" w:before="0" w:line="360" w:lineRule="auto"/>
        <w:ind w:firstLine="720"/>
        <w:rPr/>
      </w:pPr>
      <w:r>
        <w:rPr>
          <w:rFonts w:ascii="Times New Roman" w:hAnsi="Times New Roman"/>
          <w:b w:val="0"/>
          <w:sz w:val="24"/>
        </w:rPr>
        <w:t xml:space="preserve">S</w:t>
      </w:r>
      <w:r>
        <w:rPr>
          <w:rFonts w:ascii="Times New Roman" w:hAnsi="Times New Roman"/>
          <w:b w:val="0"/>
          <w:sz w:val="24"/>
        </w:rPr>
        <w:t xml:space="preserve">ignal-to-noise ratio will be measured by injecting a known-amplitude 100 Hz sinusoidal test signal into the differential inputs using a function generator, recording the output on an oscilloscope, and computing SNR = 20 * log10(V_signal / V_noise) where V_</w:t>
      </w:r>
      <w:r>
        <w:rPr>
          <w:rFonts w:ascii="Times New Roman" w:hAnsi="Times New Roman"/>
          <w:b w:val="0"/>
          <w:sz w:val="24"/>
        </w:rPr>
        <w:t xml:space="preserve">noise is measured with inputs shorted. The target is SNR &gt; 20 dB. Inter-channel crosstalk will be measured by injecting a signal into one channel and measuring the coupled signal on all other channels with inputs grounded. The target is crosstalk &lt; -40 dB.</w:t>
      </w:r>
      <w:r/>
    </w:p>
    <w:p>
      <w:pPr>
        <w:pStyle w:val="875"/>
        <w:pBdr/>
        <w:spacing/>
        <w:ind/>
        <w:rPr/>
      </w:pPr>
      <w:r/>
      <w:bookmarkStart w:id="36" w:name="_Toc36"/>
      <w:r>
        <w:t xml:space="preserve">3.3 Signal Processing and Machine Learning</w:t>
      </w:r>
      <w:bookmarkEnd w:id="36"/>
      <w:r/>
      <w:r/>
    </w:p>
    <w:p>
      <w:pPr>
        <w:pStyle w:val="876"/>
        <w:pBdr/>
        <w:spacing/>
        <w:ind/>
        <w:rPr/>
      </w:pPr>
      <w:r/>
      <w:bookmarkStart w:id="37" w:name="_Toc37"/>
      <w:r>
        <w:t xml:space="preserve">3.3.1 Data Path</w:t>
      </w:r>
      <w:bookmarkEnd w:id="37"/>
      <w:r/>
      <w:r/>
    </w:p>
    <w:p>
      <w:pPr>
        <w:pBdr/>
        <w:spacing w:after="120" w:before="0" w:line="360" w:lineRule="auto"/>
        <w:ind w:firstLine="720"/>
        <w:rPr/>
      </w:pPr>
      <w:r>
        <w:rPr>
          <w:rFonts w:ascii="Times New Roman" w:hAnsi="Times New Roman"/>
          <w:b w:val="0"/>
          <w:sz w:val="24"/>
        </w:rPr>
        <w:t xml:space="preserve">The complete data path from acquisition to classification i</w:t>
      </w:r>
      <w:r>
        <w:rPr>
          <w:rFonts w:ascii="Times New Roman" w:hAnsi="Times New Roman"/>
          <w:b w:val="0"/>
          <w:sz w:val="24"/>
        </w:rPr>
        <w:t xml:space="preserve">s: (1) the ESP32-S3 ADC samples four channels at 2 kHz via DMA; (2) samples are collected into a 250 ms sliding window (500 samples per channel) with 50 ms step (80 percent overlap); (3) six time-domain features (MAV, RMS, WL, ZC, SSC, Variance) are comput</w:t>
      </w:r>
      <w:r>
        <w:rPr>
          <w:rFonts w:ascii="Times New Roman" w:hAnsi="Times New Roman"/>
          <w:b w:val="0"/>
          <w:sz w:val="24"/>
        </w:rPr>
        <w:t xml:space="preserve">ed per channel, producing a 24-element feature vector; (4) the feature vector is normalised using per-channel mean and standard deviation computed during calibration; (5) the normalised vector is fed to the INT8-quantized 1D-CNN for gesture classification.</w:t>
      </w:r>
      <w:r/>
    </w:p>
    <w:p>
      <w:pPr>
        <w:pStyle w:val="876"/>
        <w:pBdr/>
        <w:spacing/>
        <w:ind/>
        <w:rPr/>
      </w:pPr>
      <w:r/>
      <w:bookmarkStart w:id="38" w:name="_Toc38"/>
      <w:r>
        <w:t xml:space="preserve">3.3.2 Model Architecture and Training</w:t>
      </w:r>
      <w:bookmarkEnd w:id="38"/>
      <w:r/>
      <w:r/>
    </w:p>
    <w:p>
      <w:pPr>
        <w:pBdr/>
        <w:spacing w:after="120" w:before="0" w:line="360" w:lineRule="auto"/>
        <w:ind w:firstLine="720"/>
        <w:rPr/>
      </w:pPr>
      <w:r>
        <w:rPr>
          <w:rFonts w:ascii="Times New Roman" w:hAnsi="Times New Roman"/>
          <w:b w:val="0"/>
          <w:sz w:val="24"/>
        </w:rPr>
        <w:t xml:space="preserve">The 1D-CNN input is the 24-element feature vector (not raw time series). The model comprises two 1D convolutional layers (16 and 32 filters, kernel size 3), each followed by batch n</w:t>
      </w:r>
      <w:r>
        <w:rPr>
          <w:rFonts w:ascii="Times New Roman" w:hAnsi="Times New Roman"/>
          <w:b w:val="0"/>
          <w:sz w:val="24"/>
        </w:rPr>
        <w:t xml:space="preserve">ormalisation and ReLU activation, a global average pooling layer, a dense layer (64 units), and a softmax output layer (8 classes). This architecture keeps the model compact while exploiting local correlations between adjacent features within each channel.</w:t>
      </w:r>
      <w:r/>
    </w:p>
    <w:p>
      <w:pPr>
        <w:pBdr/>
        <w:spacing w:after="120" w:before="0" w:line="360" w:lineRule="auto"/>
        <w:ind w:firstLine="720"/>
        <w:rPr/>
      </w:pPr>
      <w:r>
        <w:rPr>
          <w:rFonts w:ascii="Times New Roman" w:hAnsi="Times New Roman"/>
          <w:b w:val="0"/>
          <w:sz w:val="24"/>
        </w:rPr>
        <w:t xml:space="preserve">Training uses the NinaPro DB5 public dataset (10 subjects, 16 channels at 200 Hz). Four channels are selected (indices 0, 4, 8, 12, evenly spaced around the forearm from the first Myo armband posit</w:t>
      </w:r>
      <w:r>
        <w:rPr>
          <w:rFonts w:ascii="Times New Roman" w:hAnsi="Times New Roman"/>
          <w:b w:val="0"/>
          <w:sz w:val="24"/>
        </w:rPr>
        <w:t xml:space="preserve">ion) to match the proposed hardware configuration. Windowing uses 50 samples at 200 Hz (equivalent to 250 ms), consistent with the hardware window of 500 samples at 2 kHz. The Rest class is undersampled to match the mean gesture class count, addressing the</w:t>
      </w:r>
      <w:r>
        <w:rPr>
          <w:rFonts w:ascii="Times New Roman" w:hAnsi="Times New Roman"/>
          <w:b w:val="0"/>
          <w:sz w:val="24"/>
        </w:rPr>
        <w:t xml:space="preserve"> 73 percent Rest-class imbalance observed in the data. The dataset is split into train (70 percent), validation (15 percent), and test (15 percent) sets, with subject independence preserved (no subject appears in more than one split) to avoid data leakage.</w:t>
      </w:r>
      <w:r/>
    </w:p>
    <w:p>
      <w:pPr>
        <w:pBdr/>
        <w:spacing w:after="120" w:before="0" w:line="360" w:lineRule="auto"/>
        <w:ind w:firstLine="720"/>
        <w:rPr/>
      </w:pPr>
      <w:r>
        <w:rPr>
          <w:rFonts w:ascii="Times New Roman" w:hAnsi="Times New Roman"/>
          <w:b w:val="0"/>
          <w:sz w:val="24"/>
        </w:rPr>
        <w:t xml:space="preserve">Baseline classifiers (LDA, SVM, Rando</w:t>
      </w:r>
      <w:r>
        <w:rPr>
          <w:rFonts w:ascii="Times New Roman" w:hAnsi="Times New Roman"/>
          <w:b w:val="0"/>
          <w:sz w:val="24"/>
        </w:rPr>
        <w:t xml:space="preserve">m Forest) are trained on the same feature set to establish a performance reference. If all baselines exceed the 0.85 F1 target, the 1D-CNN is still preferred for its embedded deployment path via TFLite Micro. If the baselines match or exceed the CNN, this </w:t>
      </w:r>
      <w:r>
        <w:rPr>
          <w:rFonts w:ascii="Times New Roman" w:hAnsi="Times New Roman"/>
          <w:b w:val="0"/>
          <w:sz w:val="24"/>
        </w:rPr>
        <w:t xml:space="preserve">will be reported as a finding. After training, the 1D-CNN is quantized to INT8 using TensorFlow Lite post-training quantization and benchmarked for model size (target: less than 100 KB), peak RAM usage, and inference time before deployment on the ESP32-S3.</w:t>
      </w:r>
      <w:r/>
    </w:p>
    <w:p>
      <w:pPr>
        <w:pStyle w:val="876"/>
        <w:pBdr/>
        <w:spacing/>
        <w:ind/>
        <w:rPr/>
      </w:pPr>
      <w:r/>
      <w:bookmarkStart w:id="39" w:name="_Toc39"/>
      <w:r>
        <w:t xml:space="preserve">3.3.3 Calibration and Participant Testing</w:t>
      </w:r>
      <w:bookmarkEnd w:id="39"/>
      <w:r/>
      <w:r/>
    </w:p>
    <w:p>
      <w:pPr>
        <w:pBdr/>
        <w:spacing w:after="120" w:before="0" w:line="360" w:lineRule="auto"/>
        <w:ind w:firstLine="720"/>
        <w:rPr/>
      </w:pPr>
      <w:r>
        <w:rPr>
          <w:rFonts w:ascii="Times New Roman" w:hAnsi="Times New Roman"/>
          <w:b w:val="0"/>
          <w:sz w:val="24"/>
        </w:rPr>
        <w:t xml:space="preserve">The BLE calibration protocol guides each participant through 8 gestures, 3 repetitions each, with 5 seconds per repetition and 3 seconds rest between gestures, totalling approximately 3 minut</w:t>
      </w:r>
      <w:r>
        <w:rPr>
          <w:rFonts w:ascii="Times New Roman" w:hAnsi="Times New Roman"/>
          <w:b w:val="0"/>
          <w:sz w:val="24"/>
        </w:rPr>
        <w:t xml:space="preserve">es. During calibration, the system collects the participant's sEMG features and uses transfer learning to fine-tune the last dense layer of the pre-trained 1D-CNN to the individual. The personalised model parameters are stored on the ESP32-S3 flash memory.</w:t>
      </w:r>
      <w:r/>
    </w:p>
    <w:p>
      <w:pPr>
        <w:pBdr/>
        <w:spacing w:after="120" w:before="0" w:line="360" w:lineRule="auto"/>
        <w:ind w:firstLine="720"/>
        <w:rPr/>
      </w:pPr>
      <w:r>
        <w:rPr>
          <w:rFonts w:ascii="Times New Roman" w:hAnsi="Times New Roman"/>
          <w:b w:val="0"/>
          <w:sz w:val="24"/>
        </w:rPr>
        <w:t xml:space="preserve">For the five-subject evaluation, participants will be healthy adults (age 18-35) with no known neuromuscular</w:t>
      </w:r>
      <w:r>
        <w:rPr>
          <w:rFonts w:ascii="Times New Roman" w:hAnsi="Times New Roman"/>
          <w:b w:val="0"/>
          <w:sz w:val="24"/>
        </w:rPr>
        <w:t xml:space="preserve"> conditions. Inclusion criteria: ability to perform all 8 gestures with the dominant hand. Electrode placement follows the protocol defined in the signal specification: Ag/AgCl surface electrodes on four forearm muscle bellies, cleaned with alcohol prep. E</w:t>
      </w:r>
      <w:r>
        <w:rPr>
          <w:rFonts w:ascii="Times New Roman" w:hAnsi="Times New Roman"/>
          <w:b w:val="0"/>
          <w:sz w:val="24"/>
        </w:rPr>
        <w:t xml:space="preserve">ach participant performs 5 repetitions of each gesture (40 trials total) after calibration. Institutional ethics approval and written informed consent will be obtained before any human data collection. Participants may withdraw at any time without penalty.</w:t>
      </w:r>
      <w:r/>
    </w:p>
    <w:p>
      <w:pPr>
        <w:pStyle w:val="876"/>
        <w:pBdr/>
        <w:spacing/>
        <w:ind/>
        <w:rPr/>
      </w:pPr>
      <w:r/>
      <w:bookmarkStart w:id="40" w:name="_Toc40"/>
      <w:r>
        <w:t xml:space="preserve">3.3.4 Metrics Definition</w:t>
      </w:r>
      <w:bookmarkEnd w:id="40"/>
      <w:r/>
      <w:r/>
    </w:p>
    <w:p>
      <w:pPr>
        <w:pBdr/>
        <w:spacing w:after="120" w:before="0" w:line="360" w:lineRule="auto"/>
        <w:ind w:firstLine="720"/>
        <w:rPr/>
      </w:pPr>
      <w:r>
        <w:rPr>
          <w:rFonts w:ascii="Times New Roman" w:hAnsi="Times New Roman"/>
          <w:b w:val="0"/>
          <w:sz w:val="24"/>
        </w:rPr>
        <w:t xml:space="preserve">Accuracy is the proportion of correctly classified gestures out of t</w:t>
      </w:r>
      <w:r>
        <w:rPr>
          <w:rFonts w:ascii="Times New Roman" w:hAnsi="Times New Roman"/>
          <w:b w:val="0"/>
          <w:sz w:val="24"/>
        </w:rPr>
        <w:t xml:space="preserve">otal trials. Macro F1 is the unweighted average of per-class F1 scores, computed as F1 = 2 * precision * recall / (precision + recall). Actuation correctness is the proportion of classified gestures that produce the correct finger-and-wrist posture on the </w:t>
      </w:r>
      <w:r>
        <w:rPr>
          <w:rFonts w:ascii="Times New Roman" w:hAnsi="Times New Roman"/>
          <w:b w:val="0"/>
          <w:sz w:val="24"/>
        </w:rPr>
        <w:t xml:space="preserve">prosthetic hand (a separate metric from classification accuracy, as decision filtering may reject low-confidence predictions). Calibration improvement is defined as the difference in accuracy between the calibrated and uncalibrated models for each subject.</w:t>
      </w:r>
      <w:r>
        <w:rPr>
          <w:rFonts w:ascii="Times New Roman" w:hAnsi="Times New Roman"/>
          <w:b w:val="0"/>
          <w:sz w:val="24"/>
        </w:rPr>
      </w:r>
      <w:r/>
    </w:p>
    <w:p>
      <w:pPr>
        <w:pBdr/>
        <w:spacing w:after="120" w:before="0" w:line="360" w:lineRule="auto"/>
        <w:ind w:firstLine="720"/>
        <w:rPr/>
      </w:pPr>
      <w:r>
        <w:rPr>
          <w:rFonts w:ascii="Times New Roman" w:hAnsi="Times New Roman"/>
          <w:b w:val="0"/>
          <w:sz w:val="24"/>
        </w:rPr>
        <w:t xml:space="preserve">Latency is d</w:t>
      </w:r>
      <w:r>
        <w:rPr>
          <w:rFonts w:ascii="Times New Roman" w:hAnsi="Times New Roman"/>
          <w:b w:val="0"/>
          <w:sz w:val="24"/>
        </w:rPr>
        <w:t xml:space="preserve">istinguished into three components: (1) model inference time, measured from feature vector input to classification output on the ESP32-S3; (2) decision time, including confidence filtering and debounce logic; (3) total system response time, measured from t</w:t>
      </w:r>
      <w:r>
        <w:rPr>
          <w:rFonts w:ascii="Times New Roman" w:hAnsi="Times New Roman"/>
          <w:b w:val="0"/>
          <w:sz w:val="24"/>
        </w:rPr>
        <w:t xml:space="preserve">he end of the 250 ms analysis window to servo motion onset. The 50 ms target refers to component (1), model inference time. Total system response time is expected to be 250 ms (window) + 50 ms (inference) + servo latency, which will be reported separately.</w:t>
      </w:r>
      <w:r/>
    </w:p>
    <w:p>
      <w:pPr>
        <w:pStyle w:val="875"/>
        <w:pBdr/>
        <w:spacing/>
        <w:ind/>
        <w:rPr/>
      </w:pPr>
      <w:r/>
      <w:bookmarkStart w:id="41" w:name="_Toc41"/>
      <w:r>
        <w:t xml:space="preserve">3.4 Actuation and End-to-End Integration</w:t>
      </w:r>
      <w:bookmarkEnd w:id="41"/>
      <w:r/>
      <w:r/>
    </w:p>
    <w:p>
      <w:pPr>
        <w:pBdr/>
        <w:spacing w:after="120" w:before="0" w:line="360" w:lineRule="auto"/>
        <w:ind w:firstLine="720"/>
        <w:rPr/>
      </w:pPr>
      <w:r>
        <w:rPr>
          <w:rFonts w:ascii="Times New Roman" w:hAnsi="Times New Roman"/>
          <w:b w:val="0"/>
          <w:sz w:val="24"/>
        </w:rPr>
        <w:t xml:space="preserve">The PCA9685 I2C PWM driver generates servo control signals for six servo motors: five SG90 micro-servos actuate individual finger tendons (thumb, index, middle, ring, little -- PCA9685 channels 0--4) and one MG996R servo control</w:t>
      </w:r>
      <w:r>
        <w:rPr>
          <w:rFonts w:ascii="Times New Roman" w:hAnsi="Times New Roman"/>
          <w:b w:val="0"/>
          <w:sz w:val="24"/>
        </w:rPr>
        <w:t xml:space="preserve">s wrist rotation (PCA9685 channel 5) on a 5-finger tendon-driven 3D-printed prosthetic hand based on the open-source Ada Hand design (PETG, 174x193x42 mm palm). The eight classified gestures map to distinct finger-and-wrist postures as follows: Rest (all f</w:t>
      </w:r>
      <w:r>
        <w:rPr>
          <w:rFonts w:ascii="Times New Roman" w:hAnsi="Times New Roman"/>
          <w:b w:val="0"/>
          <w:sz w:val="24"/>
        </w:rPr>
        <w:t xml:space="preserve">ingers neutral, wrist centred -- no servo change); Open Hand (all five SG90 fully extended, wrist centred); Power Grasp (all five SG90 fully flexed, wrist centred); Pinch Grip (thumb + index flexed, middle/ring/little extended, wrist centred); Point (index</w:t>
      </w:r>
      <w:r>
        <w:rPr>
          <w:rFonts w:ascii="Times New Roman" w:hAnsi="Times New Roman"/>
          <w:b w:val="0"/>
          <w:sz w:val="24"/>
        </w:rPr>
        <w:t xml:space="preserve"> fully extended, all other fingers flexed, wrist centred); Wrist Flexion (all fingers neutral, MG996R rotates wrist downward 45 degrees); Wrist Extension (all fingers neutral, MG996R rotates wrist upward 45 degrees); Thumbs Up (thumb fully extended, all ot</w:t>
      </w:r>
      <w:r>
        <w:rPr>
          <w:rFonts w:ascii="Times New Roman" w:hAnsi="Times New Roman"/>
          <w:b w:val="0"/>
          <w:sz w:val="24"/>
        </w:rPr>
        <w:t xml:space="preserve">her fingers flexed, wrist centred -- also used as mode-selection toggle). All eight classes produce a distinct physical posture in the 5-finger hand; no class is purely a control command, since the tendon-driven hand can independently position each finger.</w:t>
      </w:r>
      <w:r>
        <w:rPr>
          <w:rFonts w:ascii="Times New Roman" w:hAnsi="Times New Roman"/>
          <w:b w:val="0"/>
          <w:sz w:val="24"/>
        </w:rPr>
      </w:r>
      <w:r/>
    </w:p>
    <w:p>
      <w:pPr>
        <w:pBdr/>
        <w:spacing w:after="120" w:before="0" w:line="360" w:lineRule="auto"/>
        <w:ind w:firstLine="720"/>
        <w:rPr/>
      </w:pPr>
      <w:r>
        <w:rPr>
          <w:rFonts w:ascii="Times New Roman" w:hAnsi="Times New Roman"/>
          <w:b w:val="0"/>
          <w:sz w:val="24"/>
        </w:rPr>
        <w:t xml:space="preserve">Safety logic prevents unintended actuation: a confidence threshold (initially 0.7) rejects low-confidence predictions; tempo</w:t>
      </w:r>
      <w:r>
        <w:rPr>
          <w:rFonts w:ascii="Times New Roman" w:hAnsi="Times New Roman"/>
          <w:b w:val="0"/>
          <w:sz w:val="24"/>
        </w:rPr>
        <w:t xml:space="preserve">ral debounce requires two consecutive identical classifications before issuing a command; and a command hold time of 500 ms prevents rapid servo oscillation. An emergency stop mechanism (physical button and BLE command) immediately de-energises the servos.</w:t>
      </w:r>
      <w:r/>
    </w:p>
    <w:p>
      <w:pPr>
        <w:pStyle w:val="875"/>
        <w:pBdr/>
        <w:spacing/>
        <w:ind/>
        <w:rPr/>
      </w:pPr>
      <w:r/>
      <w:bookmarkStart w:id="42" w:name="_Toc42"/>
      <w:r>
        <w:t xml:space="preserve">3.5 Ethics, Safety, and Data Considerations</w:t>
      </w:r>
      <w:bookmarkEnd w:id="42"/>
      <w:r/>
      <w:r/>
    </w:p>
    <w:p>
      <w:pPr>
        <w:pBdr/>
        <w:spacing w:after="120" w:before="0" w:line="360" w:lineRule="auto"/>
        <w:ind w:firstLine="720"/>
        <w:rPr/>
      </w:pPr>
      <w:r>
        <w:rPr>
          <w:rFonts w:ascii="Times New Roman" w:hAnsi="Times New Roman"/>
          <w:b w:val="0"/>
          <w:sz w:val="24"/>
        </w:rPr>
        <w:t xml:space="preserve">Human-subject testing will be conducted only after institutional ethics approval and informed consent. The prototype is a research demonstrator, not a certified medical device. Participant </w:t>
      </w:r>
      <w:r>
        <w:rPr>
          <w:rFonts w:ascii="Times New Roman" w:hAnsi="Times New Roman"/>
          <w:b w:val="0"/>
          <w:sz w:val="24"/>
        </w:rPr>
        <w:t xml:space="preserve">data will be pseudonymised and stored with access restricted to the research team. The actuator system includes software limits and a physical power-disconnect mechanism for immediate test termination. Participants may withdraw at any time without penalty.</w:t>
      </w:r>
      <w:r/>
    </w:p>
    <w:p>
      <w:pPr>
        <w:pStyle w:val="875"/>
        <w:pBdr/>
        <w:spacing/>
        <w:ind/>
        <w:rPr/>
      </w:pPr>
      <w:r/>
      <w:bookmarkStart w:id="43" w:name="_Toc43"/>
      <w:r>
        <w:t xml:space="preserve">3.6 Cost Evaluation</w:t>
      </w:r>
      <w:bookmarkEnd w:id="43"/>
      <w:r/>
      <w:r/>
    </w:p>
    <w:p>
      <w:pPr>
        <w:pBdr/>
        <w:spacing w:after="120" w:before="0" w:line="360" w:lineRule="auto"/>
        <w:ind w:firstLine="720"/>
        <w:rPr/>
      </w:pPr>
      <w:r>
        <w:rPr>
          <w:rFonts w:ascii="Times New Roman" w:hAnsi="Times New Roman"/>
          <w:b w:val="0"/>
          <w:sz w:val="24"/>
        </w:rPr>
        <w:t xml:space="preserve">Because "low-cost" is a central claim in the project title, cost is treated as a measurable design requirement. The USD 20 target refers specifically to Tier A: the electronics BOM (integrated circuits, passive compo</w:t>
      </w:r>
      <w:r>
        <w:rPr>
          <w:rFonts w:ascii="Times New Roman" w:hAnsi="Times New Roman"/>
          <w:b w:val="0"/>
          <w:sz w:val="24"/>
        </w:rPr>
        <w:t xml:space="preserve">nents, and connectors). This is compared against published electronics costs: Molinari et al. report more than USD 500 [4]; commercial systems range from USD 3,000 to USD 8,000. The comparison demonstrates the cost reduction, not merely the absolute value.</w:t>
      </w:r>
      <w:r/>
    </w:p>
    <w:p>
      <w:pPr>
        <w:pBdr/>
        <w:spacing w:after="120" w:before="240" w:line="360" w:lineRule="auto"/>
        <w:ind/>
        <w:rPr/>
      </w:pPr>
      <w:r>
        <w:rPr>
          <w:rFonts w:ascii="Times New Roman" w:hAnsi="Times New Roman"/>
          <w:b/>
          <w:sz w:val="24"/>
        </w:rPr>
        <w:t xml:space="preserve">Table 5: Cost Tiers</w:t>
      </w:r>
      <w:r/>
    </w:p>
    <w:tbl>
      <w:tblPr>
        <w:tblStyle w:val="934"/>
        <w:jc w:val="center"/>
        <w:tblW w:w="0" w:type="auto"/>
        <w:tblBorders/>
        <w:tblLook w:val="04A0" w:firstRow="1" w:lastRow="0" w:firstColumn="1" w:lastColumn="0" w:noHBand="0" w:noVBand="1"/>
      </w:tblPr>
      <w:tblGrid>
        <w:gridCol w:w="2771"/>
        <w:gridCol w:w="2771"/>
        <w:gridCol w:w="2771"/>
      </w:tblGrid>
      <w:tr>
        <w:trPr/>
        <w:tc>
          <w:tcPr>
            <w:tcBorders/>
            <w:tcW w:w="2771" w:type="dxa"/>
          </w:tcPr>
          <w:p>
            <w:pPr>
              <w:pBdr/>
              <w:spacing/>
              <w:ind/>
              <w:rPr/>
            </w:pPr>
            <w:r>
              <w:rPr>
                <w:rFonts w:ascii="Times New Roman" w:hAnsi="Times New Roman"/>
                <w:b/>
                <w:sz w:val="20"/>
              </w:rPr>
              <w:t xml:space="preserve">Tier</w:t>
            </w:r>
            <w:r/>
          </w:p>
        </w:tc>
        <w:tc>
          <w:tcPr>
            <w:tcBorders/>
            <w:tcW w:w="2771" w:type="dxa"/>
          </w:tcPr>
          <w:p>
            <w:pPr>
              <w:pBdr/>
              <w:spacing/>
              <w:ind/>
              <w:rPr/>
            </w:pPr>
            <w:r>
              <w:rPr>
                <w:rFonts w:ascii="Times New Roman" w:hAnsi="Times New Roman"/>
                <w:b/>
                <w:sz w:val="20"/>
              </w:rPr>
              <w:t xml:space="preserve">Contents</w:t>
            </w:r>
            <w:r/>
          </w:p>
        </w:tc>
        <w:tc>
          <w:tcPr>
            <w:tcBorders/>
            <w:tcW w:w="2771" w:type="dxa"/>
          </w:tcPr>
          <w:p>
            <w:pPr>
              <w:pBdr/>
              <w:spacing/>
              <w:ind/>
              <w:rPr/>
            </w:pPr>
            <w:r>
              <w:rPr>
                <w:rFonts w:ascii="Times New Roman" w:hAnsi="Times New Roman"/>
                <w:b/>
                <w:sz w:val="20"/>
              </w:rPr>
              <w:t xml:space="preserve">Target</w:t>
            </w:r>
            <w:r/>
          </w:p>
        </w:tc>
      </w:tr>
      <w:tr>
        <w:trPr/>
        <w:tc>
          <w:tcPr>
            <w:tcBorders/>
            <w:tcW w:w="2771" w:type="dxa"/>
          </w:tcPr>
          <w:p>
            <w:pPr>
              <w:pBdr/>
              <w:spacing/>
              <w:ind/>
              <w:rPr/>
            </w:pPr>
            <w:r>
              <w:rPr>
                <w:rFonts w:ascii="Times New Roman" w:hAnsi="Times New Roman"/>
                <w:sz w:val="20"/>
              </w:rPr>
              <w:t xml:space="preserve">A: Electronics BOM</w:t>
            </w:r>
            <w:r/>
          </w:p>
        </w:tc>
        <w:tc>
          <w:tcPr>
            <w:tcBorders/>
            <w:tcW w:w="2771" w:type="dxa"/>
          </w:tcPr>
          <w:p>
            <w:pPr>
              <w:pBdr/>
              <w:spacing/>
              <w:ind/>
              <w:rPr/>
            </w:pPr>
            <w:r>
              <w:rPr>
                <w:rFonts w:ascii="Times New Roman" w:hAnsi="Times New Roman"/>
                <w:sz w:val="20"/>
              </w:rPr>
              <w:t xml:space="preserve">ICs, passives, connectors</w:t>
            </w:r>
            <w:r/>
          </w:p>
        </w:tc>
        <w:tc>
          <w:tcPr>
            <w:tcBorders/>
            <w:tcW w:w="2771" w:type="dxa"/>
          </w:tcPr>
          <w:p>
            <w:pPr>
              <w:pBdr/>
              <w:spacing/>
              <w:ind/>
              <w:rPr/>
            </w:pPr>
            <w:r>
              <w:rPr>
                <w:rFonts w:ascii="Times New Roman" w:hAnsi="Times New Roman"/>
                <w:sz w:val="20"/>
              </w:rPr>
              <w:t xml:space="preserve">&lt; USD 20 (approx. KES 2,600; current BOM KES 3,150 -- target via component optimisation)</w:t>
            </w:r>
            <w:r/>
          </w:p>
        </w:tc>
      </w:tr>
      <w:tr>
        <w:trPr/>
        <w:tc>
          <w:tcPr>
            <w:tcBorders/>
            <w:tcW w:w="2771" w:type="dxa"/>
          </w:tcPr>
          <w:p>
            <w:pPr>
              <w:pBdr/>
              <w:spacing/>
              <w:ind/>
              <w:rPr/>
            </w:pPr>
            <w:r>
              <w:rPr>
                <w:rFonts w:ascii="Times New Roman" w:hAnsi="Times New Roman"/>
                <w:sz w:val="20"/>
              </w:rPr>
              <w:t xml:space="preserve">B: Prototype BOM</w:t>
            </w:r>
            <w:r/>
          </w:p>
        </w:tc>
        <w:tc>
          <w:tcPr>
            <w:tcBorders/>
            <w:tcW w:w="2771" w:type="dxa"/>
          </w:tcPr>
          <w:p>
            <w:pPr>
              <w:pBdr/>
              <w:spacing/>
              <w:ind/>
              <w:rPr/>
            </w:pPr>
            <w:r>
              <w:rPr>
                <w:rFonts w:ascii="Times New Roman" w:hAnsi="Times New Roman"/>
                <w:sz w:val="20"/>
              </w:rPr>
              <w:t xml:space="preserve">Tier A + PCB fab, 3D printing, batteries, servos</w:t>
            </w:r>
            <w:r/>
          </w:p>
        </w:tc>
        <w:tc>
          <w:tcPr>
            <w:tcBorders/>
            <w:tcW w:w="2771" w:type="dxa"/>
          </w:tcPr>
          <w:p>
            <w:pPr>
              <w:pBdr/>
              <w:spacing/>
              <w:ind/>
              <w:rPr/>
            </w:pPr>
            <w:r>
              <w:rPr>
                <w:rFonts w:ascii="Times New Roman" w:hAnsi="Times New Roman"/>
                <w:sz w:val="20"/>
              </w:rPr>
              <w:t xml:space="preserve">&lt; USD 65 (approx. KES 8,700; current full BOM KES 8,700)</w:t>
            </w:r>
            <w:r/>
          </w:p>
        </w:tc>
      </w:tr>
      <w:tr>
        <w:trPr/>
        <w:tc>
          <w:tcPr>
            <w:tcBorders/>
            <w:tcW w:w="2771" w:type="dxa"/>
          </w:tcPr>
          <w:p>
            <w:pPr>
              <w:pBdr/>
              <w:spacing/>
              <w:ind/>
              <w:rPr/>
            </w:pPr>
            <w:r>
              <w:rPr>
                <w:rFonts w:ascii="Times New Roman" w:hAnsi="Times New Roman"/>
                <w:sz w:val="20"/>
              </w:rPr>
              <w:t xml:space="preserve">C: Volume (100+ units)</w:t>
            </w:r>
            <w:r/>
          </w:p>
        </w:tc>
        <w:tc>
          <w:tcPr>
            <w:tcBorders/>
            <w:tcW w:w="2771" w:type="dxa"/>
          </w:tcPr>
          <w:p>
            <w:pPr>
              <w:pBdr/>
              <w:spacing/>
              <w:ind/>
              <w:rPr/>
            </w:pPr>
            <w:r>
              <w:rPr>
                <w:rFonts w:ascii="Times New Roman" w:hAnsi="Times New Roman"/>
                <w:sz w:val="20"/>
              </w:rPr>
              <w:t xml:space="preserve">Tier A at volume pricing</w:t>
            </w:r>
            <w:r/>
          </w:p>
        </w:tc>
        <w:tc>
          <w:tcPr>
            <w:tcBorders/>
            <w:tcW w:w="2771" w:type="dxa"/>
          </w:tcPr>
          <w:p>
            <w:pPr>
              <w:pBdr/>
              <w:spacing/>
              <w:ind/>
              <w:rPr/>
            </w:pPr>
            <w:r>
              <w:rPr>
                <w:rFonts w:ascii="Times New Roman" w:hAnsi="Times New Roman"/>
                <w:sz w:val="20"/>
              </w:rPr>
              <w:t xml:space="preserve">&lt; USD 15 (approx. KES 1,950 at volume pricing)</w:t>
            </w:r>
            <w:r/>
          </w:p>
        </w:tc>
      </w:tr>
    </w:tbl>
    <w:p>
      <w:pPr>
        <w:pBdr/>
        <w:spacing/>
        <w:ind/>
        <w:rPr/>
      </w:pPr>
      <w:r/>
      <w:r/>
    </w:p>
    <w:p>
      <w:pPr>
        <w:pStyle w:val="875"/>
        <w:pBdr/>
        <w:spacing/>
        <w:ind/>
        <w:rPr/>
      </w:pPr>
      <w:r/>
      <w:bookmarkStart w:id="44" w:name="_Toc44"/>
      <w:r>
        <w:t xml:space="preserve">3.7 System Testing and Evaluation</w:t>
      </w:r>
      <w:bookmarkEnd w:id="44"/>
      <w:r/>
      <w:r/>
    </w:p>
    <w:p>
      <w:pPr>
        <w:pBdr/>
        <w:spacing w:after="120" w:before="0" w:line="360" w:lineRule="auto"/>
        <w:ind w:firstLine="720"/>
        <w:rPr/>
      </w:pPr>
      <w:r>
        <w:rPr>
          <w:rFonts w:ascii="Times New Roman" w:hAnsi="Times New Roman"/>
          <w:b w:val="0"/>
          <w:sz w:val="24"/>
        </w:rPr>
        <w:t xml:space="preserve">Testing is organised into four layers corresponding to the system modules:</w:t>
      </w:r>
      <w:r/>
    </w:p>
    <w:p>
      <w:pPr>
        <w:pBdr/>
        <w:spacing w:after="120" w:before="240" w:line="360" w:lineRule="auto"/>
        <w:ind/>
        <w:rPr/>
      </w:pPr>
      <w:r>
        <w:rPr>
          <w:rFonts w:ascii="Times New Roman" w:hAnsi="Times New Roman"/>
          <w:b/>
          <w:sz w:val="24"/>
        </w:rPr>
        <w:t xml:space="preserve">Table 4: Performance Targets</w:t>
      </w:r>
      <w:r/>
    </w:p>
    <w:tbl>
      <w:tblPr>
        <w:tblStyle w:val="934"/>
        <w:jc w:val="center"/>
        <w:tblW w:w="0" w:type="auto"/>
        <w:tblBorders/>
        <w:tblLook w:val="04A0" w:firstRow="1" w:lastRow="0" w:firstColumn="1" w:lastColumn="0" w:noHBand="0" w:noVBand="1"/>
      </w:tblPr>
      <w:tblGrid>
        <w:gridCol w:w="2771"/>
        <w:gridCol w:w="2771"/>
        <w:gridCol w:w="2771"/>
      </w:tblGrid>
      <w:tr>
        <w:trPr/>
        <w:tc>
          <w:tcPr>
            <w:tcBorders/>
            <w:tcW w:w="2771" w:type="dxa"/>
          </w:tcPr>
          <w:p>
            <w:pPr>
              <w:pBdr/>
              <w:spacing/>
              <w:ind/>
              <w:rPr/>
            </w:pPr>
            <w:r>
              <w:rPr>
                <w:rFonts w:ascii="Times New Roman" w:hAnsi="Times New Roman"/>
                <w:b/>
                <w:sz w:val="20"/>
              </w:rPr>
              <w:t xml:space="preserve">Layer</w:t>
            </w:r>
            <w:r/>
          </w:p>
        </w:tc>
        <w:tc>
          <w:tcPr>
            <w:tcBorders/>
            <w:tcW w:w="2771" w:type="dxa"/>
          </w:tcPr>
          <w:p>
            <w:pPr>
              <w:pBdr/>
              <w:spacing/>
              <w:ind/>
              <w:rPr/>
            </w:pPr>
            <w:r>
              <w:rPr>
                <w:rFonts w:ascii="Times New Roman" w:hAnsi="Times New Roman"/>
                <w:b/>
                <w:sz w:val="20"/>
              </w:rPr>
              <w:t xml:space="preserve">Metric</w:t>
            </w:r>
            <w:r/>
          </w:p>
        </w:tc>
        <w:tc>
          <w:tcPr>
            <w:tcBorders/>
            <w:tcW w:w="2771" w:type="dxa"/>
          </w:tcPr>
          <w:p>
            <w:pPr>
              <w:pBdr/>
              <w:spacing/>
              <w:ind/>
              <w:rPr/>
            </w:pPr>
            <w:r>
              <w:rPr>
                <w:rFonts w:ascii="Times New Roman" w:hAnsi="Times New Roman"/>
                <w:b/>
                <w:sz w:val="20"/>
              </w:rPr>
              <w:t xml:space="preserve">Target</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Signal-to-noise ratio</w:t>
            </w:r>
            <w:r/>
          </w:p>
        </w:tc>
        <w:tc>
          <w:tcPr>
            <w:tcBorders/>
            <w:tcW w:w="2771" w:type="dxa"/>
          </w:tcPr>
          <w:p>
            <w:pPr>
              <w:pBdr/>
              <w:spacing/>
              <w:ind/>
              <w:rPr/>
            </w:pPr>
            <w:r>
              <w:rPr>
                <w:rFonts w:ascii="Times New Roman" w:hAnsi="Times New Roman"/>
                <w:sz w:val="20"/>
              </w:rPr>
              <w:t xml:space="preserve">&gt; 20 dB</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Inter-channel crosstalk</w:t>
            </w:r>
            <w:r/>
          </w:p>
        </w:tc>
        <w:tc>
          <w:tcPr>
            <w:tcBorders/>
            <w:tcW w:w="2771" w:type="dxa"/>
          </w:tcPr>
          <w:p>
            <w:pPr>
              <w:pBdr/>
              <w:spacing/>
              <w:ind/>
              <w:rPr/>
            </w:pPr>
            <w:r>
              <w:rPr>
                <w:rFonts w:ascii="Times New Roman" w:hAnsi="Times New Roman"/>
                <w:sz w:val="20"/>
              </w:rPr>
              <w:t xml:space="preserve">&lt; -40 dB</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50 Hz notch rejection</w:t>
            </w:r>
            <w:r/>
          </w:p>
        </w:tc>
        <w:tc>
          <w:tcPr>
            <w:tcBorders/>
            <w:tcW w:w="2771" w:type="dxa"/>
          </w:tcPr>
          <w:p>
            <w:pPr>
              <w:pBdr/>
              <w:spacing/>
              <w:ind/>
              <w:rPr/>
            </w:pPr>
            <w:r>
              <w:rPr>
                <w:rFonts w:ascii="Times New Roman" w:hAnsi="Times New Roman"/>
                <w:sz w:val="20"/>
              </w:rPr>
              <w:t xml:space="preserve">&gt; 30 dB</w:t>
            </w:r>
            <w:r/>
          </w:p>
        </w:tc>
      </w:tr>
      <w:tr>
        <w:trPr/>
        <w:tc>
          <w:tcPr>
            <w:tcBorders/>
            <w:tcW w:w="2771" w:type="dxa"/>
          </w:tcPr>
          <w:p>
            <w:pPr>
              <w:pBdr/>
              <w:spacing/>
              <w:ind/>
              <w:rPr/>
            </w:pPr>
            <w:r>
              <w:rPr>
                <w:rFonts w:ascii="Times New Roman" w:hAnsi="Times New Roman"/>
                <w:sz w:val="20"/>
              </w:rPr>
              <w:t xml:space="preserve">ML (offline)</w:t>
            </w:r>
            <w:r/>
          </w:p>
        </w:tc>
        <w:tc>
          <w:tcPr>
            <w:tcBorders/>
            <w:tcW w:w="2771" w:type="dxa"/>
          </w:tcPr>
          <w:p>
            <w:pPr>
              <w:pBdr/>
              <w:spacing/>
              <w:ind/>
              <w:rPr/>
            </w:pPr>
            <w:r>
              <w:rPr>
                <w:rFonts w:ascii="Times New Roman" w:hAnsi="Times New Roman"/>
                <w:sz w:val="20"/>
              </w:rPr>
              <w:t xml:space="preserve">Macro F1 on NinaPro DB5</w:t>
            </w:r>
            <w:r/>
          </w:p>
        </w:tc>
        <w:tc>
          <w:tcPr>
            <w:tcBorders/>
            <w:tcW w:w="2771" w:type="dxa"/>
          </w:tcPr>
          <w:p>
            <w:pPr>
              <w:pBdr/>
              <w:spacing/>
              <w:ind/>
              <w:rPr/>
            </w:pPr>
            <w:r>
              <w:rPr>
                <w:rFonts w:ascii="Times New Roman" w:hAnsi="Times New Roman"/>
                <w:sz w:val="20"/>
              </w:rPr>
              <w:t xml:space="preserve">&gt;= 0.85</w:t>
            </w:r>
            <w:r/>
          </w:p>
        </w:tc>
      </w:tr>
      <w:tr>
        <w:trPr/>
        <w:tc>
          <w:tcPr>
            <w:tcBorders/>
            <w:tcW w:w="2771" w:type="dxa"/>
          </w:tcPr>
          <w:p>
            <w:pPr>
              <w:pBdr/>
              <w:spacing/>
              <w:ind/>
              <w:rPr/>
            </w:pPr>
            <w:r>
              <w:rPr>
                <w:rFonts w:ascii="Times New Roman" w:hAnsi="Times New Roman"/>
                <w:sz w:val="20"/>
              </w:rPr>
              <w:t xml:space="preserve">Embedded ML</w:t>
            </w:r>
            <w:r/>
          </w:p>
        </w:tc>
        <w:tc>
          <w:tcPr>
            <w:tcBorders/>
            <w:tcW w:w="2771" w:type="dxa"/>
          </w:tcPr>
          <w:p>
            <w:pPr>
              <w:pBdr/>
              <w:spacing/>
              <w:ind/>
              <w:rPr/>
            </w:pPr>
            <w:r>
              <w:rPr>
                <w:rFonts w:ascii="Times New Roman" w:hAnsi="Times New Roman"/>
                <w:sz w:val="20"/>
              </w:rPr>
              <w:t xml:space="preserve">INT8 model size</w:t>
            </w:r>
            <w:r/>
          </w:p>
        </w:tc>
        <w:tc>
          <w:tcPr>
            <w:tcBorders/>
            <w:tcW w:w="2771" w:type="dxa"/>
          </w:tcPr>
          <w:p>
            <w:pPr>
              <w:pBdr/>
              <w:spacing/>
              <w:ind/>
              <w:rPr/>
            </w:pPr>
            <w:r>
              <w:rPr>
                <w:rFonts w:ascii="Times New Roman" w:hAnsi="Times New Roman"/>
                <w:sz w:val="20"/>
              </w:rPr>
              <w:t xml:space="preserve">&lt; 100 KB</w:t>
            </w:r>
            <w:r/>
          </w:p>
        </w:tc>
      </w:tr>
      <w:tr>
        <w:trPr/>
        <w:tc>
          <w:tcPr>
            <w:tcBorders/>
            <w:tcW w:w="2771" w:type="dxa"/>
          </w:tcPr>
          <w:p>
            <w:pPr>
              <w:pBdr/>
              <w:spacing/>
              <w:ind/>
              <w:rPr/>
            </w:pPr>
            <w:r>
              <w:rPr>
                <w:rFonts w:ascii="Times New Roman" w:hAnsi="Times New Roman"/>
                <w:sz w:val="20"/>
              </w:rPr>
              <w:t xml:space="preserve">Real-time</w:t>
            </w:r>
            <w:r/>
          </w:p>
        </w:tc>
        <w:tc>
          <w:tcPr>
            <w:tcBorders/>
            <w:tcW w:w="2771" w:type="dxa"/>
          </w:tcPr>
          <w:p>
            <w:pPr>
              <w:pBdr/>
              <w:spacing/>
              <w:ind/>
              <w:rPr/>
            </w:pPr>
            <w:r>
              <w:rPr>
                <w:rFonts w:ascii="Times New Roman" w:hAnsi="Times New Roman"/>
                <w:sz w:val="20"/>
              </w:rPr>
              <w:t xml:space="preserve">Model inference latency</w:t>
            </w:r>
            <w:r/>
          </w:p>
        </w:tc>
        <w:tc>
          <w:tcPr>
            <w:tcBorders/>
            <w:tcW w:w="2771" w:type="dxa"/>
          </w:tcPr>
          <w:p>
            <w:pPr>
              <w:pBdr/>
              <w:spacing/>
              <w:ind/>
              <w:rPr/>
            </w:pPr>
            <w:r>
              <w:rPr>
                <w:rFonts w:ascii="Times New Roman" w:hAnsi="Times New Roman"/>
                <w:sz w:val="20"/>
              </w:rPr>
              <w:t xml:space="preserve">&lt; 50 ms</w:t>
            </w:r>
            <w:r/>
          </w:p>
        </w:tc>
      </w:tr>
      <w:tr>
        <w:trPr/>
        <w:tc>
          <w:tcPr>
            <w:tcBorders/>
            <w:tcW w:w="2771" w:type="dxa"/>
          </w:tcPr>
          <w:p>
            <w:pPr>
              <w:pBdr/>
              <w:spacing/>
              <w:ind/>
              <w:rPr/>
            </w:pPr>
            <w:r>
              <w:rPr>
                <w:rFonts w:ascii="Times New Roman" w:hAnsi="Times New Roman"/>
                <w:sz w:val="20"/>
              </w:rPr>
              <w:t xml:space="preserve">System</w:t>
            </w:r>
            <w:r/>
          </w:p>
        </w:tc>
        <w:tc>
          <w:tcPr>
            <w:tcBorders/>
            <w:tcW w:w="2771" w:type="dxa"/>
          </w:tcPr>
          <w:p>
            <w:pPr>
              <w:pBdr/>
              <w:spacing/>
              <w:ind/>
              <w:rPr/>
            </w:pPr>
            <w:r>
              <w:rPr>
                <w:rFonts w:ascii="Times New Roman" w:hAnsi="Times New Roman"/>
                <w:sz w:val="20"/>
              </w:rPr>
              <w:t xml:space="preserve">Mean accuracy across 5 subjects</w:t>
            </w:r>
            <w:r/>
          </w:p>
        </w:tc>
        <w:tc>
          <w:tcPr>
            <w:tcBorders/>
            <w:tcW w:w="2771" w:type="dxa"/>
          </w:tcPr>
          <w:p>
            <w:pPr>
              <w:pBdr/>
              <w:spacing/>
              <w:ind/>
              <w:rPr/>
            </w:pPr>
            <w:r>
              <w:rPr>
                <w:rFonts w:ascii="Times New Roman" w:hAnsi="Times New Roman"/>
                <w:sz w:val="20"/>
              </w:rPr>
              <w:t xml:space="preserve">&gt;= 80%</w:t>
            </w:r>
            <w:r/>
          </w:p>
        </w:tc>
      </w:tr>
      <w:tr>
        <w:trPr/>
        <w:tc>
          <w:tcPr>
            <w:tcBorders/>
            <w:tcW w:w="2771" w:type="dxa"/>
          </w:tcPr>
          <w:p>
            <w:pPr>
              <w:pBdr/>
              <w:spacing/>
              <w:ind/>
              <w:rPr/>
            </w:pPr>
            <w:r>
              <w:rPr>
                <w:rFonts w:ascii="Times New Roman" w:hAnsi="Times New Roman"/>
                <w:sz w:val="20"/>
              </w:rPr>
              <w:t xml:space="preserve">Cost</w:t>
            </w:r>
            <w:r/>
          </w:p>
        </w:tc>
        <w:tc>
          <w:tcPr>
            <w:tcBorders/>
            <w:tcW w:w="2771" w:type="dxa"/>
          </w:tcPr>
          <w:p>
            <w:pPr>
              <w:pBdr/>
              <w:spacing/>
              <w:ind/>
              <w:rPr/>
            </w:pPr>
            <w:r>
              <w:rPr>
                <w:rFonts w:ascii="Times New Roman" w:hAnsi="Times New Roman"/>
                <w:sz w:val="20"/>
              </w:rPr>
              <w:t xml:space="preserve">Electronics BOM (Tier A)</w:t>
            </w:r>
            <w:r/>
          </w:p>
        </w:tc>
        <w:tc>
          <w:tcPr>
            <w:tcBorders/>
            <w:tcW w:w="2771" w:type="dxa"/>
          </w:tcPr>
          <w:p>
            <w:pPr>
              <w:pBdr/>
              <w:spacing/>
              <w:ind/>
              <w:rPr/>
            </w:pPr>
            <w:r>
              <w:rPr>
                <w:rFonts w:ascii="Times New Roman" w:hAnsi="Times New Roman"/>
                <w:sz w:val="20"/>
              </w:rPr>
              <w:t xml:space="preserve">&lt; USD 20</w:t>
            </w:r>
            <w:r/>
          </w:p>
        </w:tc>
      </w:tr>
      <w:tr>
        <w:trPr/>
        <w:tc>
          <w:tcPr>
            <w:tcBorders/>
            <w:tcW w:w="2771" w:type="dxa"/>
          </w:tcPr>
          <w:p>
            <w:pPr>
              <w:pBdr/>
              <w:spacing/>
              <w:ind/>
              <w:rPr/>
            </w:pPr>
            <w:r>
              <w:rPr>
                <w:rFonts w:ascii="Times New Roman" w:hAnsi="Times New Roman"/>
                <w:sz w:val="20"/>
              </w:rPr>
              <w:t xml:space="preserve">Cost</w:t>
            </w:r>
            <w:r/>
          </w:p>
        </w:tc>
        <w:tc>
          <w:tcPr>
            <w:tcBorders/>
            <w:tcW w:w="2771" w:type="dxa"/>
          </w:tcPr>
          <w:p>
            <w:pPr>
              <w:pBdr/>
              <w:spacing/>
              <w:ind/>
              <w:rPr/>
            </w:pPr>
            <w:r>
              <w:rPr>
                <w:rFonts w:ascii="Times New Roman" w:hAnsi="Times New Roman"/>
                <w:sz w:val="20"/>
              </w:rPr>
              <w:t xml:space="preserve">Prototype BOM (Tier B)</w:t>
            </w:r>
            <w:r/>
          </w:p>
        </w:tc>
        <w:tc>
          <w:tcPr>
            <w:tcBorders/>
            <w:tcW w:w="2771" w:type="dxa"/>
          </w:tcPr>
          <w:p>
            <w:pPr>
              <w:pBdr/>
              <w:spacing/>
              <w:ind/>
              <w:rPr/>
            </w:pPr>
            <w:r>
              <w:rPr>
                <w:rFonts w:ascii="Times New Roman" w:hAnsi="Times New Roman"/>
                <w:sz w:val="20"/>
              </w:rPr>
              <w:t xml:space="preserve">&lt; USD 65</w:t>
            </w:r>
            <w:r/>
          </w:p>
        </w:tc>
      </w:tr>
    </w:tbl>
    <w:p>
      <w:pPr>
        <w:pBdr/>
        <w:spacing/>
        <w:ind/>
        <w:rPr/>
      </w:pPr>
      <w:r/>
      <w:r/>
    </w:p>
    <w:p>
      <w:pPr>
        <w:pStyle w:val="875"/>
        <w:pBdr/>
        <w:spacing/>
        <w:ind/>
        <w:rPr/>
      </w:pPr>
      <w:r/>
      <w:bookmarkStart w:id="45" w:name="_Toc45"/>
      <w:r>
        <w:t xml:space="preserve">3.8 End-to-End Demonstration</w:t>
      </w:r>
      <w:bookmarkEnd w:id="45"/>
      <w:r/>
      <w:r/>
    </w:p>
    <w:p>
      <w:pPr>
        <w:pBdr/>
        <w:spacing w:after="120" w:before="0" w:line="360" w:lineRule="auto"/>
        <w:ind w:firstLine="720"/>
        <w:rPr/>
      </w:pPr>
      <w:r>
        <w:rPr>
          <w:rFonts w:ascii="Times New Roman" w:hAnsi="Times New Roman"/>
          <w:b w:val="0"/>
          <w:sz w:val="24"/>
        </w:rPr>
        <w:t xml:space="preserve">The final demonstration shows the system operating without a USB or PC connection:</w:t>
      </w:r>
      <w:r/>
    </w:p>
    <w:p>
      <w:pPr>
        <w:pBdr/>
        <w:spacing w:line="360" w:lineRule="auto"/>
        <w:ind w:left="720"/>
        <w:rPr/>
      </w:pPr>
      <w:r>
        <w:rPr>
          <w:rFonts w:ascii="Times New Roman" w:hAnsi="Times New Roman"/>
          <w:sz w:val="24"/>
        </w:rPr>
        <w:t xml:space="preserve">1. A participant is fitted with four Ag/AgCl surface electrodes on the forearm using the placement defined in the signal specification.</w:t>
      </w:r>
      <w:r/>
    </w:p>
    <w:p>
      <w:pPr>
        <w:pBdr/>
        <w:spacing w:line="360" w:lineRule="auto"/>
        <w:ind w:left="720"/>
        <w:rPr/>
      </w:pPr>
      <w:r>
        <w:rPr>
          <w:rFonts w:ascii="Times New Roman" w:hAnsi="Times New Roman"/>
          <w:sz w:val="24"/>
        </w:rPr>
        <w:t xml:space="preserve">2. The BLE application confirms device connectivity and guides the participant through the approximately three-minute calibration sequence.</w:t>
      </w:r>
      <w:r/>
    </w:p>
    <w:p>
      <w:pPr>
        <w:pBdr/>
        <w:spacing w:line="360" w:lineRule="auto"/>
        <w:ind w:left="720"/>
        <w:rPr/>
      </w:pPr>
      <w:r>
        <w:rPr>
          <w:rFonts w:ascii="Times New Roman" w:hAnsi="Times New Roman"/>
          <w:sz w:val="24"/>
        </w:rPr>
        <w:t xml:space="preserve">3. The ESP32-S3 acquires the four channels at 2 kHz, performs digital filtering, extracts the 24-element feature vector, and classifies the gesture.</w:t>
      </w:r>
      <w:r/>
    </w:p>
    <w:p>
      <w:pPr>
        <w:pBdr/>
        <w:spacing w:line="360" w:lineRule="auto"/>
        <w:ind w:left="720"/>
        <w:rPr/>
      </w:pPr>
      <w:r>
        <w:rPr>
          <w:rFonts w:ascii="Times New Roman" w:hAnsi="Times New Roman"/>
          <w:sz w:val="24"/>
        </w:rPr>
        <w:t xml:space="preserve">4. The classified command is filtered by the confidence threshold and debounce logic, then translated into a servo position command via PCA9685.</w:t>
      </w:r>
      <w:r/>
    </w:p>
    <w:p>
      <w:pPr>
        <w:pBdr/>
        <w:spacing w:line="360" w:lineRule="auto"/>
        <w:ind w:left="720"/>
        <w:rPr/>
      </w:pPr>
      <w:r>
        <w:rPr>
          <w:rFonts w:ascii="Times New Roman" w:hAnsi="Times New Roman"/>
          <w:sz w:val="24"/>
        </w:rPr>
        <w:t xml:space="preserve">5. The 5-finger tendon-driven 3D-printed prosthetic hand produces the finger-and-wrist posture corresponding to the classified gesture.</w:t>
      </w:r>
      <w:r/>
    </w:p>
    <w:p>
      <w:pPr>
        <w:pBdr/>
        <w:spacing w:line="360" w:lineRule="auto"/>
        <w:ind w:left="720"/>
        <w:rPr/>
      </w:pPr>
      <w:r>
        <w:rPr>
          <w:rFonts w:ascii="Times New Roman" w:hAnsi="Times New Roman"/>
          <w:sz w:val="24"/>
        </w:rPr>
        <w:t xml:space="preserve">6. The BLE mobile application displays the predicted gesture, confidence score, and live channel activity while performance data are logged for analysis.</w:t>
      </w:r>
      <w:r/>
    </w:p>
    <w:p>
      <w:pPr>
        <w:pBdr/>
        <w:spacing w:line="360" w:lineRule="auto"/>
        <w:ind w:left="720"/>
        <w:rPr/>
      </w:pPr>
      <w:r>
        <w:rPr>
          <w:rFonts w:ascii="Times New Roman" w:hAnsi="Times New Roman"/>
          <w:sz w:val="24"/>
        </w:rPr>
        <w:t xml:space="preserve">7. The entire system is powered from 9 V batteries with no external connections.</w:t>
      </w:r>
      <w:r/>
    </w:p>
    <w:p>
      <w:pPr>
        <w:pBdr/>
        <w:spacing/>
        <w:ind/>
        <w:rPr/>
      </w:pPr>
      <w:r>
        <w:br w:type="page" w:clear="all"/>
      </w:r>
      <w:r/>
    </w:p>
    <w:p>
      <w:pPr>
        <w:pStyle w:val="874"/>
        <w:pBdr/>
        <w:spacing/>
        <w:ind/>
        <w:rPr/>
      </w:pPr>
      <w:r/>
      <w:bookmarkStart w:id="46" w:name="_Toc46"/>
      <w:r>
        <w:t xml:space="preserve">CHAPTER FOUR</w:t>
      </w:r>
      <w:bookmarkEnd w:id="46"/>
      <w:r/>
      <w:r/>
    </w:p>
    <w:p>
      <w:pPr>
        <w:pStyle w:val="874"/>
        <w:pBdr/>
        <w:spacing/>
        <w:ind/>
        <w:rPr/>
      </w:pPr>
      <w:r/>
      <w:bookmarkStart w:id="47" w:name="_Toc47"/>
      <w:r>
        <w:t xml:space="preserve">EXPECTED RESULTS</w:t>
      </w:r>
      <w:bookmarkEnd w:id="47"/>
      <w:r/>
      <w:r/>
    </w:p>
    <w:p>
      <w:pPr>
        <w:pBdr/>
        <w:spacing w:after="120" w:before="0" w:line="360" w:lineRule="auto"/>
        <w:ind w:firstLine="720"/>
        <w:rPr/>
      </w:pPr>
      <w:r>
        <w:rPr>
          <w:rFonts w:ascii="Times New Roman" w:hAnsi="Times New Roman"/>
          <w:b w:val="0"/>
          <w:sz w:val="24"/>
        </w:rPr>
        <w:t xml:space="preserve">This chapter states the technical results expected from the proposed work, linked directly to the three specific objectives. At proposal stage, all results are stated as targets rather than achieved outcomes.</w:t>
      </w:r>
      <w:r/>
    </w:p>
    <w:p>
      <w:pPr>
        <w:pStyle w:val="875"/>
        <w:pBdr/>
        <w:spacing/>
        <w:ind/>
        <w:rPr/>
      </w:pPr>
      <w:r/>
      <w:bookmarkStart w:id="48" w:name="_Toc48"/>
      <w:r>
        <w:t xml:space="preserve">4.1 Expected Electrical Performance (Objective 1: Design)</w:t>
      </w:r>
      <w:bookmarkEnd w:id="48"/>
      <w:r/>
      <w:r/>
    </w:p>
    <w:p>
      <w:pPr>
        <w:pBdr/>
        <w:spacing w:after="120" w:before="0" w:line="360" w:lineRule="auto"/>
        <w:ind w:firstLine="720"/>
        <w:rPr/>
      </w:pPr>
      <w:r>
        <w:rPr>
          <w:rFonts w:ascii="Times New Roman" w:hAnsi="Times New Roman"/>
          <w:b w:val="0"/>
          <w:sz w:val="24"/>
        </w:rPr>
        <w:t xml:space="preserve">The four-channel acquisition board is expected to achieve a signal-to-noise ratio above 20 dB when measuring a 1 mV peak-to-peak sEMG-equivalent test signal a</w:t>
      </w:r>
      <w:r>
        <w:rPr>
          <w:rFonts w:ascii="Times New Roman" w:hAnsi="Times New Roman"/>
          <w:b w:val="0"/>
          <w:sz w:val="24"/>
        </w:rPr>
        <w:t xml:space="preserve">t 100 Hz. The frequency response is expected to show -3 dB points at approximately 20 Hz and 500 Hz with a flat passband (variation less than 3 dB). The 50 Hz notch filter is expected to achieve rejection exceeding 30 dB. Inter-channel crosstalk is expecte</w:t>
      </w:r>
      <w:r>
        <w:rPr>
          <w:rFonts w:ascii="Times New Roman" w:hAnsi="Times New Roman"/>
          <w:b w:val="0"/>
          <w:sz w:val="24"/>
        </w:rPr>
        <w:t xml:space="preserve">d to remain below -40 dB across all four channels. These targets are informed by simulation results (Sallen-Key standalone: -3 dB at 22 Hz and 492 Hz; twin-T notch depth: 32.3 dB) and will be validated through laboratory measurements on the fabricated PCB.</w:t>
      </w:r>
      <w:r/>
    </w:p>
    <w:p>
      <w:pPr>
        <w:pStyle w:val="875"/>
        <w:pBdr/>
        <w:spacing/>
        <w:ind/>
        <w:rPr/>
      </w:pPr>
      <w:r/>
      <w:bookmarkStart w:id="49" w:name="_Toc49"/>
      <w:r>
        <w:t xml:space="preserve">4.2 Expected Embedded Performance (Objective 2: Implementation)</w:t>
      </w:r>
      <w:bookmarkEnd w:id="49"/>
      <w:r/>
      <w:r/>
    </w:p>
    <w:p>
      <w:pPr>
        <w:pBdr/>
        <w:spacing w:after="120" w:before="0" w:line="360" w:lineRule="auto"/>
        <w:ind w:firstLine="720"/>
        <w:rPr/>
      </w:pPr>
      <w:r>
        <w:rPr>
          <w:rFonts w:ascii="Times New Roman" w:hAnsi="Times New Roman"/>
          <w:b w:val="0"/>
          <w:sz w:val="24"/>
        </w:rPr>
        <w:t xml:space="preserve">The ESP32-S3 is expected to maintain stable four-channel sampling at 2 kHz </w:t>
      </w:r>
      <w:r>
        <w:rPr>
          <w:rFonts w:ascii="Times New Roman" w:hAnsi="Times New Roman"/>
          <w:b w:val="0"/>
          <w:sz w:val="24"/>
        </w:rPr>
        <w:t xml:space="preserve">(8 kHz aggregate) via DMA without sample loss. Feature extraction (24 time-domain features from a 500-sample window) is expected to complete within 5 ms, well within the 50 ms step interval. The INT8-quantized 1D-CNN model is expected to occupy less than 1</w:t>
      </w:r>
      <w:r>
        <w:rPr>
          <w:rFonts w:ascii="Times New Roman" w:hAnsi="Times New Roman"/>
          <w:b w:val="0"/>
          <w:sz w:val="24"/>
        </w:rPr>
        <w:t xml:space="preserve">00 KB of flash, use less than 50 KB of SRAM for inference, and complete inference within 50 ms. Peak RAM usage for the complete pipeline (sampling buffer, feature extraction, inference) is expected to remain below 200 KB, within the ESP32-S3's 512 KB SRAM.</w:t>
      </w:r>
      <w:r/>
    </w:p>
    <w:p>
      <w:pPr>
        <w:pStyle w:val="875"/>
        <w:pBdr/>
        <w:spacing/>
        <w:ind/>
        <w:rPr/>
      </w:pPr>
      <w:r/>
      <w:bookmarkStart w:id="50" w:name="_Toc50"/>
      <w:r>
        <w:t xml:space="preserve">4.3 Expected Classification Performance (Objective 2: Implementation)</w:t>
      </w:r>
      <w:bookmarkEnd w:id="50"/>
      <w:r/>
      <w:r/>
    </w:p>
    <w:p>
      <w:pPr>
        <w:pBdr/>
        <w:spacing w:after="120" w:before="0" w:line="360" w:lineRule="auto"/>
        <w:ind w:firstLine="720"/>
        <w:rPr/>
      </w:pPr>
      <w:r>
        <w:rPr>
          <w:rFonts w:ascii="Times New Roman" w:hAnsi="Times New Roman"/>
          <w:b w:val="0"/>
          <w:sz w:val="24"/>
        </w:rPr>
        <w:t xml:space="preserve">The 1D-CNN is </w:t>
      </w:r>
      <w:r>
        <w:rPr>
          <w:rFonts w:ascii="Times New Roman" w:hAnsi="Times New Roman"/>
          <w:b w:val="0"/>
          <w:sz w:val="24"/>
        </w:rPr>
        <w:t xml:space="preserve">expected to achieve an offline macro F1 score of 0.85 or higher on held-out NinaPro DB5 test data with subject-independent splitting. This target is conservative relative to the 97 percent accuracy reported by Mekruksavanich et al. [2] on the same dataset,</w:t>
      </w:r>
      <w:r>
        <w:rPr>
          <w:rFonts w:ascii="Times New Roman" w:hAnsi="Times New Roman"/>
          <w:b w:val="0"/>
          <w:sz w:val="24"/>
        </w:rPr>
        <w:t xml:space="preserve"> accounting for the reduced channel count (4 versus 16), feature-based rather than raw-signal input, and INT8 quantization. Baseline classifiers (LDA, SVM, RF) are expected to achieve F1 scores between 0.70 and 0.80, establishing the performance reference.</w:t>
      </w:r>
      <w:r/>
    </w:p>
    <w:p>
      <w:pPr>
        <w:pStyle w:val="875"/>
        <w:pBdr/>
        <w:spacing/>
        <w:ind/>
        <w:rPr/>
      </w:pPr>
      <w:r/>
      <w:bookmarkStart w:id="51" w:name="_Toc51"/>
      <w:r>
        <w:t xml:space="preserve">4.4 Expected Calibration Improvement (Objective 2: Implementation)</w:t>
      </w:r>
      <w:bookmarkEnd w:id="51"/>
      <w:r/>
      <w:r/>
    </w:p>
    <w:p>
      <w:pPr>
        <w:pBdr/>
        <w:spacing w:after="120" w:before="0" w:line="360" w:lineRule="auto"/>
        <w:ind w:firstLine="720"/>
        <w:rPr/>
      </w:pPr>
      <w:r>
        <w:rPr>
          <w:rFonts w:ascii="Times New Roman" w:hAnsi="Times New Roman"/>
          <w:b w:val="0"/>
          <w:sz w:val="24"/>
        </w:rPr>
        <w:t xml:space="preserve">User-specific calibration via transfer learning is expected to improve cross-user recognition accuracy by at least 10 percentage po</w:t>
      </w:r>
      <w:r>
        <w:rPr>
          <w:rFonts w:ascii="Times New Roman" w:hAnsi="Times New Roman"/>
          <w:b w:val="0"/>
          <w:sz w:val="24"/>
        </w:rPr>
        <w:t xml:space="preserve">ints over the generic pre-trained model. This expectation is based on findings by Lee et al. [3], who demonstrated that fine-tuning only the last classification layer with approximately two minutes of user data is sufficient for meaningful personalisation.</w:t>
      </w:r>
      <w:r/>
    </w:p>
    <w:p>
      <w:pPr>
        <w:pStyle w:val="875"/>
        <w:pBdr/>
        <w:spacing/>
        <w:ind/>
        <w:rPr/>
      </w:pPr>
      <w:r/>
      <w:bookmarkStart w:id="52" w:name="_Toc52"/>
      <w:r>
        <w:t xml:space="preserve">4.5 Expected End-to-End System Performance (Objective 3: Test and Evaluate)</w:t>
      </w:r>
      <w:bookmarkEnd w:id="52"/>
      <w:r/>
      <w:r/>
    </w:p>
    <w:p>
      <w:pPr>
        <w:pBdr/>
        <w:spacing w:after="120" w:before="0" w:line="360" w:lineRule="auto"/>
        <w:ind w:firstLine="720"/>
        <w:rPr/>
      </w:pPr>
      <w:r>
        <w:rPr>
          <w:rFonts w:ascii="Times New Roman" w:hAnsi="Times New Roman"/>
          <w:b w:val="0"/>
          <w:sz w:val="24"/>
        </w:rPr>
        <w:t xml:space="preserve">The complete system, validated with five test subjects, is expected to achieve a mean real-time accuracy of 80 percent or higher acros</w:t>
      </w:r>
      <w:r>
        <w:rPr>
          <w:rFonts w:ascii="Times New Roman" w:hAnsi="Times New Roman"/>
          <w:b w:val="0"/>
          <w:sz w:val="24"/>
        </w:rPr>
        <w:t xml:space="preserve">s all eight gesture classes. Actuation correctness -- the proportion of classified gestures that produce the intended finger-and-wrist posture on the prosthetic hand -- is expected to be within 5 percentage points of classification accuracy, with the diffe</w:t>
      </w:r>
      <w:r>
        <w:rPr>
          <w:rFonts w:ascii="Times New Roman" w:hAnsi="Times New Roman"/>
          <w:b w:val="0"/>
          <w:sz w:val="24"/>
        </w:rPr>
        <w:t xml:space="preserve">rence attributable to the confidence filtering that rejects uncertain predictions. Total system response time (from end of analysis window to servo motion onset) is expected to be approximately 300 ms (50 ms inference + decision filtering + servo latency).</w:t>
      </w:r>
      <w:r>
        <w:rPr>
          <w:rFonts w:ascii="Times New Roman" w:hAnsi="Times New Roman"/>
          <w:b w:val="0"/>
          <w:sz w:val="24"/>
        </w:rPr>
      </w:r>
      <w:r/>
    </w:p>
    <w:p>
      <w:pPr>
        <w:pBdr/>
        <w:spacing w:after="120" w:before="0" w:line="360" w:lineRule="auto"/>
        <w:ind w:firstLine="720"/>
        <w:rPr/>
      </w:pPr>
      <w:r>
        <w:rPr>
          <w:rFonts w:ascii="Times New Roman" w:hAnsi="Times New Roman"/>
          <w:b w:val="0"/>
          <w:sz w:val="24"/>
        </w:rPr>
        <w:t xml:space="preserve">With five subjects, the study provides an initial feasibility </w:t>
      </w:r>
      <w:r>
        <w:rPr>
          <w:rFonts w:ascii="Times New Roman" w:hAnsi="Times New Roman"/>
          <w:b w:val="0"/>
          <w:sz w:val="24"/>
        </w:rPr>
        <w:t xml:space="preserve">demonstration. Statistical claims will be limited to descriptive statistics (mean, standard deviation, range) and per-subject results; inferential statistical tests require larger sample sizes. This limitation will be stated explicitly in the final report.</w:t>
      </w:r>
      <w:r/>
    </w:p>
    <w:p>
      <w:pPr>
        <w:pStyle w:val="875"/>
        <w:pBdr/>
        <w:spacing/>
        <w:ind/>
        <w:rPr/>
      </w:pPr>
      <w:r/>
      <w:bookmarkStart w:id="53" w:name="_Toc53"/>
      <w:r>
        <w:t xml:space="preserve">4.6 Expected Cost Outcome (Objective 3: Test and Evaluate)</w:t>
      </w:r>
      <w:bookmarkEnd w:id="53"/>
      <w:r/>
      <w:r/>
    </w:p>
    <w:p>
      <w:pPr>
        <w:pBdr/>
        <w:spacing w:after="120" w:before="0" w:line="360" w:lineRule="auto"/>
        <w:ind w:firstLine="720"/>
        <w:rPr/>
      </w:pPr>
      <w:r>
        <w:rPr>
          <w:rFonts w:ascii="Times New Roman" w:hAnsi="Times New Roman"/>
          <w:b w:val="0"/>
          <w:sz w:val="24"/>
        </w:rPr>
        <w:t xml:space="preserve">The electronics BOM (Tier A) is expected to cost less than USD 20 (approximately KES 2,600). The complete prototype BOM (Tier B), including PCB fabrication, 3D-printed prosthetic hand, batteries, and servo motors, is expe</w:t>
      </w:r>
      <w:r>
        <w:rPr>
          <w:rFonts w:ascii="Times New Roman" w:hAnsi="Times New Roman"/>
          <w:b w:val="0"/>
          <w:sz w:val="24"/>
        </w:rPr>
        <w:t xml:space="preserve">cted to cost less than USD 65 (approximately KES 8,700). These figures will be reported alongside published costs from the literature (Molinari et al.: more than USD 500; commercial: USD 3,000 to USD 8,000) to demonstrate the cost reduction quantitatively.</w:t>
      </w:r>
      <w:r>
        <w:rPr>
          <w:rFonts w:ascii="Times New Roman" w:hAnsi="Times New Roman"/>
          <w:b w:val="0"/>
          <w:sz w:val="24"/>
        </w:rPr>
      </w:r>
      <w:r/>
    </w:p>
    <w:p>
      <w:pPr>
        <w:pBdr/>
        <w:spacing/>
        <w:ind/>
        <w:rPr/>
      </w:pPr>
      <w:r>
        <w:br w:type="page" w:clear="all"/>
      </w:r>
      <w:r/>
    </w:p>
    <w:p>
      <w:pPr>
        <w:pStyle w:val="874"/>
        <w:pBdr/>
        <w:spacing/>
        <w:ind/>
        <w:rPr/>
      </w:pPr>
      <w:r/>
      <w:bookmarkStart w:id="54" w:name="_Toc54"/>
      <w:r>
        <w:t xml:space="preserve">PROJECT BUDGET</w:t>
      </w:r>
      <w:bookmarkEnd w:id="54"/>
      <w:r/>
      <w:r/>
    </w:p>
    <w:p>
      <w:pPr>
        <w:pBdr/>
        <w:spacing w:after="120" w:before="120" w:line="360" w:lineRule="auto"/>
        <w:ind/>
        <w:rPr/>
      </w:pPr>
      <w:r>
        <w:rPr>
          <w:rFonts w:ascii="Times New Roman" w:hAnsi="Times New Roman"/>
          <w:b/>
          <w:sz w:val="24"/>
        </w:rPr>
        <w:t xml:space="preserve">Table 6: Project Budget</w:t>
      </w:r>
      <w:r/>
    </w:p>
    <w:tbl>
      <w:tblPr>
        <w:tblStyle w:val="934"/>
        <w:jc w:val="center"/>
        <w:tblW w:w="0" w:type="auto"/>
        <w:tblBorders/>
        <w:tblLook w:val="04A0" w:firstRow="1" w:lastRow="0" w:firstColumn="1" w:lastColumn="0" w:noHBand="0" w:noVBand="1"/>
      </w:tblPr>
      <w:tblGrid>
        <w:gridCol w:w="1662"/>
        <w:gridCol w:w="1662"/>
        <w:gridCol w:w="1662"/>
        <w:gridCol w:w="1662"/>
        <w:gridCol w:w="1662"/>
      </w:tblGrid>
      <w:tr>
        <w:trPr/>
        <w:tc>
          <w:tcPr>
            <w:tcBorders/>
            <w:tcW w:w="1662" w:type="dxa"/>
          </w:tcPr>
          <w:p>
            <w:pPr>
              <w:pBdr/>
              <w:spacing/>
              <w:ind/>
              <w:rPr/>
            </w:pPr>
            <w:r>
              <w:rPr>
                <w:rFonts w:ascii="Times New Roman" w:hAnsi="Times New Roman"/>
                <w:b/>
                <w:sz w:val="20"/>
              </w:rPr>
              <w:t xml:space="preserve">Item</w:t>
            </w:r>
            <w:r/>
          </w:p>
        </w:tc>
        <w:tc>
          <w:tcPr>
            <w:tcBorders/>
            <w:tcW w:w="1662" w:type="dxa"/>
          </w:tcPr>
          <w:p>
            <w:pPr>
              <w:pBdr/>
              <w:spacing/>
              <w:ind/>
              <w:rPr/>
            </w:pPr>
            <w:r>
              <w:rPr>
                <w:rFonts w:ascii="Times New Roman" w:hAnsi="Times New Roman"/>
                <w:b/>
                <w:sz w:val="20"/>
              </w:rPr>
              <w:t xml:space="preserve">Description</w:t>
            </w:r>
            <w:r/>
          </w:p>
        </w:tc>
        <w:tc>
          <w:tcPr>
            <w:tcBorders/>
            <w:tcW w:w="1662" w:type="dxa"/>
          </w:tcPr>
          <w:p>
            <w:pPr>
              <w:pBdr/>
              <w:spacing/>
              <w:ind/>
              <w:rPr/>
            </w:pPr>
            <w:r>
              <w:rPr>
                <w:rFonts w:ascii="Times New Roman" w:hAnsi="Times New Roman"/>
                <w:b/>
                <w:sz w:val="20"/>
              </w:rPr>
              <w:t xml:space="preserve">Qty</w:t>
            </w:r>
            <w:r/>
          </w:p>
        </w:tc>
        <w:tc>
          <w:tcPr>
            <w:tcBorders/>
            <w:tcW w:w="1662" w:type="dxa"/>
          </w:tcPr>
          <w:p>
            <w:pPr>
              <w:pBdr/>
              <w:spacing/>
              <w:ind/>
              <w:rPr/>
            </w:pPr>
            <w:r>
              <w:rPr>
                <w:rFonts w:ascii="Times New Roman" w:hAnsi="Times New Roman"/>
                <w:b/>
                <w:sz w:val="20"/>
              </w:rPr>
              <w:t xml:space="preserve">Rate (KES)</w:t>
            </w:r>
            <w:r/>
          </w:p>
        </w:tc>
        <w:tc>
          <w:tcPr>
            <w:tcBorders/>
            <w:tcW w:w="1662" w:type="dxa"/>
          </w:tcPr>
          <w:p>
            <w:pPr>
              <w:pBdr/>
              <w:spacing/>
              <w:ind/>
              <w:rPr/>
            </w:pPr>
            <w:r>
              <w:rPr>
                <w:rFonts w:ascii="Times New Roman" w:hAnsi="Times New Roman"/>
                <w:b/>
                <w:sz w:val="20"/>
              </w:rPr>
              <w:t xml:space="preserve">Amount (KES)</w:t>
            </w:r>
            <w:r/>
          </w:p>
        </w:tc>
      </w:tr>
      <w:tr>
        <w:trPr/>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ESP32-S3-DevKitC-1</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800</w:t>
            </w:r>
            <w:r/>
          </w:p>
        </w:tc>
        <w:tc>
          <w:tcPr>
            <w:tcBorders/>
            <w:tcW w:w="1662" w:type="dxa"/>
          </w:tcPr>
          <w:p>
            <w:pPr>
              <w:pBdr/>
              <w:spacing/>
              <w:ind/>
              <w:rPr/>
            </w:pPr>
            <w:r>
              <w:rPr>
                <w:rFonts w:ascii="Times New Roman" w:hAnsi="Times New Roman"/>
                <w:sz w:val="20"/>
              </w:rPr>
              <w:t xml:space="preserve">800</w:t>
            </w:r>
            <w:r/>
          </w:p>
        </w:tc>
      </w:tr>
      <w:tr>
        <w:trPr/>
        <w:tc>
          <w:tcPr>
            <w:tcBorders/>
            <w:tcW w:w="1662" w:type="dxa"/>
          </w:tcPr>
          <w:p>
            <w:pPr>
              <w:pBdr/>
              <w:spacing/>
              <w:ind/>
              <w:rPr/>
            </w:pPr>
            <w:r>
              <w:rPr>
                <w:rFonts w:ascii="Times New Roman" w:hAnsi="Times New Roman"/>
                <w:sz w:val="20"/>
              </w:rPr>
              <w:t xml:space="preserve">2</w:t>
            </w:r>
            <w:r/>
          </w:p>
        </w:tc>
        <w:tc>
          <w:tcPr>
            <w:tcBorders/>
            <w:tcW w:w="1662" w:type="dxa"/>
          </w:tcPr>
          <w:p>
            <w:pPr>
              <w:pBdr/>
              <w:spacing/>
              <w:ind/>
              <w:rPr/>
            </w:pPr>
            <w:r>
              <w:rPr>
                <w:rFonts w:ascii="Times New Roman" w:hAnsi="Times New Roman"/>
                <w:sz w:val="20"/>
              </w:rPr>
              <w:t xml:space="preserve">INA128 Instrumentation Amplifier</w:t>
            </w:r>
            <w:r/>
          </w:p>
        </w:tc>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350</w:t>
            </w:r>
            <w:r/>
          </w:p>
        </w:tc>
        <w:tc>
          <w:tcPr>
            <w:tcBorders/>
            <w:tcW w:w="1662" w:type="dxa"/>
          </w:tcPr>
          <w:p>
            <w:pPr>
              <w:pBdr/>
              <w:spacing/>
              <w:ind/>
              <w:rPr/>
            </w:pPr>
            <w:r>
              <w:rPr>
                <w:rFonts w:ascii="Times New Roman" w:hAnsi="Times New Roman"/>
                <w:sz w:val="20"/>
              </w:rPr>
              <w:t xml:space="preserve">1,400</w:t>
            </w:r>
            <w:r/>
          </w:p>
        </w:tc>
      </w:tr>
      <w:tr>
        <w:trPr/>
        <w:tc>
          <w:tcPr>
            <w:tcBorders/>
            <w:tcW w:w="1662" w:type="dxa"/>
          </w:tcPr>
          <w:p>
            <w:pPr>
              <w:pBdr/>
              <w:spacing/>
              <w:ind/>
              <w:rPr/>
            </w:pPr>
            <w:r>
              <w:rPr>
                <w:rFonts w:ascii="Times New Roman" w:hAnsi="Times New Roman"/>
                <w:sz w:val="20"/>
              </w:rPr>
              <w:t xml:space="preserve">3</w:t>
            </w:r>
            <w:r/>
          </w:p>
        </w:tc>
        <w:tc>
          <w:tcPr>
            <w:tcBorders/>
            <w:tcW w:w="1662" w:type="dxa"/>
          </w:tcPr>
          <w:p>
            <w:pPr>
              <w:pBdr/>
              <w:spacing/>
              <w:ind/>
              <w:rPr/>
            </w:pPr>
            <w:r>
              <w:rPr>
                <w:rFonts w:ascii="Times New Roman" w:hAnsi="Times New Roman"/>
                <w:sz w:val="20"/>
              </w:rPr>
              <w:t xml:space="preserve">MCP6002 Rail-to-Rail Op-Amp</w:t>
            </w:r>
            <w:r/>
          </w:p>
        </w:tc>
        <w:tc>
          <w:tcPr>
            <w:tcBorders/>
            <w:tcW w:w="1662" w:type="dxa"/>
          </w:tcPr>
          <w:p>
            <w:pPr>
              <w:pBdr/>
              <w:spacing/>
              <w:ind/>
              <w:rPr/>
            </w:pPr>
            <w:r>
              <w:rPr>
                <w:rFonts w:ascii="Times New Roman" w:hAnsi="Times New Roman"/>
                <w:sz w:val="20"/>
              </w:rPr>
              <w:t xml:space="preserve">8</w:t>
            </w:r>
            <w:r/>
          </w:p>
        </w:tc>
        <w:tc>
          <w:tcPr>
            <w:tcBorders/>
            <w:tcW w:w="1662" w:type="dxa"/>
          </w:tcPr>
          <w:p>
            <w:pPr>
              <w:pBdr/>
              <w:spacing/>
              <w:ind/>
              <w:rPr/>
            </w:pPr>
            <w:r>
              <w:rPr>
                <w:rFonts w:ascii="Times New Roman" w:hAnsi="Times New Roman"/>
                <w:sz w:val="20"/>
              </w:rPr>
              <w:t xml:space="preserve">50</w:t>
            </w:r>
            <w:r/>
          </w:p>
        </w:tc>
        <w:tc>
          <w:tcPr>
            <w:tcBorders/>
            <w:tcW w:w="1662" w:type="dxa"/>
          </w:tcPr>
          <w:p>
            <w:pPr>
              <w:pBdr/>
              <w:spacing/>
              <w:ind/>
              <w:rPr/>
            </w:pPr>
            <w:r>
              <w:rPr>
                <w:rFonts w:ascii="Times New Roman" w:hAnsi="Times New Roman"/>
                <w:sz w:val="20"/>
              </w:rPr>
              <w:t xml:space="preserve">400</w:t>
            </w:r>
            <w:r/>
          </w:p>
        </w:tc>
      </w:tr>
      <w:tr>
        <w:trPr/>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Passive components (resistors, capacitors)</w:t>
            </w:r>
            <w:r/>
          </w:p>
        </w:tc>
        <w:tc>
          <w:tcPr>
            <w:tcBorders/>
            <w:tcW w:w="1662" w:type="dxa"/>
          </w:tcPr>
          <w:p>
            <w:pPr>
              <w:pBdr/>
              <w:spacing/>
              <w:ind/>
              <w:rPr/>
            </w:pPr>
            <w:r>
              <w:rPr>
                <w:rFonts w:ascii="Times New Roman" w:hAnsi="Times New Roman"/>
                <w:sz w:val="20"/>
              </w:rPr>
              <w:t xml:space="preserve">1 set</w:t>
            </w:r>
            <w:r/>
          </w:p>
        </w:tc>
        <w:tc>
          <w:tcPr>
            <w:tcBorders/>
            <w:tcW w:w="1662" w:type="dxa"/>
          </w:tcPr>
          <w:p>
            <w:pPr>
              <w:pBdr/>
              <w:spacing/>
              <w:ind/>
              <w:rPr/>
            </w:pPr>
            <w:r>
              <w:rPr>
                <w:rFonts w:ascii="Times New Roman" w:hAnsi="Times New Roman"/>
                <w:sz w:val="20"/>
              </w:rPr>
              <w:t xml:space="preserve">300</w:t>
            </w:r>
            <w:r/>
          </w:p>
        </w:tc>
        <w:tc>
          <w:tcPr>
            <w:tcBorders/>
            <w:tcW w:w="1662" w:type="dxa"/>
          </w:tcPr>
          <w:p>
            <w:pPr>
              <w:pBdr/>
              <w:spacing/>
              <w:ind/>
              <w:rPr/>
            </w:pPr>
            <w:r>
              <w:rPr>
                <w:rFonts w:ascii="Times New Roman" w:hAnsi="Times New Roman"/>
                <w:sz w:val="20"/>
              </w:rPr>
              <w:t xml:space="preserve">300</w:t>
            </w:r>
            <w:r/>
          </w:p>
        </w:tc>
      </w:tr>
      <w:tr>
        <w:trPr>
          <w:trHeight w:val="999"/>
        </w:trPr>
        <w:tc>
          <w:tcPr>
            <w:tcBorders/>
            <w:tcW w:w="1662" w:type="dxa"/>
          </w:tcPr>
          <w:p>
            <w:pPr>
              <w:pBdr/>
              <w:spacing/>
              <w:ind/>
              <w:rPr/>
            </w:pPr>
            <w:r>
              <w:rPr>
                <w:rFonts w:ascii="Times New Roman" w:hAnsi="Times New Roman"/>
                <w:sz w:val="20"/>
              </w:rPr>
              <w:t xml:space="preserve">5</w:t>
            </w:r>
            <w:r/>
          </w:p>
        </w:tc>
        <w:tc>
          <w:tcPr>
            <w:tcBorders/>
            <w:tcW w:w="1662" w:type="dxa"/>
          </w:tcPr>
          <w:p>
            <w:pPr>
              <w:pBdr/>
              <w:spacing/>
              <w:ind/>
              <w:rPr/>
            </w:pPr>
            <w:r>
              <w:rPr>
                <w:rFonts w:ascii="Times New Roman" w:hAnsi="Times New Roman"/>
                <w:sz w:val="20"/>
              </w:rPr>
              <w:t xml:space="preserve">Ag/AgCl Surface Electrodes (50 pack)</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500</w:t>
            </w:r>
            <w:r/>
          </w:p>
        </w:tc>
        <w:tc>
          <w:tcPr>
            <w:tcBorders/>
            <w:tcW w:w="1662" w:type="dxa"/>
          </w:tcPr>
          <w:p>
            <w:pPr>
              <w:pBdr/>
              <w:spacing/>
              <w:ind/>
              <w:rPr/>
            </w:pPr>
            <w:r>
              <w:rPr>
                <w:rFonts w:ascii="Times New Roman" w:hAnsi="Times New Roman"/>
                <w:sz w:val="20"/>
              </w:rPr>
              <w:t xml:space="preserve">500</w:t>
            </w:r>
            <w:r/>
          </w:p>
        </w:tc>
      </w:tr>
      <w:tr>
        <w:trPr/>
        <w:tc>
          <w:tcPr>
            <w:tcBorders/>
            <w:tcW w:w="1662" w:type="dxa"/>
          </w:tcPr>
          <w:p>
            <w:pPr>
              <w:pBdr/>
              <w:spacing/>
              <w:ind/>
              <w:rPr/>
            </w:pPr>
            <w:r>
              <w:rPr>
                <w:rFonts w:ascii="Times New Roman" w:hAnsi="Times New Roman"/>
                <w:sz w:val="20"/>
              </w:rPr>
              <w:t xml:space="preserve">6</w:t>
            </w:r>
            <w:r/>
          </w:p>
        </w:tc>
        <w:tc>
          <w:tcPr>
            <w:tcBorders/>
            <w:tcW w:w="1662" w:type="dxa"/>
          </w:tcPr>
          <w:p>
            <w:pPr>
              <w:pBdr/>
              <w:spacing/>
              <w:ind/>
              <w:rPr/>
            </w:pPr>
            <w:r>
              <w:rPr>
                <w:rFonts w:ascii="Times New Roman" w:hAnsi="Times New Roman"/>
                <w:sz w:val="20"/>
              </w:rPr>
              <w:t xml:space="preserve">PCA9685 I2C PWM Driver</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250</w:t>
            </w:r>
            <w:r/>
          </w:p>
        </w:tc>
        <w:tc>
          <w:tcPr>
            <w:tcBorders/>
            <w:tcW w:w="1662" w:type="dxa"/>
          </w:tcPr>
          <w:p>
            <w:pPr>
              <w:pBdr/>
              <w:spacing/>
              <w:ind/>
              <w:rPr/>
            </w:pPr>
            <w:r>
              <w:rPr>
                <w:rFonts w:ascii="Times New Roman" w:hAnsi="Times New Roman"/>
                <w:sz w:val="20"/>
              </w:rPr>
              <w:t xml:space="preserve">250</w:t>
            </w:r>
            <w:r/>
          </w:p>
        </w:tc>
      </w:tr>
      <w:tr>
        <w:trPr/>
        <w:tc>
          <w:tcPr>
            <w:tcBorders/>
            <w:tcW w:w="1662" w:type="dxa"/>
          </w:tcPr>
          <w:p>
            <w:pPr>
              <w:pBdr/>
              <w:spacing/>
              <w:ind/>
              <w:rPr/>
            </w:pPr>
            <w:r>
              <w:rPr>
                <w:rFonts w:ascii="Times New Roman" w:hAnsi="Times New Roman"/>
                <w:sz w:val="20"/>
              </w:rPr>
              <w:t xml:space="preserve">7</w:t>
            </w:r>
            <w:r/>
          </w:p>
        </w:tc>
        <w:tc>
          <w:tcPr>
            <w:tcBorders/>
            <w:tcW w:w="1662" w:type="dxa"/>
          </w:tcPr>
          <w:p>
            <w:pPr>
              <w:pBdr/>
              <w:spacing/>
              <w:ind/>
              <w:rPr/>
            </w:pPr>
            <w:r>
              <w:rPr>
                <w:rFonts w:ascii="Times New Roman" w:hAnsi="Times New Roman"/>
                <w:sz w:val="20"/>
              </w:rPr>
              <w:t xml:space="preserve">SG90 Micro-Servo Motors (fingers x5)</w:t>
            </w:r>
            <w:r/>
          </w:p>
        </w:tc>
        <w:tc>
          <w:tcPr>
            <w:tcBorders/>
            <w:tcW w:w="1662" w:type="dxa"/>
          </w:tcPr>
          <w:p>
            <w:pPr>
              <w:pBdr/>
              <w:spacing/>
              <w:ind/>
              <w:rPr/>
            </w:pPr>
            <w:r>
              <w:rPr>
                <w:rFonts w:ascii="Times New Roman" w:hAnsi="Times New Roman"/>
                <w:sz w:val="20"/>
              </w:rPr>
              <w:t xml:space="preserve">5</w:t>
            </w:r>
            <w:r/>
          </w:p>
        </w:tc>
        <w:tc>
          <w:tcPr>
            <w:tcBorders/>
            <w:tcW w:w="1662" w:type="dxa"/>
          </w:tcPr>
          <w:p>
            <w:pPr>
              <w:pBdr/>
              <w:spacing/>
              <w:ind/>
              <w:rPr/>
            </w:pPr>
            <w:r>
              <w:rPr>
                <w:rFonts w:ascii="Times New Roman" w:hAnsi="Times New Roman"/>
                <w:sz w:val="20"/>
              </w:rPr>
              <w:t xml:space="preserve">150</w:t>
            </w:r>
            <w:r/>
          </w:p>
        </w:tc>
        <w:tc>
          <w:tcPr>
            <w:tcBorders/>
            <w:tcW w:w="1662" w:type="dxa"/>
          </w:tcPr>
          <w:p>
            <w:pPr>
              <w:pBdr/>
              <w:spacing/>
              <w:ind/>
              <w:rPr/>
            </w:pPr>
            <w:r>
              <w:rPr>
                <w:rFonts w:ascii="Times New Roman" w:hAnsi="Times New Roman"/>
                <w:sz w:val="20"/>
              </w:rPr>
              <w:t xml:space="preserve">750</w:t>
            </w:r>
            <w:r/>
          </w:p>
        </w:tc>
      </w:tr>
      <w:tr>
        <w:trPr/>
        <w:tc>
          <w:tcPr>
            <w:tcBorders/>
            <w:tcW w:w="1662" w:type="dxa"/>
          </w:tcPr>
          <w:p>
            <w:pPr>
              <w:pBdr/>
              <w:spacing/>
              <w:ind/>
              <w:rPr/>
            </w:pPr>
            <w:r>
              <w:rPr>
                <w:rFonts w:ascii="Times New Roman" w:hAnsi="Times New Roman"/>
                <w:sz w:val="20"/>
              </w:rPr>
              <w:t xml:space="preserve">8</w:t>
            </w:r>
            <w:r/>
          </w:p>
        </w:tc>
        <w:tc>
          <w:tcPr>
            <w:tcBorders/>
            <w:tcW w:w="1662" w:type="dxa"/>
          </w:tcPr>
          <w:p>
            <w:pPr>
              <w:pBdr/>
              <w:spacing/>
              <w:ind/>
              <w:rPr/>
            </w:pPr>
            <w:r>
              <w:rPr>
                <w:rFonts w:ascii="Times New Roman" w:hAnsi="Times New Roman"/>
                <w:sz w:val="20"/>
              </w:rPr>
              <w:t xml:space="preserve">MG996R Servo Motor (wrist)</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400</w:t>
            </w:r>
            <w:r/>
          </w:p>
        </w:tc>
        <w:tc>
          <w:tcPr>
            <w:tcBorders/>
            <w:tcW w:w="1662" w:type="dxa"/>
          </w:tcPr>
          <w:p>
            <w:pPr>
              <w:pBdr/>
              <w:spacing/>
              <w:ind/>
              <w:rPr/>
            </w:pPr>
            <w:r>
              <w:rPr>
                <w:rFonts w:ascii="Times New Roman" w:hAnsi="Times New Roman"/>
                <w:sz w:val="20"/>
              </w:rPr>
              <w:t xml:space="preserve">400</w:t>
            </w:r>
            <w:r/>
          </w:p>
        </w:tc>
      </w:tr>
      <w:tr>
        <w:trPr/>
        <w:tc>
          <w:tcPr>
            <w:tcBorders/>
            <w:tcW w:w="1662" w:type="dxa"/>
          </w:tcPr>
          <w:p>
            <w:pPr>
              <w:pBdr/>
              <w:spacing/>
              <w:ind/>
              <w:rPr/>
            </w:pPr>
            <w:r>
              <w:rPr>
                <w:rFonts w:ascii="Times New Roman" w:hAnsi="Times New Roman"/>
                <w:sz w:val="20"/>
              </w:rPr>
              <w:t xml:space="preserve">9</w:t>
            </w:r>
            <w:r/>
          </w:p>
        </w:tc>
        <w:tc>
          <w:tcPr>
            <w:tcBorders/>
            <w:tcW w:w="1662" w:type="dxa"/>
          </w:tcPr>
          <w:p>
            <w:pPr>
              <w:pBdr/>
              <w:spacing/>
              <w:ind/>
              <w:rPr/>
            </w:pPr>
            <w:r>
              <w:rPr>
                <w:rFonts w:ascii="Times New Roman" w:hAnsi="Times New Roman"/>
                <w:sz w:val="20"/>
              </w:rPr>
              <w:t xml:space="preserve">3D Printing (5-finger prosthetic hand, PETG filament)</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1,500</w:t>
            </w:r>
            <w:r/>
          </w:p>
        </w:tc>
        <w:tc>
          <w:tcPr>
            <w:tcBorders/>
            <w:tcW w:w="1662" w:type="dxa"/>
          </w:tcPr>
          <w:p>
            <w:pPr>
              <w:pBdr/>
              <w:spacing/>
              <w:ind/>
              <w:rPr/>
            </w:pPr>
            <w:r>
              <w:rPr>
                <w:rFonts w:ascii="Times New Roman" w:hAnsi="Times New Roman"/>
                <w:sz w:val="20"/>
              </w:rPr>
              <w:t xml:space="preserve">1,500</w:t>
            </w:r>
            <w:r/>
          </w:p>
        </w:tc>
      </w:tr>
      <w:tr>
        <w:trPr/>
        <w:tc>
          <w:tcPr>
            <w:tcBorders/>
            <w:tcW w:w="1662" w:type="dxa"/>
          </w:tcPr>
          <w:p>
            <w:pPr>
              <w:pBdr/>
              <w:spacing/>
              <w:ind/>
              <w:rPr/>
            </w:pPr>
            <w:r>
              <w:rPr>
                <w:rFonts w:ascii="Times New Roman" w:hAnsi="Times New Roman"/>
                <w:sz w:val="20"/>
              </w:rPr>
              <w:t xml:space="preserve">10</w:t>
            </w:r>
            <w:r/>
          </w:p>
        </w:tc>
        <w:tc>
          <w:tcPr>
            <w:tcBorders/>
            <w:tcW w:w="1662" w:type="dxa"/>
          </w:tcPr>
          <w:p>
            <w:pPr>
              <w:pBdr/>
              <w:spacing/>
              <w:ind/>
              <w:rPr/>
            </w:pPr>
            <w:r>
              <w:rPr>
                <w:rFonts w:ascii="Times New Roman" w:hAnsi="Times New Roman"/>
                <w:sz w:val="20"/>
              </w:rPr>
              <w:t xml:space="preserve">4-Layer PCB (JLCPCB, incl. shipping)</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1,200</w:t>
            </w:r>
            <w:r/>
          </w:p>
        </w:tc>
        <w:tc>
          <w:tcPr>
            <w:tcBorders/>
            <w:tcW w:w="1662" w:type="dxa"/>
          </w:tcPr>
          <w:p>
            <w:pPr>
              <w:pBdr/>
              <w:spacing/>
              <w:ind/>
              <w:rPr/>
            </w:pPr>
            <w:r>
              <w:rPr>
                <w:rFonts w:ascii="Times New Roman" w:hAnsi="Times New Roman"/>
                <w:sz w:val="20"/>
              </w:rPr>
              <w:t xml:space="preserve">1,200</w:t>
            </w:r>
            <w:r/>
          </w:p>
        </w:tc>
      </w:tr>
      <w:tr>
        <w:trPr/>
        <w:tc>
          <w:tcPr>
            <w:tcBorders/>
            <w:tcW w:w="1662" w:type="dxa"/>
          </w:tcPr>
          <w:p>
            <w:pPr>
              <w:pBdr/>
              <w:spacing/>
              <w:ind/>
              <w:rPr/>
            </w:pPr>
            <w:r>
              <w:rPr>
                <w:rFonts w:ascii="Times New Roman" w:hAnsi="Times New Roman"/>
                <w:sz w:val="20"/>
              </w:rPr>
              <w:t xml:space="preserve">11</w:t>
            </w:r>
            <w:r/>
          </w:p>
        </w:tc>
        <w:tc>
          <w:tcPr>
            <w:tcBorders/>
            <w:tcW w:w="1662" w:type="dxa"/>
          </w:tcPr>
          <w:p>
            <w:pPr>
              <w:pBdr/>
              <w:spacing/>
              <w:ind/>
              <w:rPr/>
            </w:pPr>
            <w:r>
              <w:rPr>
                <w:rFonts w:ascii="Times New Roman" w:hAnsi="Times New Roman"/>
                <w:sz w:val="20"/>
              </w:rPr>
              <w:t xml:space="preserve">9V Batteries + Holders</w:t>
            </w:r>
            <w:r/>
          </w:p>
        </w:tc>
        <w:tc>
          <w:tcPr>
            <w:tcBorders/>
            <w:tcW w:w="1662" w:type="dxa"/>
          </w:tcPr>
          <w:p>
            <w:pPr>
              <w:pBdr/>
              <w:spacing/>
              <w:ind/>
              <w:rPr/>
            </w:pPr>
            <w:r>
              <w:rPr>
                <w:rFonts w:ascii="Times New Roman" w:hAnsi="Times New Roman"/>
                <w:sz w:val="20"/>
              </w:rPr>
              <w:t xml:space="preserve">2</w:t>
            </w:r>
            <w:r/>
          </w:p>
        </w:tc>
        <w:tc>
          <w:tcPr>
            <w:tcBorders/>
            <w:tcW w:w="1662" w:type="dxa"/>
          </w:tcPr>
          <w:p>
            <w:pPr>
              <w:pBdr/>
              <w:spacing/>
              <w:ind/>
              <w:rPr/>
            </w:pPr>
            <w:r>
              <w:rPr>
                <w:rFonts w:ascii="Times New Roman" w:hAnsi="Times New Roman"/>
                <w:sz w:val="20"/>
              </w:rPr>
              <w:t xml:space="preserve">150</w:t>
            </w:r>
            <w:r/>
          </w:p>
        </w:tc>
        <w:tc>
          <w:tcPr>
            <w:tcBorders/>
            <w:tcW w:w="1662" w:type="dxa"/>
          </w:tcPr>
          <w:p>
            <w:pPr>
              <w:pBdr/>
              <w:spacing/>
              <w:ind/>
              <w:rPr/>
            </w:pPr>
            <w:r>
              <w:rPr>
                <w:rFonts w:ascii="Times New Roman" w:hAnsi="Times New Roman"/>
                <w:sz w:val="20"/>
              </w:rPr>
              <w:t xml:space="preserve">300</w:t>
            </w:r>
            <w:r/>
          </w:p>
        </w:tc>
      </w:tr>
      <w:tr>
        <w:trPr/>
        <w:tc>
          <w:tcPr>
            <w:tcBorders/>
            <w:tcW w:w="1662" w:type="dxa"/>
          </w:tcPr>
          <w:p>
            <w:pPr>
              <w:pBdr/>
              <w:spacing/>
              <w:ind/>
              <w:rPr/>
            </w:pPr>
            <w:r>
              <w:rPr>
                <w:rFonts w:ascii="Times New Roman" w:hAnsi="Times New Roman"/>
                <w:sz w:val="20"/>
              </w:rPr>
              <w:t xml:space="preserve">12</w:t>
            </w:r>
            <w:r/>
          </w:p>
        </w:tc>
        <w:tc>
          <w:tcPr>
            <w:tcBorders/>
            <w:tcW w:w="1662" w:type="dxa"/>
          </w:tcPr>
          <w:p>
            <w:pPr>
              <w:pBdr/>
              <w:spacing/>
              <w:ind/>
              <w:rPr/>
            </w:pPr>
            <w:r>
              <w:rPr>
                <w:rFonts w:ascii="Times New Roman" w:hAnsi="Times New Roman"/>
                <w:sz w:val="20"/>
              </w:rPr>
              <w:t xml:space="preserve">Connectors, headers, wires, enclosure</w:t>
            </w:r>
            <w:r/>
          </w:p>
        </w:tc>
        <w:tc>
          <w:tcPr>
            <w:tcBorders/>
            <w:tcW w:w="1662" w:type="dxa"/>
          </w:tcPr>
          <w:p>
            <w:pPr>
              <w:pBdr/>
              <w:spacing/>
              <w:ind/>
              <w:rPr/>
            </w:pPr>
            <w:r>
              <w:rPr>
                <w:rFonts w:ascii="Times New Roman" w:hAnsi="Times New Roman"/>
                <w:sz w:val="20"/>
              </w:rPr>
              <w:t xml:space="preserve">1 set</w:t>
            </w:r>
            <w:r/>
          </w:p>
        </w:tc>
        <w:tc>
          <w:tcPr>
            <w:tcBorders/>
            <w:tcW w:w="1662" w:type="dxa"/>
          </w:tcPr>
          <w:p>
            <w:pPr>
              <w:pBdr/>
              <w:spacing/>
              <w:ind/>
              <w:rPr/>
            </w:pPr>
            <w:r>
              <w:rPr>
                <w:rFonts w:ascii="Times New Roman" w:hAnsi="Times New Roman"/>
                <w:sz w:val="20"/>
              </w:rPr>
              <w:t xml:space="preserve">500</w:t>
            </w:r>
            <w:r/>
          </w:p>
        </w:tc>
        <w:tc>
          <w:tcPr>
            <w:tcBorders/>
            <w:tcW w:w="1662" w:type="dxa"/>
          </w:tcPr>
          <w:p>
            <w:pPr>
              <w:pBdr/>
              <w:spacing/>
              <w:ind/>
              <w:rPr/>
            </w:pPr>
            <w:r>
              <w:rPr>
                <w:rFonts w:ascii="Times New Roman" w:hAnsi="Times New Roman"/>
                <w:sz w:val="20"/>
              </w:rPr>
              <w:t xml:space="preserve">500</w:t>
            </w:r>
            <w:r/>
          </w:p>
        </w:tc>
      </w:tr>
      <w:tr>
        <w:trPr/>
        <w:tc>
          <w:tcPr>
            <w:tcBorders/>
            <w:tcW w:w="1662" w:type="dxa"/>
          </w:tcPr>
          <w:p>
            <w:pPr>
              <w:pBdr/>
              <w:spacing/>
              <w:ind/>
              <w:rPr/>
            </w:pPr>
            <w:r>
              <w:rPr>
                <w:rFonts w:ascii="Times New Roman" w:hAnsi="Times New Roman"/>
                <w:sz w:val="20"/>
              </w:rPr>
              <w:t xml:space="preserve">13</w:t>
            </w:r>
            <w:r/>
          </w:p>
        </w:tc>
        <w:tc>
          <w:tcPr>
            <w:tcBorders/>
            <w:tcW w:w="1662" w:type="dxa"/>
          </w:tcPr>
          <w:p>
            <w:pPr>
              <w:pBdr/>
              <w:spacing/>
              <w:ind/>
              <w:rPr/>
            </w:pPr>
            <w:r>
              <w:rPr>
                <w:rFonts w:ascii="Times New Roman" w:hAnsi="Times New Roman"/>
                <w:sz w:val="20"/>
              </w:rPr>
              <w:t xml:space="preserve">Electrode cables and shielded leads</w:t>
            </w:r>
            <w:r/>
          </w:p>
        </w:tc>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100</w:t>
            </w:r>
            <w:r/>
          </w:p>
        </w:tc>
        <w:tc>
          <w:tcPr>
            <w:tcBorders/>
            <w:tcW w:w="1662" w:type="dxa"/>
          </w:tcPr>
          <w:p>
            <w:pPr>
              <w:pBdr/>
              <w:spacing/>
              <w:ind/>
              <w:rPr/>
            </w:pPr>
            <w:r>
              <w:rPr>
                <w:rFonts w:ascii="Times New Roman" w:hAnsi="Times New Roman"/>
                <w:sz w:val="20"/>
              </w:rPr>
              <w:t xml:space="preserve">400</w:t>
            </w:r>
            <w:r/>
          </w:p>
        </w:tc>
      </w:tr>
      <w:tr>
        <w:trPr/>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t xml:space="preserve">TOTAL</w:t>
            </w:r>
            <w:r/>
          </w:p>
        </w:tc>
        <w:tc>
          <w:tcPr>
            <w:tcBorders/>
            <w:tcW w:w="1662" w:type="dxa"/>
          </w:tcPr>
          <w:p>
            <w:pPr>
              <w:pBdr/>
              <w:spacing/>
              <w:ind/>
              <w:rPr/>
            </w:pPr>
            <w:r>
              <w:rPr>
                <w:rFonts w:ascii="Times New Roman" w:hAnsi="Times New Roman"/>
                <w:sz w:val="20"/>
              </w:rPr>
              <w:t xml:space="preserve">KES 8,700</w:t>
            </w:r>
            <w:r/>
          </w:p>
        </w:tc>
      </w:tr>
      <w:tr>
        <w:trPr/>
        <w:tc>
          <w:tcPr>
            <w:tcBorders/>
            <w:tcW w:w="1662" w:type="dxa"/>
          </w:tcPr>
          <w:p w14:paraId="0CD96E85">
            <w:pPr>
              <w:pBdr/>
              <w:spacing/>
              <w:ind/>
              <w:rPr/>
            </w:pPr>
            <w:r/>
            <w:r/>
          </w:p>
        </w:tc>
        <w:tc>
          <w:tcPr>
            <w:tcBorders/>
            <w:tcW w:w="1662" w:type="dxa"/>
          </w:tcPr>
          <w:p w14:paraId="637C7BCC">
            <w:pPr>
              <w:pBdr/>
              <w:spacing/>
              <w:ind/>
              <w:rPr/>
            </w:pPr>
            <w:r/>
            <w:r/>
          </w:p>
        </w:tc>
        <w:tc>
          <w:tcPr>
            <w:tcBorders/>
            <w:tcW w:w="1662" w:type="dxa"/>
          </w:tcPr>
          <w:p w14:paraId="01CF6F4B">
            <w:pPr>
              <w:pBdr/>
              <w:spacing/>
              <w:ind/>
              <w:rPr/>
            </w:pPr>
            <w:r/>
            <w:r/>
          </w:p>
        </w:tc>
        <w:tc>
          <w:tcPr>
            <w:tcBorders/>
            <w:tcW w:w="1662" w:type="dxa"/>
          </w:tcPr>
          <w:p w14:paraId="01C972C6">
            <w:pPr>
              <w:pBdr/>
              <w:spacing/>
              <w:ind/>
              <w:rPr/>
            </w:pPr>
            <w:r/>
            <w:r/>
          </w:p>
        </w:tc>
        <w:tc>
          <w:tcPr>
            <w:tcBorders/>
            <w:tcW w:w="1662" w:type="dxa"/>
          </w:tcPr>
          <w:p w14:paraId="1E71563C">
            <w:pPr>
              <w:pBdr/>
              <w:spacing/>
              <w:ind/>
              <w:rPr/>
            </w:pPr>
            <w:r/>
            <w:r/>
          </w:p>
        </w:tc>
      </w:tr>
    </w:tbl>
    <w:p>
      <w:pPr>
        <w:pBdr/>
        <w:spacing/>
        <w:ind/>
        <w:rPr/>
      </w:pPr>
      <w:r/>
      <w:r/>
    </w:p>
    <w:p>
      <w:pPr>
        <w:pBdr/>
        <w:spacing w:after="120" w:before="0" w:line="360" w:lineRule="auto"/>
        <w:ind w:firstLine="720"/>
        <w:rPr/>
      </w:pPr>
      <w:r>
        <w:rPr>
          <w:rFonts w:ascii="Times New Roman" w:hAnsi="Times New Roman"/>
          <w:b w:val="0"/>
          <w:sz w:val="24"/>
        </w:rPr>
        <w:t xml:space="preserve">Note: The electronics BOM (Tier A: items 1-4, 6) totals KES 3,150 (approximately USD 24), which is close to the USD 20 target and will be optimised through component substitution and volume procurement. The complete prototype </w:t>
      </w:r>
      <w:r>
        <w:rPr>
          <w:rFonts w:ascii="Times New Roman" w:hAnsi="Times New Roman"/>
          <w:b w:val="0"/>
          <w:sz w:val="24"/>
        </w:rPr>
        <w:t xml:space="preserve">BOM (Tier B: all items) totals KES 8,700 (approximately USD 67), which slightly exceeds the USD 65 target due to the upgrade from a 2-servo gripper to a 6-servo 5-finger prosthetic hand; the Tier B target will be reviewed as component prices are confirmed.</w:t>
      </w:r>
      <w:r>
        <w:rPr>
          <w:rFonts w:ascii="Times New Roman" w:hAnsi="Times New Roman"/>
          <w:b w:val="0"/>
          <w:sz w:val="24"/>
        </w:rPr>
      </w:r>
      <w:r/>
    </w:p>
    <w:p>
      <w:pPr>
        <w:pBdr/>
        <w:spacing/>
        <w:ind/>
        <w:rPr/>
      </w:pPr>
      <w:r>
        <w:br w:type="page" w:clear="all"/>
      </w:r>
      <w:r/>
    </w:p>
    <w:p>
      <w:pPr>
        <w:pStyle w:val="874"/>
        <w:pBdr/>
        <w:spacing/>
        <w:ind/>
        <w:rPr/>
      </w:pPr>
      <w:r/>
      <w:bookmarkStart w:id="55" w:name="_Toc55"/>
      <w:r>
        <w:t xml:space="preserve">PROJECT TIMEPLAN</w:t>
      </w:r>
      <w:bookmarkEnd w:id="55"/>
      <w:r/>
      <w:r/>
    </w:p>
    <w:p>
      <w:pPr>
        <w:pBdr/>
        <w:spacing w:after="120" w:before="120" w:line="360" w:lineRule="auto"/>
        <w:ind/>
        <w:rPr/>
      </w:pPr>
      <w:r>
        <w:rPr>
          <w:rFonts w:ascii="Times New Roman" w:hAnsi="Times New Roman"/>
          <w:b/>
          <w:sz w:val="24"/>
        </w:rPr>
        <w:t xml:space="preserve">Table 7: Project Timeplan</w:t>
      </w:r>
      <w:r/>
    </w:p>
    <w:tbl>
      <w:tblPr>
        <w:tblStyle w:val="934"/>
        <w:jc w:val="center"/>
        <w:tblW w:w="0" w:type="auto"/>
        <w:tblBorders/>
        <w:tblLook w:val="04A0" w:firstRow="1" w:lastRow="0" w:firstColumn="1" w:lastColumn="0" w:noHBand="0" w:noVBand="1"/>
      </w:tblPr>
      <w:tblGrid>
        <w:gridCol w:w="831"/>
        <w:gridCol w:w="831"/>
        <w:gridCol w:w="831"/>
        <w:gridCol w:w="831"/>
        <w:gridCol w:w="831"/>
        <w:gridCol w:w="831"/>
        <w:gridCol w:w="831"/>
        <w:gridCol w:w="831"/>
        <w:gridCol w:w="831"/>
        <w:gridCol w:w="831"/>
      </w:tblGrid>
      <w:tr>
        <w:trPr/>
        <w:tc>
          <w:tcPr>
            <w:tcBorders/>
            <w:tcW w:w="831" w:type="dxa"/>
          </w:tcPr>
          <w:p>
            <w:pPr>
              <w:pBdr/>
              <w:spacing/>
              <w:ind/>
              <w:rPr/>
            </w:pPr>
            <w:r>
              <w:rPr>
                <w:rFonts w:ascii="Times New Roman" w:hAnsi="Times New Roman"/>
                <w:b/>
                <w:sz w:val="20"/>
              </w:rPr>
              <w:t xml:space="preserve">Activity</w:t>
            </w:r>
            <w:r/>
          </w:p>
        </w:tc>
        <w:tc>
          <w:tcPr>
            <w:tcBorders/>
            <w:tcW w:w="831" w:type="dxa"/>
          </w:tcPr>
          <w:p>
            <w:pPr>
              <w:pBdr/>
              <w:spacing/>
              <w:ind/>
              <w:rPr/>
            </w:pPr>
            <w:r>
              <w:rPr>
                <w:rFonts w:ascii="Times New Roman" w:hAnsi="Times New Roman"/>
                <w:b/>
                <w:sz w:val="20"/>
              </w:rPr>
              <w:t xml:space="preserve">SEP</w:t>
            </w:r>
            <w:r/>
          </w:p>
        </w:tc>
        <w:tc>
          <w:tcPr>
            <w:tcBorders/>
            <w:tcW w:w="831" w:type="dxa"/>
          </w:tcPr>
          <w:p>
            <w:pPr>
              <w:pBdr/>
              <w:spacing/>
              <w:ind/>
              <w:rPr/>
            </w:pPr>
            <w:r>
              <w:rPr>
                <w:rFonts w:ascii="Times New Roman" w:hAnsi="Times New Roman"/>
                <w:b/>
                <w:sz w:val="20"/>
              </w:rPr>
              <w:t xml:space="preserve">OCT</w:t>
            </w:r>
            <w:r/>
          </w:p>
        </w:tc>
        <w:tc>
          <w:tcPr>
            <w:tcBorders/>
            <w:tcW w:w="831" w:type="dxa"/>
          </w:tcPr>
          <w:p>
            <w:pPr>
              <w:pBdr/>
              <w:spacing/>
              <w:ind/>
              <w:rPr/>
            </w:pPr>
            <w:r>
              <w:rPr>
                <w:rFonts w:ascii="Times New Roman" w:hAnsi="Times New Roman"/>
                <w:b/>
                <w:sz w:val="20"/>
              </w:rPr>
              <w:t xml:space="preserve">NOV</w:t>
            </w:r>
            <w:r/>
          </w:p>
        </w:tc>
        <w:tc>
          <w:tcPr>
            <w:tcBorders/>
            <w:tcW w:w="831" w:type="dxa"/>
          </w:tcPr>
          <w:p>
            <w:pPr>
              <w:pBdr/>
              <w:spacing/>
              <w:ind/>
              <w:rPr/>
            </w:pPr>
            <w:r>
              <w:rPr>
                <w:rFonts w:ascii="Times New Roman" w:hAnsi="Times New Roman"/>
                <w:b/>
                <w:sz w:val="20"/>
              </w:rPr>
              <w:t xml:space="preserve">DEC</w:t>
            </w:r>
            <w:r/>
          </w:p>
        </w:tc>
        <w:tc>
          <w:tcPr>
            <w:tcBorders/>
            <w:tcW w:w="831" w:type="dxa"/>
          </w:tcPr>
          <w:p>
            <w:pPr>
              <w:pBdr/>
              <w:spacing/>
              <w:ind/>
              <w:rPr/>
            </w:pPr>
            <w:r>
              <w:rPr>
                <w:rFonts w:ascii="Times New Roman" w:hAnsi="Times New Roman"/>
                <w:b/>
                <w:sz w:val="20"/>
              </w:rPr>
              <w:t xml:space="preserve">JAN</w:t>
            </w:r>
            <w:r/>
          </w:p>
        </w:tc>
        <w:tc>
          <w:tcPr>
            <w:tcBorders/>
            <w:tcW w:w="831" w:type="dxa"/>
          </w:tcPr>
          <w:p>
            <w:pPr>
              <w:pBdr/>
              <w:spacing/>
              <w:ind/>
              <w:rPr/>
            </w:pPr>
            <w:r>
              <w:rPr>
                <w:rFonts w:ascii="Times New Roman" w:hAnsi="Times New Roman"/>
                <w:b/>
                <w:sz w:val="20"/>
              </w:rPr>
              <w:t xml:space="preserve">FEB</w:t>
            </w:r>
            <w:r/>
          </w:p>
        </w:tc>
        <w:tc>
          <w:tcPr>
            <w:tcBorders/>
            <w:tcW w:w="831" w:type="dxa"/>
          </w:tcPr>
          <w:p>
            <w:pPr>
              <w:pBdr/>
              <w:spacing/>
              <w:ind/>
              <w:rPr/>
            </w:pPr>
            <w:r>
              <w:rPr>
                <w:rFonts w:ascii="Times New Roman" w:hAnsi="Times New Roman"/>
                <w:b/>
                <w:sz w:val="20"/>
              </w:rPr>
              <w:t xml:space="preserve">MAR</w:t>
            </w:r>
            <w:r/>
          </w:p>
        </w:tc>
        <w:tc>
          <w:tcPr>
            <w:tcBorders/>
            <w:tcW w:w="831" w:type="dxa"/>
          </w:tcPr>
          <w:p>
            <w:pPr>
              <w:pBdr/>
              <w:spacing/>
              <w:ind/>
              <w:rPr/>
            </w:pPr>
            <w:r>
              <w:rPr>
                <w:rFonts w:ascii="Times New Roman" w:hAnsi="Times New Roman"/>
                <w:b/>
                <w:sz w:val="20"/>
              </w:rPr>
              <w:t xml:space="preserve">APR</w:t>
            </w:r>
            <w:r/>
          </w:p>
        </w:tc>
        <w:tc>
          <w:tcPr>
            <w:tcBorders/>
            <w:tcW w:w="831" w:type="dxa"/>
          </w:tcPr>
          <w:p>
            <w:pPr>
              <w:pBdr/>
              <w:spacing/>
              <w:ind/>
              <w:rPr/>
            </w:pPr>
            <w:r>
              <w:rPr>
                <w:rFonts w:ascii="Times New Roman" w:hAnsi="Times New Roman"/>
                <w:b/>
                <w:sz w:val="20"/>
              </w:rPr>
              <w:t xml:space="preserve">MAY</w:t>
            </w:r>
            <w:r/>
          </w:p>
        </w:tc>
      </w:tr>
      <w:tr>
        <w:trPr/>
        <w:tc>
          <w:tcPr>
            <w:tcBorders/>
            <w:tcW w:w="831" w:type="dxa"/>
          </w:tcPr>
          <w:p>
            <w:pPr>
              <w:pBdr/>
              <w:spacing/>
              <w:ind/>
              <w:rPr/>
            </w:pPr>
            <w:r>
              <w:rPr>
                <w:rFonts w:ascii="Times New Roman" w:hAnsi="Times New Roman"/>
                <w:sz w:val="20"/>
              </w:rPr>
              <w:t xml:space="preserve">Proposal Writing</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Literature Review</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Proposal Presentation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Simulation &amp; Single-Channel PoC</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PCB Design &amp; Fabrication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ML Training &amp; Deployment</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BLE App Development</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System Integration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5-Subject Validation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Final Report Writing</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Final Presentation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r>
    </w:tbl>
    <w:p>
      <w:pPr>
        <w:pBdr/>
        <w:spacing/>
        <w:ind/>
        <w:rPr/>
      </w:pPr>
      <w:r/>
      <w:r/>
    </w:p>
    <w:p>
      <w:pPr>
        <w:pBdr/>
        <w:spacing/>
        <w:ind/>
        <w:rPr/>
      </w:pPr>
      <w:r>
        <w:br w:type="page" w:clear="all"/>
      </w:r>
      <w:r/>
    </w:p>
    <w:p>
      <w:pPr>
        <w:pStyle w:val="874"/>
        <w:pBdr/>
        <w:spacing/>
        <w:ind/>
        <w:rPr/>
      </w:pPr>
      <w:r/>
      <w:bookmarkStart w:id="56" w:name="_Toc56"/>
      <w:r>
        <w:t xml:space="preserve">REFERENCES</w:t>
      </w:r>
      <w:bookmarkEnd w:id="56"/>
      <w:r/>
      <w:r/>
    </w:p>
    <w:p>
      <w:pPr>
        <w:pBdr/>
        <w:spacing w:after="80" w:line="276" w:lineRule="auto"/>
        <w:ind/>
        <w:rPr/>
      </w:pPr>
      <w:r>
        <w:rPr>
          <w:rFonts w:ascii="Times New Roman" w:hAnsi="Times New Roman"/>
          <w:sz w:val="22"/>
        </w:rPr>
        <w:t xml:space="preserve">[1] J. A. M. Salgado, J. A. S. Espino, R. A. B. Vargas, et al., "Single-channel sEMG hand gesture classification using an artificial neural network implemented on an ESP32 microcontroller," IEEE Access, vol. 13, pp. 28756-28768, 2025.</w:t>
      </w:r>
      <w:r/>
    </w:p>
    <w:p>
      <w:pPr>
        <w:pBdr/>
        <w:spacing w:after="80" w:line="276" w:lineRule="auto"/>
        <w:ind/>
        <w:rPr/>
      </w:pPr>
      <w:r>
        <w:rPr>
          <w:rFonts w:ascii="Times New Roman" w:hAnsi="Times New Roman"/>
          <w:sz w:val="22"/>
        </w:rPr>
        <w:t xml:space="preserve">[2] S. Mekruksavanich, N. Hnoohom, and A. Jitpattanakul, "Deep residual network with channel attention for improving hand gesture recognition with surface electromyography signal," IEEE Access, vol. 14, 2026, doi: 10.1109/ACCESS.2026.3704323.</w:t>
      </w:r>
      <w:r/>
    </w:p>
    <w:p>
      <w:pPr>
        <w:pBdr/>
        <w:spacing w:after="80" w:line="276" w:lineRule="auto"/>
        <w:ind/>
        <w:rPr/>
      </w:pPr>
      <w:r>
        <w:rPr>
          <w:rFonts w:ascii="Times New Roman" w:hAnsi="Times New Roman"/>
          <w:sz w:val="22"/>
        </w:rPr>
        <w:t xml:space="preserve">[3] H. Lee, M. Jiang, Z. Ya</w:t>
      </w:r>
      <w:r>
        <w:rPr>
          <w:rFonts w:ascii="Times New Roman" w:hAnsi="Times New Roman"/>
          <w:sz w:val="22"/>
        </w:rPr>
        <w:t xml:space="preserve">ng, and Q. Zhao, "FedEMG: Achieving generalization, personalization, and resource efficiency in EMG-based upper-limb rehabilitation through federated prototype learning," IEEE Trans. Biomed. Eng., vol. 73, pp. 803-817, 2025, doi: 10.1109/TBME.2025.3593485.</w:t>
      </w:r>
      <w:r/>
    </w:p>
    <w:p>
      <w:pPr>
        <w:pBdr/>
        <w:spacing w:after="80" w:line="276" w:lineRule="auto"/>
        <w:ind/>
        <w:rPr/>
      </w:pPr>
      <w:r>
        <w:rPr>
          <w:rFonts w:ascii="Times New Roman" w:hAnsi="Times New Roman"/>
          <w:sz w:val="22"/>
        </w:rPr>
        <w:t xml:space="preserve">[4] R. G. Molinari, V. Aviles-Carrillo, G. A. G. De Villa, et al., "A wearable platform for real-time control of a prosthetic hand by high-density EMG," IEEE Access, vol. 14, pp. 36851-36868, 2026, doi: 10.1109/ACCESS.2026.3670500.</w:t>
      </w:r>
      <w:r/>
    </w:p>
    <w:p>
      <w:pPr>
        <w:pBdr/>
        <w:spacing w:after="80" w:line="276" w:lineRule="auto"/>
        <w:ind/>
        <w:rPr/>
      </w:pPr>
      <w:r>
        <w:rPr>
          <w:rFonts w:ascii="Times New Roman" w:hAnsi="Times New Roman"/>
          <w:sz w:val="22"/>
        </w:rPr>
        <w:t xml:space="preserve">[5] D. M. Furtado, L. B. Palma, et al., "A modular low-cost myoelectric prosthetic hand," in Proc. 10th Int. Young Engineers Forum Elect. Comput. Eng. (YEF-ECE), June 2026, doi: 10.1109/YEF-ECE70590.2026.11614615.</w:t>
      </w:r>
      <w:r/>
    </w:p>
    <w:p>
      <w:pPr>
        <w:pBdr/>
        <w:spacing w:after="80" w:line="276" w:lineRule="auto"/>
        <w:ind/>
        <w:rPr/>
      </w:pPr>
      <w:r>
        <w:rPr>
          <w:rFonts w:ascii="Times New Roman" w:hAnsi="Times New Roman"/>
          <w:sz w:val="22"/>
        </w:rPr>
        <w:t xml:space="preserve">[6] P. Prakash, M. </w:t>
      </w:r>
      <w:r>
        <w:rPr>
          <w:rFonts w:ascii="Times New Roman" w:hAnsi="Times New Roman"/>
          <w:sz w:val="22"/>
        </w:rPr>
        <w:t xml:space="preserve">Juneja, H. Kaur, and N. R. Gopinathan, "Advances in EMG, EEG, and hybrid-based prosthetic arm control: A comprehensive review on machine learning, deep learning, and multimodal approaches," Arch. Comput. Methods Eng., 2026, doi: 10.1007/s11831-026-10756-8.</w:t>
      </w:r>
      <w:r/>
    </w:p>
    <w:p>
      <w:pPr>
        <w:pBdr/>
        <w:spacing w:after="80" w:line="276" w:lineRule="auto"/>
        <w:ind/>
        <w:rPr/>
      </w:pPr>
      <w:r>
        <w:rPr>
          <w:rFonts w:ascii="Times New Roman" w:hAnsi="Times New Roman"/>
          <w:sz w:val="22"/>
        </w:rPr>
        <w:t xml:space="preserve">[7] B. Abdikenov, D. Zholtayev, K. Suleimenov, et al., "Emerging frontiers in robotic upper-limb prostheses: Mechanisms, materials, tactile sensors and machine learning-based EMG control," Sensors, vol. 25, no. 13, p. 3892, 2025.</w:t>
      </w:r>
      <w:r/>
    </w:p>
    <w:p>
      <w:pPr>
        <w:pBdr/>
        <w:spacing w:after="80" w:line="276" w:lineRule="auto"/>
        <w:ind/>
        <w:rPr/>
      </w:pPr>
      <w:r>
        <w:rPr>
          <w:rFonts w:ascii="Times New Roman" w:hAnsi="Times New Roman"/>
          <w:sz w:val="22"/>
        </w:rPr>
        <w:t xml:space="preserve">[8] F. Del Pup, E. Tentori, and M. Atzori, "Multimodal surface EMG hand gesture recognition using query-based transformers for prosthetic control," arXiv preprint arXiv:2607.22779, Jul. 2026. [Online]. Available: https://arxiv.org/abs/2607.22779</w:t>
      </w:r>
      <w:r/>
    </w:p>
    <w:p>
      <w:pPr>
        <w:pBdr/>
        <w:spacing w:after="80" w:line="276" w:lineRule="auto"/>
        <w:ind/>
        <w:rPr/>
      </w:pPr>
      <w:r>
        <w:rPr>
          <w:rFonts w:ascii="Times New Roman" w:hAnsi="Times New Roman"/>
          <w:sz w:val="22"/>
        </w:rPr>
        <w:t xml:space="preserve">[9] R. Geddam, M. Awais, V. Tiwari, and H. Ghayvat, "sEMGCareHCI: sEMG-based finger position prediction for amputee-centric human-computer interaction," npj Biomed. Innov., 2026, doi: 10.1038/s44385-026-00106-5.</w:t>
      </w:r>
      <w:r/>
    </w:p>
    <w:p>
      <w:pPr>
        <w:pBdr/>
        <w:spacing w:after="80" w:line="276" w:lineRule="auto"/>
        <w:ind/>
        <w:rPr/>
      </w:pPr>
      <w:r>
        <w:rPr>
          <w:rFonts w:ascii="Times New Roman" w:hAnsi="Times New Roman"/>
          <w:sz w:val="22"/>
        </w:rPr>
        <w:t xml:space="preserve">[10] World Health Organization, Global Report on Assistive Technology. Geneva: World Health Organization, 2022.</w:t>
      </w:r>
      <w:r/>
    </w:p>
    <w:sectPr>
      <w:footnotePr/>
      <w:endnotePr/>
      <w:type w:val="nextPage"/>
      <w:pgSz w:h="16838" w:orient="portrait" w:w="11906"/>
      <w:pgMar w:top="1440" w:right="1797" w:bottom="1440" w:left="179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line="360" w:lineRule="auto"/>
      <w:ind/>
    </w:pPr>
    <w:rPr>
      <w:rFonts w:ascii="Times New Roman" w:hAnsi="Times New Roman"/>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jc w:val="center"/>
      <w:outlineLvl w:val="0"/>
    </w:pPr>
    <w:rPr>
      <w:rFonts w:ascii="Times New Roman" w:hAnsi="Times New Roman" w:asciiTheme="majorHAnsi" w:hAnsiTheme="majorHAnsi" w:eastAsiaTheme="majorEastAsia" w:cstheme="majorBidi"/>
      <w:b/>
      <w:bCs/>
      <w:color w:val="000000"/>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sz w:val="24"/>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2026-10-05T20:50:44Z</dcterms:modified>
  <cp:category/>
</cp:coreProperties>
</file>