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81B60"/>
          <w:sz w:val="20"/>
          <w:szCs w:val="20"/>
        </w:rPr>
        <w:t xml:space="preserve">MODELO D1</w:t>
      </w:r>
      <w:r>
        <w:rPr>
          <w:b/>
          <w:bCs/>
          <w:color w:val="5F6673"/>
          <w:sz w:val="20"/>
          <w:szCs w:val="20"/>
        </w:rPr>
        <w:t xml:space="preserve">  ·  DIAS 1 e 2 · SPRINT PLANEJAR</w:t>
      </w:r>
    </w:p>
    <w:p>
      <w:pPr>
        <w:pStyle w:val="Title"/>
        <w:spacing w:after="60"/>
      </w:pPr>
      <w:r>
        <w:t xml:space="preserve">Plano de Teste de Recuperação</w:t>
      </w:r>
    </w:p>
    <w:p>
      <w:pPr>
        <w:spacing w:after="160"/>
      </w:pPr>
      <w:r>
        <w:rPr>
          <w:i/>
          <w:iCs/>
          <w:color w:val="5F6673"/>
        </w:rPr>
        <w:t xml:space="preserve">Reúne o ambiente montado, as metas, o desenho dos 3 incidentes e os runbooks de recuperação. É o programa de teste do NIST SP 800-84.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cantSplit/>
          <w:tblHeader/>
        </w:trPr>
        <w:tc>
          <w:tcPr>
            <w:tcW w:type="dxa" w:w="3213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D81B6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 usar</w:t>
            </w:r>
          </w:p>
        </w:tc>
        <w:tc>
          <w:tcPr>
            <w:tcW w:type="dxa" w:w="3213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D81B6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Vai para</w:t>
            </w:r>
          </w:p>
        </w:tc>
        <w:tc>
          <w:tcPr>
            <w:tcW w:type="dxa" w:w="321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D81B6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 preenche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D81B60"/>
                <w:sz w:val="19"/>
                <w:szCs w:val="19"/>
              </w:rPr>
              <w:t xml:space="preserve">Dia 1 (ambiente) e Dia 2 (incidentes e runbooks)</w:t>
            </w:r>
          </w:p>
        </w:tc>
        <w:tc>
          <w:tcPr>
            <w:tcW w:type="dxa" w:w="3213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Entrega 1 (D1) no AVA</w:t>
            </w:r>
          </w:p>
        </w:tc>
        <w:tc>
          <w:tcPr>
            <w:tcW w:type="dxa" w:w="321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 a equipe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1542"/>
        <w:gridCol w:w="3277"/>
      </w:tblGrid>
      <w:tr>
        <w:trPr>
          <w:cantSplit/>
          <w:trHeight w:val="420" w:hRule="atLeast"/>
        </w:trPr>
        <w:tc>
          <w:tcPr>
            <w:tcW w:type="dxa" w:w="154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Equipe</w:t>
            </w:r>
          </w:p>
        </w:tc>
        <w:tc>
          <w:tcPr>
            <w:tcW w:type="dxa" w:w="3277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Data</w:t>
            </w:r>
          </w:p>
        </w:tc>
        <w:tc>
          <w:tcPr>
            <w:tcW w:type="dxa" w:w="3277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/>
                <w:iCs/>
                <w:color w:val="5F6673"/>
                <w:sz w:val="19"/>
                <w:szCs w:val="19"/>
              </w:rPr>
              <w:t xml:space="preserve">___/___/______</w:t>
            </w:r>
          </w:p>
        </w:tc>
      </w:tr>
      <w:tr>
        <w:trPr>
          <w:cantSplit/>
          <w:trHeight w:val="420" w:hRule="atLeast"/>
        </w:trPr>
        <w:tc>
          <w:tcPr>
            <w:tcW w:type="dxa" w:w="154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Notebook hospedeiro</w:t>
            </w:r>
          </w:p>
        </w:tc>
        <w:tc>
          <w:tcPr>
            <w:tcW w:type="dxa" w:w="3277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Integrantes e papéis</w:t>
            </w:r>
          </w:p>
        </w:tc>
        <w:tc>
          <w:tcPr>
            <w:tcW w:type="dxa" w:w="3277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spacing w:after="140" w:before="280"/>
      </w:pPr>
      <w:r>
        <w:t xml:space="preserve">1. Sistema e metas (NIST 800-34 §3.5 · ISO 22317)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rHeight w:val="42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Sistema e criticidade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/>
                <w:iCs/>
                <w:color w:val="5F6673"/>
                <w:sz w:val="19"/>
                <w:szCs w:val="19"/>
              </w:rPr>
              <w:t xml:space="preserve">Loja Potengi — pedidos online — Tier 1</w:t>
            </w:r>
          </w:p>
        </w:tc>
      </w:tr>
      <w:tr>
        <w:trPr>
          <w:cantSplit/>
          <w:trHeight w:val="42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RTO acordado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/>
                <w:iCs/>
                <w:color w:val="5F6673"/>
                <w:sz w:val="19"/>
                <w:szCs w:val="19"/>
              </w:rPr>
              <w:t xml:space="preserve">30 min</w:t>
            </w:r>
          </w:p>
        </w:tc>
      </w:tr>
      <w:tr>
        <w:trPr>
          <w:cantSplit/>
          <w:trHeight w:val="42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RPO acordado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/>
                <w:iCs/>
                <w:color w:val="5F6673"/>
                <w:sz w:val="19"/>
                <w:szCs w:val="19"/>
              </w:rPr>
              <w:t xml:space="preserve">5 min</w:t>
            </w:r>
          </w:p>
        </w:tc>
      </w:tr>
      <w:tr>
        <w:trPr>
          <w:cantSplit/>
          <w:trHeight w:val="42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Critério de sucesso (nº e unidade)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Janela e rollback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spacing w:after="140" w:before="280"/>
      </w:pPr>
      <w:r>
        <w:t xml:space="preserve">2. Ambiente montado</w:t>
      </w:r>
    </w:p>
    <w:p>
      <w:pPr>
        <w:spacing w:after="120"/>
      </w:pPr>
      <w:r>
        <w:t xml:space="preserve">Descreva a arquitetura (dois sites + bancada), a stack usada e qualquer troca em relação à referência, com justificativa. Anexe o diagrama.</w:t>
      </w:r>
    </w:p>
    <w:p>
      <w:pPr>
        <w:pStyle w:val="Heading2"/>
        <w:keepNext/>
        <w:spacing w:after="100" w:before="220"/>
      </w:pPr>
      <w:r>
        <w:t xml:space="preserve">Aceite do ambiente (saída de ./lab.sh checar)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5500"/>
        <w:gridCol w:w="3588"/>
      </w:tblGrid>
      <w:tr>
        <w:trPr>
          <w:cantSplit/>
          <w:tblHeader/>
        </w:trPr>
        <w:tc>
          <w:tcPr>
            <w:tcW w:type="dxa" w:w="5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D81B6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D81B6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35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D81B6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 (arquivo)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D81B60"/>
                <w:sz w:val="19"/>
                <w:szCs w:val="19"/>
              </w:rPr>
              <w:t xml:space="preserve">☐</w:t>
            </w:r>
          </w:p>
        </w:tc>
        <w:tc>
          <w:tcPr>
            <w:tcW w:type="dxa" w:w="5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8 serviços em running (incluindo o backup)</w:t>
            </w:r>
          </w:p>
        </w:tc>
        <w:tc>
          <w:tcPr>
            <w:tcW w:type="dxa" w:w="35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D81B60"/>
                <w:sz w:val="19"/>
                <w:szCs w:val="19"/>
              </w:rPr>
              <w:t xml:space="preserve">☐</w:t>
            </w:r>
          </w:p>
        </w:tc>
        <w:tc>
          <w:tcPr>
            <w:tcW w:type="dxa" w:w="5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Replicação em streaming e réplica somente leitura</w:t>
            </w:r>
          </w:p>
        </w:tc>
        <w:tc>
          <w:tcPr>
            <w:tcW w:type="dxa" w:w="35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D81B60"/>
                <w:sz w:val="19"/>
                <w:szCs w:val="19"/>
              </w:rPr>
              <w:t xml:space="preserve">☐</w:t>
            </w:r>
          </w:p>
        </w:tc>
        <w:tc>
          <w:tcPr>
            <w:tcW w:type="dxa" w:w="5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Contagem de pedidos cresce no primário e na réplica</w:t>
            </w:r>
          </w:p>
        </w:tc>
        <w:tc>
          <w:tcPr>
            <w:tcW w:type="dxa" w:w="35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D81B60"/>
                <w:sz w:val="19"/>
                <w:szCs w:val="19"/>
              </w:rPr>
              <w:t xml:space="preserve">☐</w:t>
            </w:r>
          </w:p>
        </w:tc>
        <w:tc>
          <w:tcPr>
            <w:tcW w:type="dxa" w:w="5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Arquivamento de WAL sem falhas (failed_count = 0)</w:t>
            </w:r>
          </w:p>
        </w:tc>
        <w:tc>
          <w:tcPr>
            <w:tcW w:type="dxa" w:w="35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D81B60"/>
                <w:sz w:val="19"/>
                <w:szCs w:val="19"/>
              </w:rPr>
              <w:t xml:space="preserve">☐</w:t>
            </w:r>
          </w:p>
        </w:tc>
        <w:tc>
          <w:tcPr>
            <w:tcW w:type="dxa" w:w="5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Bucket com object lock e primeiro dump periódico presente</w:t>
            </w:r>
          </w:p>
        </w:tc>
        <w:tc>
          <w:tcPr>
            <w:tcW w:type="dxa" w:w="35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D81B60"/>
                <w:sz w:val="19"/>
                <w:szCs w:val="19"/>
              </w:rPr>
              <w:t xml:space="preserve">☐</w:t>
            </w:r>
          </w:p>
        </w:tc>
        <w:tc>
          <w:tcPr>
            <w:tcW w:type="dxa" w:w="5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 monitores verdes no Uptime Kuma</w:t>
            </w:r>
          </w:p>
        </w:tc>
        <w:tc>
          <w:tcPr>
            <w:tcW w:type="dxa" w:w="358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spacing w:after="140" w:before="280"/>
      </w:pPr>
      <w:r>
        <w:t xml:space="preserve">3. Desenho dos 3 incidentes (NIST 800-84 — exercício)</w:t>
      </w:r>
    </w:p>
    <w:p>
      <w:pPr>
        <w:spacing w:after="120"/>
      </w:pPr>
      <w:r>
        <w:t xml:space="preserve">Um incidente por família, de três famílias diferentes. Para cada um, a equipe escreve incidentes/&lt;n&gt;-provocar.sh e &lt;n&gt;-reverter.sh. A sequência de execução no Dia 3 é 1, 2, 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rHeight w:val="36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Incidente 1 — família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Como provocar (reversível)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Sintoma esperado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O que prova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Como reverter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O que se mede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/>
                <w:iCs/>
                <w:color w:val="5F6673"/>
                <w:sz w:val="19"/>
                <w:szCs w:val="19"/>
              </w:rPr>
              <w:t xml:space="preserve">RTO / RPO / MTTR / detecção</w:t>
            </w:r>
          </w:p>
        </w:tc>
      </w:tr>
      <w:tr>
        <w:trPr>
          <w:cantSplit/>
          <w:trHeight w:val="36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Critério de parada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/>
                <w:iCs/>
                <w:color w:val="5F6673"/>
                <w:sz w:val="19"/>
                <w:szCs w:val="19"/>
              </w:rPr>
              <w:t xml:space="preserve">45 min ou efeito fora do laboratório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rHeight w:val="36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Incidente 2 — família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Como provocar (reversível)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Sintoma esperado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O que prova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Como reverter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O que se mede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/>
                <w:iCs/>
                <w:color w:val="5F6673"/>
                <w:sz w:val="19"/>
                <w:szCs w:val="19"/>
              </w:rPr>
              <w:t xml:space="preserve">RTO / RPO / MTTR / detecção</w:t>
            </w:r>
          </w:p>
        </w:tc>
      </w:tr>
      <w:tr>
        <w:trPr>
          <w:cantSplit/>
          <w:trHeight w:val="36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Critério de parada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/>
                <w:iCs/>
                <w:color w:val="5F6673"/>
                <w:sz w:val="19"/>
                <w:szCs w:val="19"/>
              </w:rPr>
              <w:t xml:space="preserve">45 min ou efeito fora do laboratório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rHeight w:val="36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Incidente 3 — família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Como provocar (reversível)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Sintoma esperado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O que prova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Como reverter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O que se mede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/>
                <w:iCs/>
                <w:color w:val="5F6673"/>
                <w:sz w:val="19"/>
                <w:szCs w:val="19"/>
              </w:rPr>
              <w:t xml:space="preserve">RTO / RPO / MTTR / detecção</w:t>
            </w:r>
          </w:p>
        </w:tc>
      </w:tr>
      <w:tr>
        <w:trPr>
          <w:cantSplit/>
          <w:trHeight w:val="360" w:hRule="atLeast"/>
        </w:trPr>
        <w:tc>
          <w:tcPr>
            <w:tcW w:type="dxa" w:w="3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BE7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Critério de parada</w:t>
            </w:r>
          </w:p>
        </w:tc>
        <w:tc>
          <w:tcPr>
            <w:tcW w:type="dxa" w:w="6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/>
                <w:iCs/>
                <w:color w:val="5F6673"/>
                <w:sz w:val="19"/>
                <w:szCs w:val="19"/>
              </w:rPr>
              <w:t xml:space="preserve">45 min ou efeito fora do laboratório</w:t>
            </w:r>
          </w:p>
        </w:tc>
      </w:tr>
    </w:tbl>
    <w:p>
      <w:pPr>
        <w:pStyle w:val="Heading1"/>
        <w:keepNext/>
        <w:spacing w:after="140" w:before="280"/>
      </w:pPr>
      <w:r>
        <w:t xml:space="preserve">4. Runbooks de recuperação</w:t>
      </w:r>
    </w:p>
    <w:p>
      <w:pPr>
        <w:spacing w:after="120"/>
      </w:pPr>
      <w:r>
        <w:t xml:space="preserve">Um runbook por incidente, no formato do modelo R (8 campos), versionado no repositório em runbooks/. Liste aqui os arquivos e a versão.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238"/>
      </w:tblGrid>
      <w:tr>
        <w:trPr>
          <w:cantSplit/>
          <w:tblHeader/>
        </w:trPr>
        <w:tc>
          <w:tcPr>
            <w:tcW w:type="dxa" w:w="1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D81B6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Incidente</w:t>
            </w:r>
          </w:p>
        </w:tc>
        <w:tc>
          <w:tcPr>
            <w:tcW w:type="dxa" w:w="4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D81B6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Runbook (arquivo)</w:t>
            </w:r>
          </w:p>
        </w:tc>
        <w:tc>
          <w:tcPr>
            <w:tcW w:type="dxa" w:w="4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D81B6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D81B60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runbooks/__________.md</w:t>
            </w:r>
          </w:p>
        </w:tc>
        <w:tc>
          <w:tcPr>
            <w:tcW w:type="dxa" w:w="4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D81B60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runbooks/__________.md</w:t>
            </w:r>
          </w:p>
        </w:tc>
        <w:tc>
          <w:tcPr>
            <w:tcW w:type="dxa" w:w="4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D81B60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runbooks/__________.md</w:t>
            </w:r>
          </w:p>
        </w:tc>
        <w:tc>
          <w:tcPr>
            <w:tcW w:type="dxa" w:w="42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Autoverificação antes de submeter</w:t>
      </w:r>
    </w:p>
    <w:p>
      <w:pPr>
        <w:spacing w:after="60"/>
        <w:ind w:left="280" w:hanging="280"/>
      </w:pPr>
      <w:r>
        <w:rPr>
          <w:color w:val="1E2A5A"/>
        </w:rPr>
        <w:t xml:space="preserve">☐  </w:t>
      </w:r>
      <w:r>
        <w:t xml:space="preserve">Ambiente aceito, com a saída do checar anexada</w:t>
      </w:r>
    </w:p>
    <w:p>
      <w:pPr>
        <w:spacing w:after="60"/>
        <w:ind w:left="280" w:hanging="280"/>
      </w:pPr>
      <w:r>
        <w:rPr>
          <w:color w:val="1E2A5A"/>
        </w:rPr>
        <w:t xml:space="preserve">☐  </w:t>
      </w:r>
      <w:r>
        <w:t xml:space="preserve">Três incidentes de três famílias, com provocar e reverter escritos e testados</w:t>
      </w:r>
    </w:p>
    <w:p>
      <w:pPr>
        <w:spacing w:after="60"/>
        <w:ind w:left="280" w:hanging="280"/>
      </w:pPr>
      <w:r>
        <w:rPr>
          <w:color w:val="1E2A5A"/>
        </w:rPr>
        <w:t xml:space="preserve">☐  </w:t>
      </w:r>
      <w:r>
        <w:t xml:space="preserve">Um runbook por incidente, com rollback testado</w:t>
      </w:r>
    </w:p>
    <w:p>
      <w:pPr>
        <w:spacing w:after="60"/>
        <w:ind w:left="280" w:hanging="280"/>
      </w:pPr>
      <w:r>
        <w:rPr>
          <w:color w:val="1E2A5A"/>
        </w:rPr>
        <w:t xml:space="preserve">☐  </w:t>
      </w:r>
      <w:r>
        <w:t xml:space="preserve">Metas, critério de sucesso e critério de parada preenchidos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cantSplit/>
          <w:tblHeader/>
        </w:trPr>
        <w:tc>
          <w:tcPr>
            <w:tcW w:type="dxa" w:w="321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E2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Coordenação</w:t>
            </w:r>
          </w:p>
        </w:tc>
        <w:tc>
          <w:tcPr>
            <w:tcW w:type="dxa" w:w="321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E2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Responsável técnico</w:t>
            </w:r>
          </w:p>
        </w:tc>
        <w:tc>
          <w:tcPr>
            <w:tcW w:type="dxa" w:w="3214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1E2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Demais integrantes</w:t>
            </w:r>
          </w:p>
        </w:tc>
      </w:tr>
      <w:tr>
        <w:trPr>
          <w:cantSplit/>
          <w:trHeight w:val="650" w:hRule="atLeast"/>
        </w:trPr>
        <w:tc>
          <w:tcPr>
            <w:tcW w:type="dxa" w:w="321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E2A5A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F6673"/>
        <w:sz w:val="16"/>
        <w:szCs w:val="16"/>
      </w:rPr>
      <w:t xml:space="preserve">D1 · Plano de Teste de Recuperação</w:t>
    </w:r>
    <w:r>
      <w:rPr>
        <w:color w:val="5F6673"/>
        <w:sz w:val="16"/>
        <w:szCs w:val="16"/>
      </w:rPr>
      <w:ptab w:alignment="right" w:relativeTo="margin" w:leader="none"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673"/>
        <w:sz w:val="16"/>
        <w:szCs w:val="16"/>
      </w:rPr>
      <w:t xml:space="preserve">Módulo 9.1 · Testes de Recuperação · Projeto DR ponta a ponta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mbria" w:cs="Cambria" w:eastAsia="Cambria" w:hAnsi="Cambria"/>
      <w:b/>
      <w:bCs/>
      <w:color w:val="1E2A5A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cs="Cambria" w:eastAsia="Cambria" w:hAnsi="Cambria"/>
      <w:b/>
      <w:bCs/>
      <w:color w:val="1E2A5A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mbria" w:cs="Cambria" w:eastAsia="Cambria" w:hAnsi="Cambria"/>
      <w:b/>
      <w:bCs/>
      <w:color w:val="1E2A5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E2A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D1 · Plano de Teste de Recuperação</dc:title>
  <dc:creator>Módulo 9.1 — Testes de Recuperação</dc:creator>
  <cp:lastModifiedBy>Un-named</cp:lastModifiedBy>
  <cp:revision>1</cp:revision>
  <dcterms:created xsi:type="dcterms:W3CDTF">2026-10-17T22:25:24.981Z</dcterms:created>
  <dcterms:modified xsi:type="dcterms:W3CDTF">2026-10-17T22:25:24.981Z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