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7B3FE4"/>
          <w:sz w:val="20"/>
          <w:szCs w:val="20"/>
        </w:rPr>
        <w:t xml:space="preserve">MODELO D3</w:t>
      </w:r>
      <w:r>
        <w:rPr>
          <w:b/>
          <w:bCs/>
          <w:color w:val="5F6673"/>
          <w:sz w:val="20"/>
          <w:szCs w:val="20"/>
        </w:rPr>
        <w:t xml:space="preserve">  ·  DIAS 4 e 5 · SPRINT MELHORAR</w:t>
      </w:r>
    </w:p>
    <w:p>
      <w:pPr>
        <w:pStyle w:val="Title"/>
        <w:spacing w:after="60"/>
      </w:pPr>
      <w:r>
        <w:t xml:space="preserve">Relatório Final e Plano de Melhoria</w:t>
      </w:r>
    </w:p>
    <w:p>
      <w:pPr>
        <w:spacing w:after="160"/>
      </w:pPr>
      <w:r>
        <w:rPr>
          <w:i/>
          <w:iCs/>
          <w:color w:val="5F6673"/>
        </w:rPr>
        <w:t xml:space="preserve">Responde à pergunta motriz com evidências e transforma os achados em um plano de ação. É o relatório pós-exercício e o plano de melhoria do NIST SP 800-84.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rPr>
          <w:cantSplit/>
          <w:tblHeader/>
        </w:trPr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Quando usar</w:t>
            </w:r>
          </w:p>
        </w:tc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Vai para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Quem preenche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Dia 4 (produção) e Dia 5 (reteste e banca)</w:t>
            </w:r>
          </w:p>
        </w:tc>
        <w:tc>
          <w:tcPr>
            <w:tcW w:type="dxa" w:w="3213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Entrega 3 (D3) no AVA</w:t>
            </w:r>
          </w:p>
        </w:tc>
        <w:tc>
          <w:tcPr>
            <w:tcW w:type="dxa" w:w="321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 a equipe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1542"/>
        <w:gridCol w:w="3277"/>
      </w:tblGrid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0E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Equipe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0E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Data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/>
                <w:iCs/>
                <w:color w:val="5F6673"/>
                <w:sz w:val="19"/>
                <w:szCs w:val="19"/>
              </w:rPr>
              <w:t xml:space="preserve">___/___/______</w:t>
            </w:r>
          </w:p>
        </w:tc>
      </w:tr>
      <w:tr>
        <w:trPr>
          <w:cantSplit/>
          <w:trHeight w:val="420" w:hRule="atLeast"/>
        </w:trPr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0E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>Repositório</w:t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  <w:tc>
          <w:tcPr>
            <w:tcW w:type="dxa" w:w="1542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F0E9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1F2937"/>
                <w:sz w:val="19"/>
                <w:szCs w:val="19"/>
              </w:rPr>
              <w:t xml:space="preserve"/>
            </w:r>
          </w:p>
        </w:tc>
        <w:tc>
          <w:tcPr>
            <w:tcW w:type="dxa" w:w="3277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i w:val="false"/>
                <w:iCs w:val="false"/>
                <w:color w:val="5F6673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40" w:before="280"/>
      </w:pPr>
      <w:r>
        <w:t xml:space="preserve">1. Sumário executivo</w:t>
      </w:r>
    </w:p>
    <w:p>
      <w:pPr>
        <w:spacing w:after="100"/>
      </w:pPr>
      <w:r>
        <w:rPr>
          <w:i/>
          <w:iCs/>
          <w:color w:val="5F6673"/>
          <w:sz w:val="19"/>
          <w:szCs w:val="19"/>
        </w:rPr>
        <w:t xml:space="preserve">Uma frase que responde à pergunta motriz, com os números medidos.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  <w:trHeight w:val="850" w:hRule="atLeast"/>
        </w:trPr>
        <w:tc>
          <w:tcPr>
            <w:tcW w:type="dxa" w:w="9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40" w:before="280"/>
      </w:pPr>
      <w:r>
        <w:t xml:space="preserve">2. Resultados consolidados (acordado × medido)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838"/>
      </w:tblGrid>
      <w:tr>
        <w:trPr>
          <w:cantSplit/>
          <w:tblHeader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Incidente / métrica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Acordado</w:t>
            </w:r>
          </w:p>
        </w:tc>
        <w:tc>
          <w:tcPr>
            <w:tcW w:type="dxa" w:w="2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Medido</w:t>
            </w:r>
          </w:p>
        </w:tc>
        <w:tc>
          <w:tcPr>
            <w:tcW w:type="dxa" w:w="28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Diferença e explicação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Incidente 1 · RTO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min</w:t>
            </w:r>
          </w:p>
        </w:tc>
        <w:tc>
          <w:tcPr>
            <w:tcW w:type="dxa" w:w="2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Incidente 2 · RPO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min</w:t>
            </w:r>
          </w:p>
        </w:tc>
        <w:tc>
          <w:tcPr>
            <w:tcW w:type="dxa" w:w="2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Incidente 3 · MTTR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8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>Um resultado pior que o acordado não reprova, desde que medido, explicado e com ação proposta. O que reprova é número sem evidência.</w:t>
      </w:r>
    </w:p>
    <w:p>
      <w:pPr>
        <w:pStyle w:val="Heading1"/>
        <w:keepNext/>
        <w:spacing w:after="140" w:before="280"/>
      </w:pPr>
      <w:r>
        <w:t xml:space="preserve">3. Registro de gaps e priorização (ISO 22301 cl. 9 e 10)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00"/>
        <w:gridCol w:w="2400"/>
        <w:gridCol w:w="1000"/>
        <w:gridCol w:w="2338"/>
      </w:tblGrid>
      <w:tr>
        <w:trPr>
          <w:cantSplit/>
          <w:tblHeader/>
        </w:trPr>
        <w:tc>
          <w:tcPr>
            <w:tcW w:type="dxa" w:w="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Gap (fato, sem culpado)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corretiva</w:t>
            </w:r>
          </w:p>
        </w:tc>
        <w:tc>
          <w:tcPr>
            <w:tcW w:type="dxa" w:w="1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Risco×Esf.</w:t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Dono e prazo</w:t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1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1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1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1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7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1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23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Matriz risco × esforço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69"/>
        <w:gridCol w:w="4069"/>
      </w:tblGrid>
      <w:tr>
        <w:trPr>
          <w:cantSplit/>
          <w:tblHeader/>
        </w:trPr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6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Esforço baixo</w:t>
            </w:r>
          </w:p>
        </w:tc>
        <w:tc>
          <w:tcPr>
            <w:tcW w:type="dxa" w:w="406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Esforço alto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Risco alto</w:t>
            </w:r>
          </w:p>
        </w:tc>
        <w:tc>
          <w:tcPr>
            <w:tcW w:type="dxa" w:w="406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Fazer agora (30 dias) — IDs:</w:t>
            </w:r>
          </w:p>
        </w:tc>
        <w:tc>
          <w:tcPr>
            <w:tcW w:type="dxa" w:w="406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Planejar (90–180 dias) — IDs:</w:t>
            </w:r>
          </w:p>
        </w:tc>
      </w:tr>
      <w:tr>
        <w:trPr>
          <w:cantSplit/>
          <w:trHeight w:val="700" w:hRule="atLeast"/>
        </w:trPr>
        <w:tc>
          <w:tcPr>
            <w:tcW w:type="dxa" w:w="15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Risco baixo</w:t>
            </w:r>
          </w:p>
        </w:tc>
        <w:tc>
          <w:tcPr>
            <w:tcW w:type="dxa" w:w="406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Encaixar (90 dias) — IDs:</w:t>
            </w:r>
          </w:p>
        </w:tc>
        <w:tc>
          <w:tcPr>
            <w:tcW w:type="dxa" w:w="4069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Aceitar (assinado, 12 meses) — IDs:</w:t>
            </w:r>
          </w:p>
        </w:tc>
      </w:tr>
    </w:tbl>
    <w:p>
      <w:pPr>
        <w:pStyle w:val="Heading1"/>
        <w:keepNext/>
        <w:spacing w:after="140" w:before="280"/>
      </w:pPr>
      <w:r>
        <w:t xml:space="preserve">4. Reteste (Dia 5): antes × depois</w:t>
      </w:r>
    </w:p>
    <w:p>
      <w:pPr>
        <w:spacing w:after="120"/>
      </w:pPr>
      <w:r>
        <w:t xml:space="preserve">Reexecute o incidente de pior resultado após aplicar as ações “fazer agora” e compare.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2400"/>
        <w:gridCol w:w="1638"/>
      </w:tblGrid>
      <w:tr>
        <w:trPr>
          <w:cantSplit/>
          <w:tblHeader/>
        </w:trPr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Dia 3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Reteste</w:t>
            </w:r>
          </w:p>
        </w:tc>
        <w:tc>
          <w:tcPr>
            <w:tcW w:type="dxa" w:w="1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Ação que explica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RTO/RPO/MTTR</w:t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keepNext/>
        <w:spacing w:after="140" w:before="280"/>
      </w:pPr>
      <w:r>
        <w:t xml:space="preserve">5. Rastreabilidade normativa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438"/>
      </w:tblGrid>
      <w:tr>
        <w:trPr>
          <w:cantSplit/>
          <w:tblHeader/>
        </w:trPr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Evidência no pacote</w:t>
            </w:r>
          </w:p>
        </w:tc>
        <w:tc>
          <w:tcPr>
            <w:tcW w:type="dxa" w:w="2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ISO 22301 cl. 8.5 — programa de teste</w:t>
            </w:r>
          </w:p>
        </w:tc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D1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NIST SP 800-84 — exercício e relatório</w:t>
            </w:r>
          </w:p>
        </w:tc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D1, D2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ISO/IEC 27002 c. 8.13 — backup testado</w:t>
            </w:r>
          </w:p>
        </w:tc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D2 (incidente de dados)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NIST SP 800-61 / ISO 27035 — resposta</w:t>
            </w:r>
          </w:p>
        </w:tc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D2</w:t>
            </w:r>
          </w:p>
        </w:tc>
      </w:tr>
      <w:tr>
        <w:trPr>
          <w:cantSplit/>
        </w:trPr>
        <w:tc>
          <w:tcPr>
            <w:tcW w:type="dxa" w:w="42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7B3FE4"/>
                <w:sz w:val="19"/>
                <w:szCs w:val="19"/>
              </w:rPr>
              <w:t xml:space="preserve">ISO 22301 cl. 9 e 10 — melhoria</w:t>
            </w:r>
          </w:p>
        </w:tc>
        <w:tc>
          <w:tcPr>
            <w:tcW w:type="dxa" w:w="30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4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D3</w:t>
            </w:r>
          </w:p>
        </w:tc>
      </w:tr>
    </w:tbl>
    <w:p>
      <w:pPr>
        <w:pStyle w:val="Heading1"/>
        <w:keepNext/>
        <w:spacing w:after="140" w:before="280"/>
      </w:pPr>
      <w:r>
        <w:t xml:space="preserve">6. Lições aprendidas (individual)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Integrante</w:t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shd w:fill="7B3FE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aprendi e o que faria diferente</w:t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  <w:tr>
        <w:trPr>
          <w:cantSplit/>
          <w:trHeight w:val="800" w:hRule="atLeast"/>
        </w:trPr>
        <w:tc>
          <w:tcPr>
            <w:tcW w:type="dxa" w:w="2600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  <w:tc>
          <w:tcPr>
            <w:tcW w:type="dxa" w:w="7038"/>
            <w:tcBorders>
              <w:top w:val="single" w:color="C9CCD6" w:sz="4"/>
              <w:left w:val="single" w:color="C9CCD6" w:sz="4"/>
              <w:bottom w:val="single" w:color="C9CCD6" w:sz="4"/>
              <w:right w:val="single" w:color="C9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pStyle w:val="Heading2"/>
        <w:keepNext/>
        <w:spacing w:after="100" w:before="220"/>
      </w:pPr>
      <w:r>
        <w:t xml:space="preserve">Autoverificação antes de submeter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Sumário responde à pergunta motriz com números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Todos os gaps com dono, prazo e posição na matriz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Reteste com antes × depois</w:t>
      </w:r>
    </w:p>
    <w:p>
      <w:pPr>
        <w:spacing w:after="60"/>
        <w:ind w:left="280" w:hanging="280"/>
      </w:pPr>
      <w:r>
        <w:rPr>
          <w:color w:val="1E2A5A"/>
        </w:rPr>
        <w:t xml:space="preserve">☐  </w:t>
      </w:r>
      <w:r>
        <w:t xml:space="preserve">Rastreabilidade normativa preenchida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5F6673"/>
        <w:sz w:val="16"/>
        <w:szCs w:val="16"/>
      </w:rPr>
      <w:t xml:space="preserve">D3 · Relatório Final e Plano de Melhoria</w:t>
    </w:r>
    <w:r>
      <w:rPr>
        <w:color w:val="5F6673"/>
        <w:sz w:val="16"/>
        <w:szCs w:val="16"/>
      </w:rPr>
      <w:ptab w:alignment="right" w:relativeTo="margin" w:leader="none"/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673"/>
        <w:sz w:val="16"/>
        <w:szCs w:val="16"/>
      </w:rPr>
      <w:t xml:space="preserve">Módulo 9.1 · Testes de Recuperação · Projeto DR ponta a ponta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mbria" w:cs="Cambria" w:eastAsia="Cambria" w:hAnsi="Cambria"/>
      <w:b/>
      <w:bCs/>
      <w:color w:val="1E2A5A"/>
      <w:sz w:val="40"/>
      <w:szCs w:val="4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mbria" w:cs="Cambria" w:eastAsia="Cambria" w:hAnsi="Cambria"/>
      <w:b/>
      <w:bCs/>
      <w:color w:val="1E2A5A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mbria" w:cs="Cambria" w:eastAsia="Cambria" w:hAnsi="Cambria"/>
      <w:b/>
      <w:bCs/>
      <w:color w:val="1E2A5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1E2A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 · Relatório Final e Plano de Melhoria</dc:title>
  <dc:creator>Módulo 9.1 — Testes de Recuperação</dc:creator>
  <cp:lastModifiedBy>Un-named</cp:lastModifiedBy>
  <cp:revision>1</cp:revision>
  <dcterms:created xsi:type="dcterms:W3CDTF">2026-10-17T22:25:25.066Z</dcterms:created>
  <dcterms:modified xsi:type="dcterms:W3CDTF">2026-10-17T22:25:25.066Z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