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82741"/>
          <w:sz w:val="64"/>
        </w:rPr>
        <w:t>MI VIDA,</w:t>
        <w:br/>
        <w:t>MI FEED</w:t>
      </w:r>
    </w:p>
    <w:p>
      <w:pPr>
        <w:jc w:val="center"/>
      </w:pPr>
      <w:r>
        <w:rPr>
          <w:rFonts w:ascii="Aptos" w:hAnsi="Aptos"/>
          <w:color w:val="1E8987"/>
          <w:sz w:val="34"/>
        </w:rPr>
        <w:t>Construyendo el futuro más allá de la pantalla</w:t>
      </w:r>
    </w:p>
    <w:p>
      <w:pPr>
        <w:spacing w:before="560"/>
        <w:jc w:val="center"/>
      </w:pPr>
      <w:r>
        <w:rPr>
          <w:b/>
          <w:sz w:val="24"/>
        </w:rPr>
        <w:t>Propuesta de intervención psicopedagógica digital</w:t>
      </w:r>
    </w:p>
    <w:p>
      <w:pPr>
        <w:spacing w:before="1500"/>
        <w:jc w:val="center"/>
      </w:pPr>
      <w:r>
        <w:rPr>
          <w:sz w:val="22"/>
        </w:rPr>
        <w:t>Población: estudiantes de grados 8.º, 9.º, 10.º y 11.º</w:t>
        <w:br/>
      </w:r>
      <w:r>
        <w:rPr>
          <w:sz w:val="22"/>
        </w:rPr>
        <w:t>Institución Etnoeducativa Francisco José de Caldas</w:t>
        <w:br/>
        <w:t>Buenaventura, Valle del Cauca</w:t>
      </w:r>
    </w:p>
    <w:p>
      <w:r>
        <w:br w:type="page"/>
      </w:r>
    </w:p>
    <w:p>
      <w:pPr>
        <w:pStyle w:val="Heading1"/>
      </w:pPr>
      <w:r>
        <w:t>1. Nombre de la propuesta</w:t>
      </w:r>
    </w:p>
    <w:p>
      <w:r>
        <w:t>Mi vida, mi feed: construyendo el futuro más allá de la pantalla.</w:t>
      </w:r>
    </w:p>
    <w:p>
      <w:pPr>
        <w:pStyle w:val="Heading1"/>
      </w:pPr>
      <w:r>
        <w:t>2. Presentación</w:t>
      </w:r>
    </w:p>
    <w:p>
      <w:r>
        <w:t>Mi vida, mi feed es una propuesta de intervención psicopedagógica mediada por una herramienta digital interactiva, dirigida a estudiantes de los grados 8.º, 9.º, 10.º y 11.º de la Institución Etnoeducativa Francisco José de Caldas, en Buenaventura. Busca abrir espacios de exploración, reflexión y diálogo sobre los modelos de éxito y realización personal que circulan en los entornos digitales, y sobre la manera en que estos mensajes se relacionan con las ideas que los adolescentes construyen acerca del estudio, las oportunidades y su futuro.</w:t>
      </w:r>
    </w:p>
    <w:p>
      <w:r>
        <w:t>La propuesta no pretende señalar las redes sociales ni descalificar a quienes crean contenido. Su propósito es fortalecer la capacidad de los estudiantes para interpretar críticamente los mensajes digitales, reconocer qué muestran y qué dejan por fuera, contrastar afirmaciones y ampliar sus posibilidades para tomar decisiones informadas.</w:t>
      </w:r>
    </w:p>
    <w:p>
      <w:pPr>
        <w:pStyle w:val="Heading1"/>
      </w:pPr>
      <w:r>
        <w:t>3. Problemática que orienta la intervención</w:t>
      </w:r>
    </w:p>
    <w:p>
      <w:pPr>
        <w:ind w:left="432" w:right="432"/>
      </w:pPr>
      <w:r>
        <w:rPr>
          <w:b/>
          <w:color w:val="182741"/>
        </w:rPr>
        <w:t>¿De qué manera la exposición de adolescentes escolarizados a modelos de éxito y realización personal difundidos en entornos digitales se relaciona con la construcción de su proyecto de vida y con el sentido que atribuyen al estudio?</w:t>
      </w:r>
    </w:p>
    <w:p>
      <w:r>
        <w:t>La propuesta parte de reconocer que los entornos digitales presentan múltiples referentes de éxito. En algunos contenidos se privilegian el dinero, la fama, el consumo, el reconocimiento o los resultados rápidos, mientras que pueden quedar menos visibles los procesos de formación, el esfuerzo sostenido, las condiciones de partida, las dificultades y las redes de apoyo. La intervención no asume que exista una relación causal automática entre estos mensajes y las decisiones de los adolescentes; plantea generar experiencias pedagógicas para comprender cómo los interpretan y qué significados les atribuyen.</w:t>
      </w:r>
    </w:p>
    <w:p>
      <w:pPr>
        <w:pStyle w:val="Heading1"/>
      </w:pPr>
      <w:r>
        <w:t>4. Población y contexto</w:t>
      </w:r>
    </w:p>
    <w:p>
      <w:r>
        <w:t>La propuesta está dirigida a estudiantes de los grados 8.º, 9.º, 10.º y 11.º, aproximadamente entre los 13 y los 18 años, de la Institución Etnoeducativa Francisco José de Caldas, ubicada en Buenaventura, Valle del Cauca. Se propone su desarrollo desde Orientación Escolar, articulado con docentes y otros actores institucionales según las condiciones y necesidades identificadas.</w:t>
      </w:r>
    </w:p>
    <w:p>
      <w:pPr>
        <w:pStyle w:val="Heading1"/>
      </w:pPr>
      <w:r>
        <w:t>5. Objetivo general</w:t>
      </w:r>
    </w:p>
    <w:p>
      <w:r>
        <w:t>Fortalecer en los estudiantes de grados 8.º a 11.º las habilidades de lectura crítica de contenidos digitales y la reflexión sobre los modelos de éxito, el sentido del estudio y las posibilidades de construcción de su futuro, mediante una herramienta interactiva de orientación escolar con actividades individuales y grupales.</w:t>
      </w:r>
    </w:p>
    <w:p>
      <w:pPr>
        <w:pStyle w:val="Heading1"/>
      </w:pPr>
      <w:r>
        <w:t>6. Objetivos específicos</w:t>
      </w:r>
    </w:p>
    <w:p>
      <w:pPr>
        <w:pStyle w:val="ListBullet"/>
      </w:pPr>
      <w:r>
        <w:t>Identificar y analizar los mensajes y modelos de éxito que circulan en los entornos digitales.</w:t>
      </w:r>
    </w:p>
    <w:p>
      <w:pPr>
        <w:pStyle w:val="ListBullet"/>
      </w:pPr>
      <w:r>
        <w:t>Distinguir hechos, opiniones, publicidad y afirmaciones que requieren verificación.</w:t>
      </w:r>
    </w:p>
    <w:p>
      <w:pPr>
        <w:pStyle w:val="ListBullet"/>
      </w:pPr>
      <w:r>
        <w:t>Promover el diálogo argumentado sobre las relaciones entre educación, trabajo, bienestar, reconocimiento y realización personal.</w:t>
      </w:r>
    </w:p>
    <w:p>
      <w:pPr>
        <w:pStyle w:val="ListBullet"/>
      </w:pPr>
      <w:r>
        <w:t>Explorar distintas rutas de formación, ocupación y desarrollo personal, reconociendo competencias, recursos y oportunidades.</w:t>
      </w:r>
    </w:p>
    <w:p>
      <w:pPr>
        <w:pStyle w:val="ListBullet"/>
      </w:pPr>
      <w:r>
        <w:t>Propiciar la expresión creativa de mensajes digitales que representen el éxito de forma más amplia, crítica y consciente.</w:t>
      </w:r>
    </w:p>
    <w:p>
      <w:pPr>
        <w:pStyle w:val="ListBullet"/>
      </w:pPr>
      <w:r>
        <w:t>Observar los aprendizajes y cambios en las interpretaciones de los estudiantes mediante evidencias de proceso, sin establecer conclusiones causales no demostradas.</w:t>
      </w:r>
    </w:p>
    <w:p>
      <w:pPr>
        <w:pStyle w:val="Heading1"/>
      </w:pPr>
      <w:r>
        <w:t>7. Enfoque y principios de la propuesta</w:t>
      </w:r>
    </w:p>
    <w:p>
      <w:pPr>
        <w:pStyle w:val="ListBullet"/>
      </w:pPr>
      <w:r>
        <w:rPr>
          <w:b/>
        </w:rPr>
        <w:t xml:space="preserve">Lectura crítica digital: </w:t>
      </w:r>
      <w:r>
        <w:t>Analizar los contenidos, sus afirmaciones, recursos persuasivos y aspectos visibles u omitidos.</w:t>
      </w:r>
    </w:p>
    <w:p>
      <w:pPr>
        <w:pStyle w:val="ListBullet"/>
      </w:pPr>
      <w:r>
        <w:rPr>
          <w:b/>
        </w:rPr>
        <w:t xml:space="preserve">Diálogo y reflexión: </w:t>
      </w:r>
      <w:r>
        <w:t>Contrastar puntos de vista con preguntas abiertas, argumentos y escucha respetuosa.</w:t>
      </w:r>
    </w:p>
    <w:p>
      <w:pPr>
        <w:pStyle w:val="ListBullet"/>
      </w:pPr>
      <w:r>
        <w:rPr>
          <w:b/>
        </w:rPr>
        <w:t xml:space="preserve">Exploración de posibilidades: </w:t>
      </w:r>
      <w:r>
        <w:t>Ampliar las ideas sobre estudio, formación, trabajo, bienestar y realización personal sin imponer una única ruta.</w:t>
      </w:r>
    </w:p>
    <w:p>
      <w:pPr>
        <w:pStyle w:val="ListBullet"/>
      </w:pPr>
      <w:r>
        <w:rPr>
          <w:b/>
        </w:rPr>
        <w:t xml:space="preserve">Acompañamiento psicopedagógico: </w:t>
      </w:r>
      <w:r>
        <w:t>Desarrollar las actividades con mediación de Orientación Escolar y articulación institucional.</w:t>
      </w:r>
    </w:p>
    <w:p>
      <w:pPr>
        <w:pStyle w:val="ListBullet"/>
      </w:pPr>
      <w:r>
        <w:rPr>
          <w:b/>
        </w:rPr>
        <w:t xml:space="preserve">Participación segura: </w:t>
      </w:r>
      <w:r>
        <w:t>No exigir publicaciones públicas, contraseñas, capturas de perfiles personales ni revelaciones íntimas para completar las actividades.</w:t>
      </w:r>
    </w:p>
    <w:p>
      <w:pPr>
        <w:pStyle w:val="ListBullet"/>
      </w:pPr>
      <w:r>
        <w:rPr>
          <w:b/>
        </w:rPr>
        <w:t xml:space="preserve">Reconocimiento del aprendizaje: </w:t>
      </w:r>
      <w:r>
        <w:t>Entregar insignias por competencias y evidencias de reflexión, no por popularidad, rapidez o competencia entre estudiantes.</w:t>
      </w:r>
    </w:p>
    <w:p>
      <w:pPr>
        <w:pStyle w:val="Heading1"/>
      </w:pPr>
      <w:r>
        <w:t>8. Descripción de la herramienta interactiva</w:t>
      </w:r>
    </w:p>
    <w:p>
      <w:r>
        <w:t>La herramienta se concibe como un recorrido por estaciones temáticas con retos, preguntas de reflexión, actividades individuales y grupales y pequeñas evidencias de aprendizaje. No se plantea como un videojuego completo, sino como un recurso digital interactivo que puede prototiparse en una plataforma como Genially u otra herramienta disponible en la institución. La elección tecnológica final dependerá del acceso a dispositivos, conectividad, facilidad de uso y posibilidades reales de proteger la información del estudiantado.</w:t>
      </w:r>
    </w:p>
    <w:p>
      <w:r>
        <w:t>Las insignias pueden funcionar como reconocimientos simbólicos asociados a competencias específicas. El registro de progreso, la entrega automática de insignias o el almacenamiento de respuestas solo deberán prometerse cuando la plataforma elegida permita implementarlos y se hayan probado técnicamente.</w:t>
      </w:r>
    </w:p>
    <w:p>
      <w:pPr>
        <w:pStyle w:val="Heading1"/>
      </w:pPr>
      <w:r>
        <w:t>9. Recorrido por las seis estaciones</w:t>
      </w:r>
    </w:p>
    <w:p>
      <w:pPr>
        <w:pStyle w:val="Heading2"/>
      </w:pPr>
      <w:r>
        <w:t>Estación 1. Así se ve el éxito</w:t>
      </w:r>
    </w:p>
    <w:p>
      <w:pPr>
        <w:ind w:left="259"/>
      </w:pPr>
      <w:r>
        <w:rPr>
          <w:b/>
        </w:rPr>
        <w:t xml:space="preserve">Propósito. </w:t>
      </w:r>
      <w:r>
        <w:t>reconocer los modelos de éxito y realización personal que aparecen en contenidos digitales.</w:t>
      </w:r>
    </w:p>
    <w:p>
      <w:pPr>
        <w:ind w:left="259"/>
      </w:pPr>
      <w:r>
        <w:rPr>
          <w:b/>
        </w:rPr>
        <w:t xml:space="preserve">Actividad posible. </w:t>
      </w:r>
      <w:r>
        <w:t>observar ejemplos ficticios o previamente seleccionados y clasificar qué ideas de éxito transmiten: dinero, fama, consumo, aprendizaje, contribución, autonomía, bienestar u otras.</w:t>
      </w:r>
    </w:p>
    <w:p>
      <w:pPr>
        <w:ind w:left="259"/>
      </w:pPr>
      <w:r>
        <w:rPr>
          <w:b/>
        </w:rPr>
        <w:t xml:space="preserve">Evidencia de aprendizaje. </w:t>
      </w:r>
      <w:r>
        <w:t>mapa de ideas o registro breve de los mensajes identificados.</w:t>
      </w:r>
    </w:p>
    <w:p>
      <w:pPr>
        <w:ind w:left="259"/>
      </w:pPr>
      <w:r>
        <w:rPr>
          <w:b/>
        </w:rPr>
        <w:t xml:space="preserve">Insignia sugerida. </w:t>
      </w:r>
      <w:r>
        <w:t>Observador del feed.</w:t>
      </w:r>
    </w:p>
    <w:p>
      <w:pPr>
        <w:pStyle w:val="Heading2"/>
      </w:pPr>
      <w:r>
        <w:t>Estación 2. No todo lo que brilla es evidencia</w:t>
      </w:r>
    </w:p>
    <w:p>
      <w:pPr>
        <w:ind w:left="259"/>
      </w:pPr>
      <w:r>
        <w:rPr>
          <w:b/>
        </w:rPr>
        <w:t xml:space="preserve">Propósito. </w:t>
      </w:r>
      <w:r>
        <w:t>distinguir entre hechos, opiniones, publicidad, promesas y afirmaciones que requieren verificación.</w:t>
      </w:r>
    </w:p>
    <w:p>
      <w:pPr>
        <w:ind w:left="259"/>
      </w:pPr>
      <w:r>
        <w:rPr>
          <w:b/>
        </w:rPr>
        <w:t xml:space="preserve">Actividad posible. </w:t>
      </w:r>
      <w:r>
        <w:t>analizar mensajes simulados —por ejemplo, promesas de éxito rápido— y responder qué evidencia ofrecen, qué información falta y qué preguntas convendría hacer.</w:t>
      </w:r>
    </w:p>
    <w:p>
      <w:pPr>
        <w:ind w:left="259"/>
      </w:pPr>
      <w:r>
        <w:rPr>
          <w:b/>
        </w:rPr>
        <w:t xml:space="preserve">Evidencia de aprendizaje. </w:t>
      </w:r>
      <w:r>
        <w:t>ficha de verificación o semáforo de confiabilidad argumentado.</w:t>
      </w:r>
    </w:p>
    <w:p>
      <w:pPr>
        <w:ind w:left="259"/>
      </w:pPr>
      <w:r>
        <w:rPr>
          <w:b/>
        </w:rPr>
        <w:t xml:space="preserve">Insignia sugerida. </w:t>
      </w:r>
      <w:r>
        <w:t>Detective digital.</w:t>
      </w:r>
    </w:p>
    <w:p>
      <w:pPr>
        <w:pStyle w:val="Heading2"/>
      </w:pPr>
      <w:r>
        <w:t>Estación 3. Lo que dicen, lo que pienso</w:t>
      </w:r>
    </w:p>
    <w:p>
      <w:pPr>
        <w:ind w:left="259"/>
      </w:pPr>
      <w:r>
        <w:rPr>
          <w:b/>
        </w:rPr>
        <w:t xml:space="preserve">Propósito. </w:t>
      </w:r>
      <w:r>
        <w:t>promover argumentos y escucha crítica sobre afirmaciones relacionadas con estudiar, trabajar y alcanzar el éxito.</w:t>
      </w:r>
    </w:p>
    <w:p>
      <w:pPr>
        <w:ind w:left="259"/>
      </w:pPr>
      <w:r>
        <w:rPr>
          <w:b/>
        </w:rPr>
        <w:t xml:space="preserve">Actividad posible. </w:t>
      </w:r>
      <w:r>
        <w:t>debate guiado a partir de frases ficticias, como “estudiar no sirve para triunfar” o “hay muchas formas de aprender y construir oportunidades”.</w:t>
      </w:r>
    </w:p>
    <w:p>
      <w:pPr>
        <w:ind w:left="259"/>
      </w:pPr>
      <w:r>
        <w:rPr>
          <w:b/>
        </w:rPr>
        <w:t xml:space="preserve">Evidencia de aprendizaje. </w:t>
      </w:r>
      <w:r>
        <w:t>argumento escrito, audio breve o participación reflexiva.</w:t>
      </w:r>
    </w:p>
    <w:p>
      <w:pPr>
        <w:ind w:left="259"/>
      </w:pPr>
      <w:r>
        <w:rPr>
          <w:b/>
        </w:rPr>
        <w:t xml:space="preserve">Insignia sugerida. </w:t>
      </w:r>
      <w:r>
        <w:t>Voz crítica.</w:t>
      </w:r>
    </w:p>
    <w:p>
      <w:pPr>
        <w:pStyle w:val="Heading2"/>
      </w:pPr>
      <w:r>
        <w:t>Estación 4. Todas las rutas tienen un camino</w:t>
      </w:r>
    </w:p>
    <w:p>
      <w:pPr>
        <w:ind w:left="259"/>
      </w:pPr>
      <w:r>
        <w:rPr>
          <w:b/>
        </w:rPr>
        <w:t xml:space="preserve">Propósito. </w:t>
      </w:r>
      <w:r>
        <w:t>ampliar la comprensión de rutas educativas, ocupacionales y personales, identificando pasos, habilidades, apoyos y alternativas.</w:t>
      </w:r>
    </w:p>
    <w:p>
      <w:pPr>
        <w:ind w:left="259"/>
      </w:pPr>
      <w:r>
        <w:rPr>
          <w:b/>
        </w:rPr>
        <w:t xml:space="preserve">Actividad posible. </w:t>
      </w:r>
      <w:r>
        <w:t>resolver casos ficticios de jóvenes con diferentes intereses y explorar opciones de formación, experiencias, competencias y recursos necesarios.</w:t>
      </w:r>
    </w:p>
    <w:p>
      <w:pPr>
        <w:ind w:left="259"/>
      </w:pPr>
      <w:r>
        <w:rPr>
          <w:b/>
        </w:rPr>
        <w:t xml:space="preserve">Evidencia de aprendizaje. </w:t>
      </w:r>
      <w:r>
        <w:t>mapa de rutas posibles para el caso trabajado.</w:t>
      </w:r>
    </w:p>
    <w:p>
      <w:pPr>
        <w:ind w:left="259"/>
      </w:pPr>
      <w:r>
        <w:rPr>
          <w:b/>
        </w:rPr>
        <w:t xml:space="preserve">Insignia sugerida. </w:t>
      </w:r>
      <w:r>
        <w:t>Explorador de posibilidades.</w:t>
      </w:r>
    </w:p>
    <w:p>
      <w:pPr>
        <w:pStyle w:val="Heading2"/>
      </w:pPr>
      <w:r>
        <w:t>Estación 5. Lo que quiero construir</w:t>
      </w:r>
    </w:p>
    <w:p>
      <w:pPr>
        <w:ind w:left="259"/>
      </w:pPr>
      <w:r>
        <w:rPr>
          <w:b/>
        </w:rPr>
        <w:t xml:space="preserve">Propósito. </w:t>
      </w:r>
      <w:r>
        <w:t>conectar intereses y aspiraciones con habilidades por desarrollar, recursos disponibles y oportunidades por explorar.</w:t>
      </w:r>
    </w:p>
    <w:p>
      <w:pPr>
        <w:ind w:left="259"/>
      </w:pPr>
      <w:r>
        <w:rPr>
          <w:b/>
        </w:rPr>
        <w:t xml:space="preserve">Actividad posible. </w:t>
      </w:r>
      <w:r>
        <w:t>elaborar una brújula personal opcional con preguntas como “¿qué me interesa?”, “¿qué quiero aprender?”, “¿qué apoyo podría necesitar?” y “¿qué pequeño paso puedo explorar?”.</w:t>
      </w:r>
    </w:p>
    <w:p>
      <w:pPr>
        <w:ind w:left="259"/>
      </w:pPr>
      <w:r>
        <w:rPr>
          <w:b/>
        </w:rPr>
        <w:t xml:space="preserve">Evidencia de aprendizaje. </w:t>
      </w:r>
      <w:r>
        <w:t>reflexión privada o plan breve de exploración. No se exige compartir información personal con el grupo.</w:t>
      </w:r>
    </w:p>
    <w:p>
      <w:pPr>
        <w:ind w:left="259"/>
      </w:pPr>
      <w:r>
        <w:rPr>
          <w:b/>
        </w:rPr>
        <w:t xml:space="preserve">Insignia sugerida. </w:t>
      </w:r>
      <w:r>
        <w:t>Arquitecto de posibilidades.</w:t>
      </w:r>
    </w:p>
    <w:p>
      <w:pPr>
        <w:pStyle w:val="Heading2"/>
      </w:pPr>
      <w:r>
        <w:t>Estación 6. Cambiemos el feed</w:t>
      </w:r>
    </w:p>
    <w:p>
      <w:pPr>
        <w:ind w:left="259"/>
      </w:pPr>
      <w:r>
        <w:rPr>
          <w:b/>
        </w:rPr>
        <w:t xml:space="preserve">Propósito. </w:t>
      </w:r>
      <w:r>
        <w:t>crear mensajes digitales que cuestionen visiones limitadas del éxito y representen formas diversas de aprender, aportar y realizarse.</w:t>
      </w:r>
    </w:p>
    <w:p>
      <w:pPr>
        <w:ind w:left="259"/>
      </w:pPr>
      <w:r>
        <w:rPr>
          <w:b/>
        </w:rPr>
        <w:t xml:space="preserve">Actividad posible. </w:t>
      </w:r>
      <w:r>
        <w:t>crear un carrusel, audio, historieta, video breve o publicación simulada. Se puede trabajar con personajes ficticios y no es necesario publicar el producto en redes sociales.</w:t>
      </w:r>
    </w:p>
    <w:p>
      <w:pPr>
        <w:ind w:left="259"/>
      </w:pPr>
      <w:r>
        <w:rPr>
          <w:b/>
        </w:rPr>
        <w:t xml:space="preserve">Evidencia de aprendizaje. </w:t>
      </w:r>
      <w:r>
        <w:t>pieza creativa acompañada de una explicación de sus decisiones.</w:t>
      </w:r>
    </w:p>
    <w:p>
      <w:pPr>
        <w:ind w:left="259"/>
      </w:pPr>
      <w:r>
        <w:rPr>
          <w:b/>
        </w:rPr>
        <w:t xml:space="preserve">Insignia sugerida. </w:t>
      </w:r>
      <w:r>
        <w:t>Creador consciente.</w:t>
      </w:r>
    </w:p>
    <w:p>
      <w:pPr>
        <w:pStyle w:val="Heading1"/>
      </w:pPr>
      <w:r>
        <w:t>10. Modalidades de trabajo</w:t>
      </w:r>
    </w:p>
    <w:p>
      <w:pPr>
        <w:pStyle w:val="Heading2"/>
      </w:pPr>
      <w:r>
        <w:t>10.1. Modalidad individual</w:t>
      </w:r>
    </w:p>
    <w:p>
      <w:r>
        <w:t>Cada estudiante puede recorrer los retos a su ritmo, responder preguntas, registrar sus aprendizajes y revisar las decisiones que va construyendo. Las reflexiones sobre experiencias personales deben ser voluntarias; se pueden usar situaciones ficticias para participar sin exponer información íntima.</w:t>
      </w:r>
    </w:p>
    <w:p>
      <w:pPr>
        <w:pStyle w:val="Heading2"/>
      </w:pPr>
      <w:r>
        <w:t>10.2. Modalidad grupal</w:t>
      </w:r>
    </w:p>
    <w:p>
      <w:r>
        <w:t>Se desarrollan misiones colaborativas, debates, análisis de casos, creación de productos y conversaciones orientadas por el equipo de Orientación Escolar. La facilitación debe favorecer la participación equitativa, el respeto por las diferencias y la argumentación, sin ridiculizar opiniones ni imponer una única definición de éxito.</w:t>
      </w:r>
    </w:p>
    <w:p>
      <w:pPr>
        <w:pStyle w:val="Heading1"/>
      </w:pPr>
      <w:r>
        <w:t>11. Insignias y pasaporte de aprendizaje</w:t>
      </w:r>
    </w:p>
    <w:p>
      <w:r>
        <w:t>Se propone un pasaporte personal de aprendizaje que permita registrar las estaciones completadas, las competencias exploradas y una evidencia breve por reto. Las insignias se conceden cuando el estudiante demuestra el aprendizaje esperado, no por completar más rápido, obtener más reacciones o competir con sus compañeros.</w:t>
      </w:r>
    </w:p>
    <w:p>
      <w:pPr>
        <w:pStyle w:val="ListBullet"/>
      </w:pPr>
      <w:r>
        <w:t>Observador del feed: reconoce mensajes y modelos de éxito.</w:t>
      </w:r>
    </w:p>
    <w:p>
      <w:pPr>
        <w:pStyle w:val="ListBullet"/>
      </w:pPr>
      <w:r>
        <w:t>Detective digital: formula preguntas y contrasta afirmaciones.</w:t>
      </w:r>
    </w:p>
    <w:p>
      <w:pPr>
        <w:pStyle w:val="ListBullet"/>
      </w:pPr>
      <w:r>
        <w:t>Voz crítica: argumenta y escucha perspectivas distintas.</w:t>
      </w:r>
    </w:p>
    <w:p>
      <w:pPr>
        <w:pStyle w:val="ListBullet"/>
      </w:pPr>
      <w:r>
        <w:t>Explorador de posibilidades: identifica rutas y competencias.</w:t>
      </w:r>
    </w:p>
    <w:p>
      <w:pPr>
        <w:pStyle w:val="ListBullet"/>
      </w:pPr>
      <w:r>
        <w:t>Arquitecto de posibilidades: relaciona intereses con pasos exploratorios.</w:t>
      </w:r>
    </w:p>
    <w:p>
      <w:pPr>
        <w:pStyle w:val="ListBullet"/>
      </w:pPr>
      <w:r>
        <w:t>Creador consciente: comunica una representación más amplia del éxito.</w:t>
      </w:r>
    </w:p>
    <w:p>
      <w:pPr>
        <w:pStyle w:val="ListBullet"/>
      </w:pPr>
      <w:r>
        <w:t>Reconocimiento final “Mi vida, mi feed”: completa el recorrido y presenta evidencias de aprendizaje.</w:t>
      </w:r>
    </w:p>
    <w:p>
      <w:pPr>
        <w:pStyle w:val="Heading1"/>
      </w:pPr>
      <w:r>
        <w:t>12. Propuesta de implementación durante el año escolar</w:t>
      </w:r>
    </w:p>
    <w:p>
      <w:r>
        <w:t>La siguiente secuencia es preliminar y deberá ajustarse al calendario académico, los espacios disponibles, el acceso tecnológico y las prioridades institucionales.</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shd w:fill="182741"/>
          </w:tcPr>
          <w:p>
            <w:pPr>
              <w:spacing w:after="40"/>
            </w:pPr>
            <w:r/>
            <w:r>
              <w:rPr>
                <w:rFonts w:ascii="Aptos" w:hAnsi="Aptos"/>
                <w:b/>
                <w:color w:val="FFFFFF"/>
                <w:sz w:val="19"/>
              </w:rPr>
              <w:t>Momento</w:t>
            </w:r>
          </w:p>
        </w:tc>
        <w:tc>
          <w:tcPr>
            <w:tcW w:type="dxa" w:w="3264"/>
            <w:vAlign w:val="center"/>
            <w:shd w:fill="182741"/>
          </w:tcPr>
          <w:p>
            <w:pPr>
              <w:spacing w:after="40"/>
            </w:pPr>
            <w:r/>
            <w:r>
              <w:rPr>
                <w:rFonts w:ascii="Aptos" w:hAnsi="Aptos"/>
                <w:b/>
                <w:color w:val="FFFFFF"/>
                <w:sz w:val="19"/>
              </w:rPr>
              <w:t>Estaciones / actividades</w:t>
            </w:r>
          </w:p>
        </w:tc>
        <w:tc>
          <w:tcPr>
            <w:tcW w:type="dxa" w:w="3264"/>
            <w:vAlign w:val="center"/>
            <w:shd w:fill="182741"/>
          </w:tcPr>
          <w:p>
            <w:pPr>
              <w:spacing w:after="40"/>
            </w:pPr>
            <w:r/>
            <w:r>
              <w:rPr>
                <w:rFonts w:ascii="Aptos" w:hAnsi="Aptos"/>
                <w:b/>
                <w:color w:val="FFFFFF"/>
                <w:sz w:val="19"/>
              </w:rPr>
              <w:t>Propósito</w:t>
            </w:r>
          </w:p>
        </w:tc>
      </w:tr>
      <w:tr>
        <w:tc>
          <w:tcPr>
            <w:tcW w:type="dxa" w:w="3264"/>
            <w:vAlign w:val="center"/>
          </w:tcPr>
          <w:p>
            <w:pPr>
              <w:spacing w:after="40"/>
            </w:pPr>
            <w:r/>
            <w:r>
              <w:rPr>
                <w:rFonts w:ascii="Aptos" w:hAnsi="Aptos"/>
                <w:b w:val="0"/>
                <w:sz w:val="18"/>
              </w:rPr>
              <w:t>Inicio del año</w:t>
            </w:r>
          </w:p>
        </w:tc>
        <w:tc>
          <w:tcPr>
            <w:tcW w:type="dxa" w:w="3264"/>
            <w:vAlign w:val="center"/>
          </w:tcPr>
          <w:p>
            <w:pPr>
              <w:spacing w:after="40"/>
            </w:pPr>
            <w:r/>
            <w:r>
              <w:rPr>
                <w:rFonts w:ascii="Aptos" w:hAnsi="Aptos"/>
                <w:b w:val="0"/>
                <w:sz w:val="18"/>
              </w:rPr>
              <w:t>Exploración diagnóstica</w:t>
            </w:r>
          </w:p>
        </w:tc>
        <w:tc>
          <w:tcPr>
            <w:tcW w:type="dxa" w:w="3264"/>
            <w:vAlign w:val="center"/>
          </w:tcPr>
          <w:p>
            <w:pPr>
              <w:spacing w:after="40"/>
            </w:pPr>
            <w:r/>
            <w:r>
              <w:rPr>
                <w:rFonts w:ascii="Aptos" w:hAnsi="Aptos"/>
                <w:b w:val="0"/>
                <w:sz w:val="18"/>
              </w:rPr>
              <w:t>Identificar ideas iniciales sobre éxito, estudio y contenidos digitales.</w:t>
            </w:r>
          </w:p>
        </w:tc>
      </w:tr>
      <w:tr>
        <w:tc>
          <w:tcPr>
            <w:tcW w:type="dxa" w:w="3264"/>
            <w:vAlign w:val="center"/>
          </w:tcPr>
          <w:p>
            <w:pPr>
              <w:spacing w:after="40"/>
            </w:pPr>
            <w:r/>
            <w:r>
              <w:rPr>
                <w:rFonts w:ascii="Aptos" w:hAnsi="Aptos"/>
                <w:b w:val="0"/>
                <w:sz w:val="18"/>
              </w:rPr>
              <w:t>Primer período</w:t>
            </w:r>
          </w:p>
        </w:tc>
        <w:tc>
          <w:tcPr>
            <w:tcW w:type="dxa" w:w="3264"/>
            <w:vAlign w:val="center"/>
          </w:tcPr>
          <w:p>
            <w:pPr>
              <w:spacing w:after="40"/>
            </w:pPr>
            <w:r/>
            <w:r>
              <w:rPr>
                <w:rFonts w:ascii="Aptos" w:hAnsi="Aptos"/>
                <w:b w:val="0"/>
                <w:sz w:val="18"/>
              </w:rPr>
              <w:t>Estaciones 1 y 2</w:t>
            </w:r>
          </w:p>
        </w:tc>
        <w:tc>
          <w:tcPr>
            <w:tcW w:type="dxa" w:w="3264"/>
            <w:vAlign w:val="center"/>
          </w:tcPr>
          <w:p>
            <w:pPr>
              <w:spacing w:after="40"/>
            </w:pPr>
            <w:r/>
            <w:r>
              <w:rPr>
                <w:rFonts w:ascii="Aptos" w:hAnsi="Aptos"/>
                <w:b w:val="0"/>
                <w:sz w:val="18"/>
              </w:rPr>
              <w:t>Reconocer modelos de éxito y practicar preguntas de verificación.</w:t>
            </w:r>
          </w:p>
        </w:tc>
      </w:tr>
      <w:tr>
        <w:tc>
          <w:tcPr>
            <w:tcW w:type="dxa" w:w="3264"/>
            <w:vAlign w:val="center"/>
          </w:tcPr>
          <w:p>
            <w:pPr>
              <w:spacing w:after="40"/>
            </w:pPr>
            <w:r/>
            <w:r>
              <w:rPr>
                <w:rFonts w:ascii="Aptos" w:hAnsi="Aptos"/>
                <w:b w:val="0"/>
                <w:sz w:val="18"/>
              </w:rPr>
              <w:t>Segundo período</w:t>
            </w:r>
          </w:p>
        </w:tc>
        <w:tc>
          <w:tcPr>
            <w:tcW w:type="dxa" w:w="3264"/>
            <w:vAlign w:val="center"/>
          </w:tcPr>
          <w:p>
            <w:pPr>
              <w:spacing w:after="40"/>
            </w:pPr>
            <w:r/>
            <w:r>
              <w:rPr>
                <w:rFonts w:ascii="Aptos" w:hAnsi="Aptos"/>
                <w:b w:val="0"/>
                <w:sz w:val="18"/>
              </w:rPr>
              <w:t>Estaciones 3 y 4</w:t>
            </w:r>
          </w:p>
        </w:tc>
        <w:tc>
          <w:tcPr>
            <w:tcW w:type="dxa" w:w="3264"/>
            <w:vAlign w:val="center"/>
          </w:tcPr>
          <w:p>
            <w:pPr>
              <w:spacing w:after="40"/>
            </w:pPr>
            <w:r/>
            <w:r>
              <w:rPr>
                <w:rFonts w:ascii="Aptos" w:hAnsi="Aptos"/>
                <w:b w:val="0"/>
                <w:sz w:val="18"/>
              </w:rPr>
              <w:t>Argumentar y explorar diferentes rutas educativas, ocupacionales y personales.</w:t>
            </w:r>
          </w:p>
        </w:tc>
      </w:tr>
      <w:tr>
        <w:tc>
          <w:tcPr>
            <w:tcW w:type="dxa" w:w="3264"/>
            <w:vAlign w:val="center"/>
          </w:tcPr>
          <w:p>
            <w:pPr>
              <w:spacing w:after="40"/>
            </w:pPr>
            <w:r/>
            <w:r>
              <w:rPr>
                <w:rFonts w:ascii="Aptos" w:hAnsi="Aptos"/>
                <w:b w:val="0"/>
                <w:sz w:val="18"/>
              </w:rPr>
              <w:t>Tercer período</w:t>
            </w:r>
          </w:p>
        </w:tc>
        <w:tc>
          <w:tcPr>
            <w:tcW w:type="dxa" w:w="3264"/>
            <w:vAlign w:val="center"/>
          </w:tcPr>
          <w:p>
            <w:pPr>
              <w:spacing w:after="40"/>
            </w:pPr>
            <w:r/>
            <w:r>
              <w:rPr>
                <w:rFonts w:ascii="Aptos" w:hAnsi="Aptos"/>
                <w:b w:val="0"/>
                <w:sz w:val="18"/>
              </w:rPr>
              <w:t>Estación 5</w:t>
            </w:r>
          </w:p>
        </w:tc>
        <w:tc>
          <w:tcPr>
            <w:tcW w:type="dxa" w:w="3264"/>
            <w:vAlign w:val="center"/>
          </w:tcPr>
          <w:p>
            <w:pPr>
              <w:spacing w:after="40"/>
            </w:pPr>
            <w:r/>
            <w:r>
              <w:rPr>
                <w:rFonts w:ascii="Aptos" w:hAnsi="Aptos"/>
                <w:b w:val="0"/>
                <w:sz w:val="18"/>
              </w:rPr>
              <w:t>Relacionar intereses con habilidades, apoyos y oportunidades por explorar.</w:t>
            </w:r>
          </w:p>
        </w:tc>
      </w:tr>
      <w:tr>
        <w:tc>
          <w:tcPr>
            <w:tcW w:type="dxa" w:w="3264"/>
            <w:vAlign w:val="center"/>
          </w:tcPr>
          <w:p>
            <w:pPr>
              <w:spacing w:after="40"/>
            </w:pPr>
            <w:r/>
            <w:r>
              <w:rPr>
                <w:rFonts w:ascii="Aptos" w:hAnsi="Aptos"/>
                <w:b w:val="0"/>
                <w:sz w:val="18"/>
              </w:rPr>
              <w:t>Cuarto período</w:t>
            </w:r>
          </w:p>
        </w:tc>
        <w:tc>
          <w:tcPr>
            <w:tcW w:type="dxa" w:w="3264"/>
            <w:vAlign w:val="center"/>
          </w:tcPr>
          <w:p>
            <w:pPr>
              <w:spacing w:after="40"/>
            </w:pPr>
            <w:r/>
            <w:r>
              <w:rPr>
                <w:rFonts w:ascii="Aptos" w:hAnsi="Aptos"/>
                <w:b w:val="0"/>
                <w:sz w:val="18"/>
              </w:rPr>
              <w:t>Estación 6 y cierre</w:t>
            </w:r>
          </w:p>
        </w:tc>
        <w:tc>
          <w:tcPr>
            <w:tcW w:type="dxa" w:w="3264"/>
            <w:vAlign w:val="center"/>
          </w:tcPr>
          <w:p>
            <w:pPr>
              <w:spacing w:after="40"/>
            </w:pPr>
            <w:r/>
            <w:r>
              <w:rPr>
                <w:rFonts w:ascii="Aptos" w:hAnsi="Aptos"/>
                <w:b w:val="0"/>
                <w:sz w:val="18"/>
              </w:rPr>
              <w:t>Crear mensajes conscientes, revisar aprendizajes y recoger retroalimentación.</w:t>
            </w:r>
          </w:p>
        </w:tc>
      </w:tr>
    </w:tbl>
    <w:p>
      <w:pPr>
        <w:pStyle w:val="Heading1"/>
      </w:pPr>
      <w:r>
        <w:t>13. Evaluación y seguimiento</w:t>
      </w:r>
    </w:p>
    <w:p>
      <w:r>
        <w:t>La evaluación se orientará a reconocer aprendizajes y transformaciones en las interpretaciones, no a demostrar de antemano que las redes sociales producen un efecto específico. Se recomienda combinar una actividad diagnóstica inicial, evidencias por estación, observaciones de las conversaciones grupales y una actividad final de reflexión.</w:t>
      </w:r>
    </w:p>
    <w:p>
      <w:pPr>
        <w:pStyle w:val="ListBullet"/>
      </w:pPr>
      <w:r>
        <w:t>Comprende y describe los mensajes sobre éxito presentes en un contenido.</w:t>
      </w:r>
    </w:p>
    <w:p>
      <w:pPr>
        <w:pStyle w:val="ListBullet"/>
      </w:pPr>
      <w:r>
        <w:t>Distingue hechos, opiniones, publicidad y afirmaciones que necesitan verificación.</w:t>
      </w:r>
    </w:p>
    <w:p>
      <w:pPr>
        <w:pStyle w:val="ListBullet"/>
      </w:pPr>
      <w:r>
        <w:t>Sustenta sus ideas con razones y considera perspectivas diferentes.</w:t>
      </w:r>
    </w:p>
    <w:p>
      <w:pPr>
        <w:pStyle w:val="ListBullet"/>
      </w:pPr>
      <w:r>
        <w:t>Reconoce más de una ruta posible para aprender, trabajar o desarrollar sus intereses.</w:t>
      </w:r>
    </w:p>
    <w:p>
      <w:pPr>
        <w:pStyle w:val="ListBullet"/>
      </w:pPr>
      <w:r>
        <w:t>Propone una forma de comunicar una visión crítica y diversa del éxito.</w:t>
      </w:r>
    </w:p>
    <w:p>
      <w:pPr>
        <w:pStyle w:val="ListBullet"/>
      </w:pPr>
      <w:r>
        <w:t>Expresa qué aprendió o qué pregunta nueva se lleva del recorrido.</w:t>
      </w:r>
    </w:p>
    <w:p>
      <w:r>
        <w:t>Los instrumentos pueden incluir una rúbrica sencilla por competencias, una bitácora de Orientación Escolar y preguntas de entrada y salida. Si se recogen datos personales o respuestas identificables, deberán definirse con claridad la finalidad, el acceso, el tiempo de conservación y las medidas de confidencialidad.</w:t>
      </w:r>
    </w:p>
    <w:p>
      <w:pPr>
        <w:pStyle w:val="Heading1"/>
      </w:pPr>
      <w:r>
        <w:t>14. Recursos necesarios</w:t>
      </w:r>
    </w:p>
    <w:p>
      <w:pPr>
        <w:pStyle w:val="ListBullet"/>
      </w:pPr>
      <w:r>
        <w:t>Equipo de Orientación Escolar para diseñar, facilitar y acompañar las actividades.</w:t>
      </w:r>
    </w:p>
    <w:p>
      <w:pPr>
        <w:pStyle w:val="ListBullet"/>
      </w:pPr>
      <w:r>
        <w:t>Articulación con docentes y directivos, de acuerdo con el plan institucional.</w:t>
      </w:r>
    </w:p>
    <w:p>
      <w:pPr>
        <w:pStyle w:val="ListBullet"/>
      </w:pPr>
      <w:r>
        <w:t>Dispositivos y conectividad cuando estén disponibles; alternativa imprimible o sin conexión para garantizar participación.</w:t>
      </w:r>
    </w:p>
    <w:p>
      <w:pPr>
        <w:pStyle w:val="ListBullet"/>
      </w:pPr>
      <w:r>
        <w:t>Plataforma de creación de contenidos interactivos, seleccionada según disponibilidad y privacidad.</w:t>
      </w:r>
    </w:p>
    <w:p>
      <w:pPr>
        <w:pStyle w:val="ListBullet"/>
      </w:pPr>
      <w:r>
        <w:t>Casos ficticios, ejemplos de contenidos previamente seleccionados, fichas de análisis, rúbricas y pasaporte de aprendizaje.</w:t>
      </w:r>
    </w:p>
    <w:p>
      <w:pPr>
        <w:pStyle w:val="ListBullet"/>
      </w:pPr>
      <w:r>
        <w:t>Tiempo institucional para sesiones individuales y grupales, registro y evaluación.</w:t>
      </w:r>
    </w:p>
    <w:p>
      <w:pPr>
        <w:pStyle w:val="Heading1"/>
      </w:pPr>
      <w:r>
        <w:t>15. Resultados esperados</w:t>
      </w:r>
    </w:p>
    <w:p>
      <w:r>
        <w:t>Se espera que la experiencia contribuya a que los estudiantes formulen preguntas más críticas frente a los mensajes digitales, argumenten sus interpretaciones, reconozcan que el éxito puede tener significados diversos y exploren rutas de formación y desarrollo personal. Estos resultados deben tratarse como propósitos por evaluar, no como efectos garantizados antes de implementar la intervención.</w:t>
      </w:r>
    </w:p>
    <w:p>
      <w:pPr>
        <w:pStyle w:val="Heading1"/>
      </w:pPr>
      <w:r>
        <w:t>16. Cierre de la propuesta</w:t>
      </w:r>
    </w:p>
    <w:p>
      <w:pPr>
        <w:spacing w:before="200" w:after="200"/>
        <w:jc w:val="center"/>
      </w:pPr>
      <w:r>
        <w:rPr>
          <w:b/>
          <w:i/>
          <w:color w:val="1E8987"/>
          <w:sz w:val="30"/>
        </w:rPr>
        <w:t>“No se trata de decirles qué futuro elegir. Se trata de ayudarles a decidir con criterio.”</w:t>
      </w:r>
    </w:p>
    <w:p>
      <w:pPr>
        <w:jc w:val="center"/>
      </w:pPr>
      <w:r>
        <w:rPr>
          <w:color w:val="182741"/>
          <w:sz w:val="22"/>
        </w:rPr>
        <w:t>Mi vida, mi feed: el futuro no se trata de seguir una tendencia, sino de aprender a elegir el propio camino.</w:t>
      </w:r>
    </w:p>
    <w:p>
      <w:pPr>
        <w:pStyle w:val="Heading1"/>
      </w:pPr>
      <w:r>
        <w:t>17. Nota para el desarrollo posterior</w:t>
      </w:r>
    </w:p>
    <w:p>
      <w:r>
        <w:t>Este documento organiza la propuesta construida hasta el momento y constituye una base de trabajo editable. Antes de su implementación conviene precisar la duración de cada estación, los responsables, los instrumentos de evaluación, la plataforma tecnológica, los criterios para entregar insignias y el protocolo institucional para el manejo de la información. La selección de contenidos y ejemplos debe ser pertinente para el contexto de Buenaventura y respetuosa de las experiencias y perspectivas diversas del estudiantado.</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380"/>
        <w:sz w:val="16"/>
      </w:rPr>
      <w:t>Mi vida, mi feed · Institución Etnoeducativa Francisco José de Caldas · Buenaventura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E8987"/>
        <w:sz w:val="16"/>
      </w:rPr>
      <w:t>PROPUESTA DE INTERVENCIÓN PSICOPEDAGÓGICA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B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7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89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F27C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7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