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5E72F1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53F51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1AC68C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AFDA2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7C5075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84920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Sumário:</w:t>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Fluxo Principal:</w:t>
      </w:r>
      <w:r>
        <w:rPr>
          <w:rFonts w:hint="default" w:ascii="Arial" w:hAnsi="Arial" w:eastAsia="Arial" w:cs="Arial"/>
          <w:b/>
          <w:bCs/>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none"/>
          <w:shd w:val="clear" w:fill="FFFFFF"/>
          <w:vertAlign w:val="baseline"/>
          <w:lang w:val="pt-BR"/>
        </w:rPr>
        <w:t>Sumário:</w:t>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bookmarkStart w:id="0" w:name="_GoBack"/>
      <w:bookmarkEnd w:id="0"/>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u w:val="single"/>
          <w:lang w:val="pt-BR"/>
        </w:rPr>
      </w:pPr>
      <w:r>
        <w:rPr>
          <w:rFonts w:ascii="Arial" w:hAnsi="Arial" w:eastAsia="Segoe UI" w:cs="Arial"/>
          <w:b/>
          <w:bCs/>
          <w:i w:val="0"/>
          <w:iCs w:val="0"/>
          <w:caps w:val="0"/>
          <w:color w:val="auto"/>
          <w:spacing w:val="0"/>
          <w:sz w:val="24"/>
          <w:szCs w:val="24"/>
          <w:u w:val="single"/>
          <w:shd w:val="clear" w:fill="FFFFFF"/>
          <w:vertAlign w:val="baseline"/>
          <w:lang w:val="en-US"/>
        </w:rPr>
        <w:t>Bibliografia</w:t>
      </w:r>
      <w:r>
        <w:rPr>
          <w:rFonts w:hint="default" w:ascii="Arial" w:hAnsi="Arial" w:eastAsia="Segoe UI" w:cs="Arial"/>
          <w:b/>
          <w:bCs/>
          <w:i w:val="0"/>
          <w:iCs w:val="0"/>
          <w:caps w:val="0"/>
          <w:color w:val="auto"/>
          <w:spacing w:val="0"/>
          <w:sz w:val="24"/>
          <w:szCs w:val="24"/>
          <w:u w:val="single"/>
          <w:shd w:val="clear" w:fill="FFFFFF"/>
          <w:vertAlign w:val="baseline"/>
          <w:lang w:val="en-US"/>
        </w:rPr>
        <w:t>:</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1A153242"/>
    <w:rsid w:val="296B6BB1"/>
    <w:rsid w:val="318344F9"/>
    <w:rsid w:val="321D78C3"/>
    <w:rsid w:val="32EB1EB8"/>
    <w:rsid w:val="33433188"/>
    <w:rsid w:val="42976983"/>
    <w:rsid w:val="43DF0E5E"/>
    <w:rsid w:val="4C5273F7"/>
    <w:rsid w:val="57445B06"/>
    <w:rsid w:val="602E3C1A"/>
    <w:rsid w:val="68DC4D9E"/>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