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sz w:val="72"/>
          <w:szCs w:val="72"/>
        </w:rPr>
        <w:t xml:space="preserve">🔄</w:t>
      </w:r>
    </w:p>
    <w:p>
      <w:pPr>
        <w:spacing w:after="200"/>
      </w:pPr>
    </w:p>
    <w:p>
      <w:pPr>
        <w:jc w:val="center"/>
      </w:pPr>
      <w:r>
        <w:rPr>
          <w:b/>
          <w:bCs/>
          <w:color w:val="BF8F00"/>
          <w:sz w:val="26"/>
          <w:szCs w:val="26"/>
        </w:rPr>
        <w:t xml:space="preserve">MÓDULO 3</w:t>
      </w:r>
    </w:p>
    <w:p>
      <w:pPr>
        <w:spacing w:after="200"/>
        <w:jc w:val="center"/>
      </w:pPr>
      <w:r>
        <w:rPr>
          <w:b/>
          <w:bCs/>
          <w:color w:val="1F3864"/>
          <w:sz w:val="52"/>
          <w:szCs w:val="52"/>
        </w:rPr>
        <w:t xml:space="preserve">Gestión de Cambios</w:t>
      </w:r>
    </w:p>
    <w:p>
      <w:pPr>
        <w:spacing w:after="60"/>
        <w:jc w:val="center"/>
      </w:pPr>
      <w:r>
        <w:rPr>
          <w:i/>
          <w:iCs/>
          <w:color w:val="595959"/>
          <w:sz w:val="26"/>
          <w:szCs w:val="26"/>
        </w:rPr>
        <w:t xml:space="preserve">Entiende el proceso de control de cambios TI</w:t>
      </w:r>
    </w:p>
    <w:p>
      <w:pPr>
        <w:spacing w:after="500"/>
        <w:jc w:val="center"/>
      </w:pPr>
      <w:r>
        <w:rPr>
          <w:color w:val="595959"/>
          <w:sz w:val="20"/>
          <w:szCs w:val="20"/>
        </w:rPr>
        <w:t xml:space="preserve">Vicepresidencia de Servicios de Tecnología e Información — Bancolombia</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Guía de estudio</w:t>
            </w:r>
          </w:p>
          <w:p>
            <w:pPr>
              <w:spacing w:after="0" w:line="280"/>
            </w:pPr>
            <w:r>
              <w:rPr>
                <w:color w:val="222222"/>
                <w:sz w:val="21"/>
                <w:szCs w:val="21"/>
              </w:rPr>
              <w:t xml:space="preserve">Documento elaborado a partir de la cuarta sesión de difusión de procesos críticos de tecnología, presentada por Laura Varela, del Centro de Excelencia de Ingeniería TI (DevEx). Incluye definiciones, tipos de cambio, lineamientos regulatorios, el Consejo de Cambios, roles en Hilix y el Q&amp;A de la sesión.</w:t>
            </w:r>
          </w:p>
        </w:tc>
      </w:tr>
    </w:tbl>
    <w:p>
      <w:pPr>
        <w:spacing w:after="300"/>
      </w:pPr>
    </w:p>
    <w:p>
      <w:pPr>
        <w:jc w:val="center"/>
      </w:pPr>
      <w:r>
        <w:rPr>
          <w:i/>
          <w:iCs/>
          <w:color w:val="595959"/>
          <w:sz w:val="20"/>
          <w:szCs w:val="20"/>
        </w:rPr>
        <w:t xml:space="preserve">🗓  Examen de certificación: se habilita el 17 de julio</w:t>
      </w:r>
    </w:p>
    <w:p>
      <w:pPr>
        <w:pageBreakBefore/>
      </w:pPr>
    </w:p>
    <w:p>
      <w:pPr>
        <w:pStyle w:val="Heading1"/>
        <w:pBdr>
          <w:bottom w:val="single" w:color="1F3864" w:sz="6" w:space="4"/>
        </w:pBdr>
        <w:spacing w:after="200" w:before="400"/>
      </w:pPr>
      <w:r>
        <w:rPr>
          <w:b/>
          <w:bCs/>
          <w:color w:val="1F3864"/>
          <w:sz w:val="30"/>
          <w:szCs w:val="30"/>
        </w:rPr>
        <w:t xml:space="preserve">Índice de contenidos</w:t>
      </w:r>
    </w:p>
    <w:p>
      <w:pPr>
        <w:pStyle w:val="ListParagraph"/>
        <w:numPr>
          <w:ilvl w:val="0"/>
          <w:numId w:val="2"/>
        </w:numPr>
        <w:spacing w:after="90" w:line="280"/>
      </w:pPr>
      <w:r>
        <w:rPr>
          <w:color w:val="222222"/>
          <w:sz w:val="22"/>
          <w:szCs w:val="22"/>
        </w:rPr>
        <w:t xml:space="preserve">1. ¿Por qué es crítico este proceso? (Ley SOX)</w:t>
      </w:r>
    </w:p>
    <w:p>
      <w:pPr>
        <w:pStyle w:val="ListParagraph"/>
        <w:numPr>
          <w:ilvl w:val="0"/>
          <w:numId w:val="2"/>
        </w:numPr>
        <w:spacing w:after="90" w:line="280"/>
      </w:pPr>
      <w:r>
        <w:rPr>
          <w:color w:val="222222"/>
          <w:sz w:val="22"/>
          <w:szCs w:val="22"/>
        </w:rPr>
        <w:t xml:space="preserve">2. ¿Qué es un cambio TI? Definiciones generales</w:t>
      </w:r>
    </w:p>
    <w:p>
      <w:pPr>
        <w:pStyle w:val="ListParagraph"/>
        <w:numPr>
          <w:ilvl w:val="0"/>
          <w:numId w:val="2"/>
        </w:numPr>
        <w:spacing w:after="90" w:line="280"/>
      </w:pPr>
      <w:r>
        <w:rPr>
          <w:color w:val="222222"/>
          <w:sz w:val="22"/>
          <w:szCs w:val="22"/>
        </w:rPr>
        <w:t xml:space="preserve">3. Cambios automáticos vs. cambios manuales</w:t>
      </w:r>
    </w:p>
    <w:p>
      <w:pPr>
        <w:pStyle w:val="ListParagraph"/>
        <w:numPr>
          <w:ilvl w:val="0"/>
          <w:numId w:val="2"/>
        </w:numPr>
        <w:spacing w:after="90" w:line="280"/>
      </w:pPr>
      <w:r>
        <w:rPr>
          <w:color w:val="222222"/>
          <w:sz w:val="22"/>
          <w:szCs w:val="22"/>
        </w:rPr>
        <w:t xml:space="preserve">4. Tipos de cambio: ágil, estándar, programado y emergencia</w:t>
      </w:r>
    </w:p>
    <w:p>
      <w:pPr>
        <w:pStyle w:val="ListParagraph"/>
        <w:numPr>
          <w:ilvl w:val="0"/>
          <w:numId w:val="2"/>
        </w:numPr>
        <w:spacing w:after="90" w:line="280"/>
      </w:pPr>
      <w:r>
        <w:rPr>
          <w:color w:val="222222"/>
          <w:sz w:val="22"/>
          <w:szCs w:val="22"/>
        </w:rPr>
        <w:t xml:space="preserve">5. El modelo de plataformas (transición a la automatización)</w:t>
      </w:r>
    </w:p>
    <w:p>
      <w:pPr>
        <w:pStyle w:val="ListParagraph"/>
        <w:numPr>
          <w:ilvl w:val="0"/>
          <w:numId w:val="2"/>
        </w:numPr>
        <w:spacing w:after="90" w:line="280"/>
      </w:pPr>
      <w:r>
        <w:rPr>
          <w:color w:val="222222"/>
          <w:sz w:val="22"/>
          <w:szCs w:val="22"/>
        </w:rPr>
        <w:t xml:space="preserve">6. Lineamiento clave: la Circular 028</w:t>
      </w:r>
    </w:p>
    <w:p>
      <w:pPr>
        <w:pStyle w:val="ListParagraph"/>
        <w:numPr>
          <w:ilvl w:val="0"/>
          <w:numId w:val="2"/>
        </w:numPr>
        <w:spacing w:after="90" w:line="280"/>
      </w:pPr>
      <w:r>
        <w:rPr>
          <w:color w:val="222222"/>
          <w:sz w:val="22"/>
          <w:szCs w:val="22"/>
        </w:rPr>
        <w:t xml:space="preserve">7. Fechas de restricción</w:t>
      </w:r>
    </w:p>
    <w:p>
      <w:pPr>
        <w:pStyle w:val="ListParagraph"/>
        <w:numPr>
          <w:ilvl w:val="0"/>
          <w:numId w:val="2"/>
        </w:numPr>
        <w:spacing w:after="90" w:line="280"/>
      </w:pPr>
      <w:r>
        <w:rPr>
          <w:color w:val="222222"/>
          <w:sz w:val="22"/>
          <w:szCs w:val="22"/>
        </w:rPr>
        <w:t xml:space="preserve">8. El Consejo de Cambios</w:t>
      </w:r>
    </w:p>
    <w:p>
      <w:pPr>
        <w:pStyle w:val="ListParagraph"/>
        <w:numPr>
          <w:ilvl w:val="0"/>
          <w:numId w:val="2"/>
        </w:numPr>
        <w:spacing w:after="90" w:line="280"/>
      </w:pPr>
      <w:r>
        <w:rPr>
          <w:color w:val="222222"/>
          <w:sz w:val="22"/>
          <w:szCs w:val="22"/>
        </w:rPr>
        <w:t xml:space="preserve">9. Entradas y salidas del proceso</w:t>
      </w:r>
    </w:p>
    <w:p>
      <w:pPr>
        <w:pStyle w:val="ListParagraph"/>
        <w:numPr>
          <w:ilvl w:val="0"/>
          <w:numId w:val="2"/>
        </w:numPr>
        <w:spacing w:after="90" w:line="280"/>
      </w:pPr>
      <w:r>
        <w:rPr>
          <w:color w:val="222222"/>
          <w:sz w:val="22"/>
          <w:szCs w:val="22"/>
        </w:rPr>
        <w:t xml:space="preserve">10. Ciclo de vida del proceso (actividades y controles)</w:t>
      </w:r>
    </w:p>
    <w:p>
      <w:pPr>
        <w:pStyle w:val="ListParagraph"/>
        <w:numPr>
          <w:ilvl w:val="0"/>
          <w:numId w:val="2"/>
        </w:numPr>
        <w:spacing w:after="90" w:line="280"/>
      </w:pPr>
      <w:r>
        <w:rPr>
          <w:color w:val="222222"/>
          <w:sz w:val="22"/>
          <w:szCs w:val="22"/>
        </w:rPr>
        <w:t xml:space="preserve">11. Roles y aprobaciones en Hilix</w:t>
      </w:r>
    </w:p>
    <w:p>
      <w:pPr>
        <w:pStyle w:val="ListParagraph"/>
        <w:numPr>
          <w:ilvl w:val="0"/>
          <w:numId w:val="2"/>
        </w:numPr>
        <w:spacing w:after="90" w:line="280"/>
      </w:pPr>
      <w:r>
        <w:rPr>
          <w:color w:val="222222"/>
          <w:sz w:val="22"/>
          <w:szCs w:val="22"/>
        </w:rPr>
        <w:t xml:space="preserve">12. Ciclo de vida de un cambio en Hilix (estados)</w:t>
      </w:r>
    </w:p>
    <w:p>
      <w:pPr>
        <w:pStyle w:val="ListParagraph"/>
        <w:numPr>
          <w:ilvl w:val="0"/>
          <w:numId w:val="2"/>
        </w:numPr>
        <w:spacing w:after="90" w:line="280"/>
      </w:pPr>
      <w:r>
        <w:rPr>
          <w:color w:val="222222"/>
          <w:sz w:val="22"/>
          <w:szCs w:val="22"/>
        </w:rPr>
        <w:t xml:space="preserve">13. Preguntas frecuentes de la sesión</w:t>
      </w:r>
    </w:p>
    <w:p>
      <w:pPr>
        <w:pStyle w:val="ListParagraph"/>
        <w:numPr>
          <w:ilvl w:val="0"/>
          <w:numId w:val="2"/>
        </w:numPr>
        <w:spacing w:after="90" w:line="280"/>
      </w:pPr>
      <w:r>
        <w:rPr>
          <w:color w:val="222222"/>
          <w:sz w:val="22"/>
          <w:szCs w:val="22"/>
        </w:rPr>
        <w:t xml:space="preserve">14. Resumen y puntos clave para el examen</w:t>
      </w:r>
    </w:p>
    <w:p>
      <w:pPr>
        <w:pageBreakBefore/>
      </w:pPr>
    </w:p>
    <w:p>
      <w:pPr>
        <w:pStyle w:val="Heading1"/>
        <w:pBdr>
          <w:bottom w:val="single" w:color="1F3864" w:sz="6" w:space="4"/>
        </w:pBdr>
        <w:spacing w:after="200" w:before="400"/>
      </w:pPr>
      <w:r>
        <w:rPr>
          <w:b/>
          <w:bCs/>
          <w:color w:val="1F3864"/>
          <w:sz w:val="30"/>
          <w:szCs w:val="30"/>
        </w:rPr>
        <w:t xml:space="preserve">1. ¿Por qué es crítico este proceso? (Ley SOX)</w:t>
      </w:r>
    </w:p>
    <w:p>
      <w:pPr>
        <w:spacing w:after="160" w:line="300"/>
      </w:pPr>
      <w:r>
        <w:rPr>
          <w:color w:val="222222"/>
          <w:sz w:val="22"/>
          <w:szCs w:val="22"/>
        </w:rPr>
        <w:t xml:space="preserve">El cumplimiento estricto de este proceso y sus controles responde a tres razones fundamentales:</w:t>
      </w:r>
    </w:p>
    <w:p>
      <w:pPr>
        <w:pStyle w:val="ListParagraph"/>
        <w:numPr>
          <w:ilvl w:val="0"/>
          <w:numId w:val="2"/>
        </w:numPr>
        <w:spacing w:after="90" w:line="280"/>
      </w:pPr>
      <w:r>
        <w:rPr>
          <w:color w:val="222222"/>
          <w:sz w:val="22"/>
          <w:szCs w:val="22"/>
        </w:rPr>
        <w:t xml:space="preserve">Mantener la imagen del Banco como una de las entidades financieras más importantes de Colombia y el mundo.</w:t>
      </w:r>
    </w:p>
    <w:p>
      <w:pPr>
        <w:pStyle w:val="ListParagraph"/>
        <w:numPr>
          <w:ilvl w:val="0"/>
          <w:numId w:val="2"/>
        </w:numPr>
        <w:spacing w:after="90" w:line="280"/>
      </w:pPr>
      <w:r>
        <w:rPr>
          <w:color w:val="222222"/>
          <w:sz w:val="22"/>
          <w:szCs w:val="22"/>
        </w:rPr>
        <w:t xml:space="preserve">Ser transparentes en los procesos y actividades, garantizando la disponibilidad de los servicios a los clientes.</w:t>
      </w:r>
    </w:p>
    <w:p>
      <w:pPr>
        <w:pStyle w:val="ListParagraph"/>
        <w:numPr>
          <w:ilvl w:val="0"/>
          <w:numId w:val="2"/>
        </w:numPr>
        <w:spacing w:after="90" w:line="280"/>
      </w:pPr>
      <w:r>
        <w:rPr>
          <w:color w:val="222222"/>
          <w:sz w:val="22"/>
          <w:szCs w:val="22"/>
        </w:rPr>
        <w:t xml:space="preserve">Cumplir con la Ley SOX (Sarbanes-Oxley), emitida por Estados Unidos, que rige a todas las empresas que cotizan acciones en la Bolsa de Nueva York — como Bancolombia.</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Control SOX del proceso</w:t>
            </w:r>
          </w:p>
          <w:p>
            <w:pPr>
              <w:spacing w:after="0" w:line="280"/>
            </w:pPr>
            <w:r>
              <w:rPr>
                <w:color w:val="222222"/>
                <w:sz w:val="21"/>
                <w:szCs w:val="21"/>
              </w:rPr>
              <w:t xml:space="preserve">El proceso de Gestión de Cambios tiene un control SOX asociado: la aprobación del cambio. Cada año el Banco debe certificarse en esta ley a través de control interno, la certificación de procesos AIC y auditorías internas y externas. Por eso la aprobación de un cambio NO puede ser "a la carrera" — es la certificación formal de que el equipo está listo para salir a producción.</w:t>
            </w:r>
          </w:p>
        </w:tc>
      </w:tr>
    </w:tbl>
    <w:p>
      <w:pPr>
        <w:pageBreakBefore/>
      </w:pPr>
    </w:p>
    <w:p>
      <w:pPr>
        <w:pStyle w:val="Heading1"/>
        <w:pBdr>
          <w:bottom w:val="single" w:color="1F3864" w:sz="6" w:space="4"/>
        </w:pBdr>
        <w:spacing w:after="200" w:before="400"/>
      </w:pPr>
      <w:r>
        <w:rPr>
          <w:b/>
          <w:bCs/>
          <w:color w:val="1F3864"/>
          <w:sz w:val="30"/>
          <w:szCs w:val="30"/>
        </w:rPr>
        <w:t xml:space="preserve">2. ¿Qué es un cambio TI? Definiciones generales</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Definición de cambio TI</w:t>
            </w:r>
          </w:p>
          <w:p>
            <w:pPr>
              <w:spacing w:after="0" w:line="280"/>
            </w:pPr>
            <w:r>
              <w:rPr>
                <w:color w:val="222222"/>
                <w:sz w:val="21"/>
                <w:szCs w:val="21"/>
              </w:rPr>
              <w:t xml:space="preserve">Cualquier adición, modificación o eliminación de componentes de software, infraestructura, aplicaciones o componentes de TI en producción. El foco y alcance del proceso es siempre el ambiente de producción.</w:t>
            </w:r>
          </w:p>
        </w:tc>
      </w:tr>
    </w:tbl>
    <w:p>
      <w:pPr>
        <w:spacing w:after="160"/>
      </w:pPr>
    </w:p>
    <w:p>
      <w:pPr>
        <w:pStyle w:val="Heading2"/>
        <w:spacing w:after="120" w:before="300"/>
      </w:pPr>
      <w:r>
        <w:rPr>
          <w:b/>
          <w:bCs/>
          <w:color w:val="2E5395"/>
          <w:sz w:val="24"/>
          <w:szCs w:val="24"/>
        </w:rPr>
        <w:t xml:space="preserve">Afectación</w:t>
      </w:r>
    </w:p>
    <w:p>
      <w:pPr>
        <w:spacing w:after="160" w:line="300"/>
      </w:pPr>
      <w:r>
        <w:rPr>
          <w:color w:val="222222"/>
          <w:sz w:val="22"/>
          <w:szCs w:val="22"/>
        </w:rPr>
        <w:t xml:space="preserve">Es un concepto clave que determina el tipo de cambio a ejecutar: se refiere a la interrupción, degradación, lentitud o intermitencia en la disponibilidad de las aplicaciones o componentes de TI.</w:t>
      </w:r>
    </w:p>
    <w:p>
      <w:pPr>
        <w:pStyle w:val="Heading2"/>
        <w:spacing w:after="120" w:before="300"/>
      </w:pPr>
      <w:r>
        <w:rPr>
          <w:b/>
          <w:bCs/>
          <w:color w:val="2E5395"/>
          <w:sz w:val="24"/>
          <w:szCs w:val="24"/>
        </w:rPr>
        <w:t xml:space="preserve">Casos que NO son un cambio TI</w:t>
      </w:r>
    </w:p>
    <w:p>
      <w:pPr>
        <w:pStyle w:val="ListParagraph"/>
        <w:numPr>
          <w:ilvl w:val="0"/>
          <w:numId w:val="2"/>
        </w:numPr>
        <w:spacing w:after="90" w:line="280"/>
      </w:pPr>
      <w:r>
        <w:rPr>
          <w:color w:val="222222"/>
          <w:sz w:val="22"/>
          <w:szCs w:val="22"/>
        </w:rPr>
        <w:t xml:space="preserve">Accesos y permisos a aplicaciones (se gestionan como pedido por el catálogo de servicios en Hilix).</w:t>
      </w:r>
    </w:p>
    <w:p>
      <w:pPr>
        <w:pStyle w:val="ListParagraph"/>
        <w:numPr>
          <w:ilvl w:val="0"/>
          <w:numId w:val="2"/>
        </w:numPr>
        <w:spacing w:after="90" w:line="280"/>
      </w:pPr>
      <w:r>
        <w:rPr>
          <w:color w:val="222222"/>
          <w:sz w:val="22"/>
          <w:szCs w:val="22"/>
        </w:rPr>
        <w:t xml:space="preserve">Temas paramétricos y funcionales ya entregados al negocio (menús, configuraciones de usuario).</w:t>
      </w:r>
    </w:p>
    <w:p>
      <w:pPr>
        <w:pStyle w:val="ListParagraph"/>
        <w:numPr>
          <w:ilvl w:val="0"/>
          <w:numId w:val="2"/>
        </w:numPr>
        <w:spacing w:after="90" w:line="280"/>
      </w:pPr>
      <w:r>
        <w:rPr>
          <w:color w:val="222222"/>
          <w:sz w:val="22"/>
          <w:szCs w:val="22"/>
        </w:rPr>
        <w:t xml:space="preserve">Temas administrativos gestionados como órdenes de trabajo del catálogo de servicios.</w:t>
      </w:r>
    </w:p>
    <w:p>
      <w:pPr>
        <w:pageBreakBefore/>
      </w:pPr>
    </w:p>
    <w:p>
      <w:pPr>
        <w:pStyle w:val="Heading1"/>
        <w:pBdr>
          <w:bottom w:val="single" w:color="1F3864" w:sz="6" w:space="4"/>
        </w:pBdr>
        <w:spacing w:after="200" w:before="400"/>
      </w:pPr>
      <w:r>
        <w:rPr>
          <w:b/>
          <w:bCs/>
          <w:color w:val="1F3864"/>
          <w:sz w:val="30"/>
          <w:szCs w:val="30"/>
        </w:rPr>
        <w:t xml:space="preserve">3. Cambios automáticos vs. cambios manuales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50"/>
      </w:tblGrid>
      <w:tr>
        <w:trPr>
          <w:tblHeader/>
        </w:trPr>
        <w:tc>
          <w:tcPr>
            <w:tcW w:type="dxa" w:w="1700"/>
            <w:shd w:fill="1F3864" w:val="clear"/>
            <w:tcMar>
              <w:top w:type="dxa" w:w="100"/>
              <w:left w:type="dxa" w:w="120"/>
              <w:bottom w:type="dxa" w:w="100"/>
              <w:right w:type="dxa" w:w="120"/>
            </w:tcMar>
            <w:vAlign w:val="center"/>
          </w:tcPr>
          <w:p>
            <w:r>
              <w:rPr>
                <w:b/>
                <w:bCs/>
                <w:color w:val="FFFFFF"/>
                <w:sz w:val="20"/>
                <w:szCs w:val="20"/>
              </w:rPr>
              <w:t xml:space="preserve"/>
            </w:r>
          </w:p>
        </w:tc>
        <w:tc>
          <w:tcPr>
            <w:tcW w:type="dxa" w:w="3800"/>
            <w:shd w:fill="1F3864" w:val="clear"/>
            <w:tcMar>
              <w:top w:type="dxa" w:w="100"/>
              <w:left w:type="dxa" w:w="120"/>
              <w:bottom w:type="dxa" w:w="100"/>
              <w:right w:type="dxa" w:w="120"/>
            </w:tcMar>
            <w:vAlign w:val="center"/>
          </w:tcPr>
          <w:p>
            <w:r>
              <w:rPr>
                <w:b/>
                <w:bCs/>
                <w:color w:val="FFFFFF"/>
                <w:sz w:val="20"/>
                <w:szCs w:val="20"/>
              </w:rPr>
              <w:t xml:space="preserve">Cambios automáticos</w:t>
            </w:r>
          </w:p>
        </w:tc>
        <w:tc>
          <w:tcPr>
            <w:tcW w:type="dxa" w:w="3850"/>
            <w:shd w:fill="1F3864" w:val="clear"/>
            <w:tcMar>
              <w:top w:type="dxa" w:w="100"/>
              <w:left w:type="dxa" w:w="120"/>
              <w:bottom w:type="dxa" w:w="100"/>
              <w:right w:type="dxa" w:w="120"/>
            </w:tcMar>
            <w:vAlign w:val="center"/>
          </w:tcPr>
          <w:p>
            <w:r>
              <w:rPr>
                <w:b/>
                <w:bCs/>
                <w:color w:val="FFFFFF"/>
                <w:sz w:val="20"/>
                <w:szCs w:val="20"/>
              </w:rPr>
              <w:t xml:space="preserve">Cambios manuales</w:t>
            </w:r>
          </w:p>
        </w:tc>
      </w:tr>
      <w:tr>
        <w:tc>
          <w:tcPr>
            <w:tcW w:type="dxa" w:w="1700"/>
            <w:shd w:fill="F2F2F2" w:val="clear"/>
            <w:tcMar>
              <w:top w:type="dxa" w:w="90"/>
              <w:left w:type="dxa" w:w="120"/>
              <w:bottom w:type="dxa" w:w="90"/>
              <w:right w:type="dxa" w:w="120"/>
            </w:tcMar>
            <w:vAlign w:val="center"/>
          </w:tcPr>
          <w:p>
            <w:pPr>
              <w:spacing w:line="260"/>
            </w:pPr>
            <w:r>
              <w:rPr>
                <w:color w:val="222222"/>
                <w:sz w:val="20"/>
                <w:szCs w:val="20"/>
              </w:rPr>
              <w:t xml:space="preserve">¿Qué son?</w:t>
            </w:r>
          </w:p>
        </w:tc>
        <w:tc>
          <w:tcPr>
            <w:tcW w:type="dxa" w:w="3800"/>
            <w:shd w:fill="F2F2F2" w:val="clear"/>
            <w:tcMar>
              <w:top w:type="dxa" w:w="90"/>
              <w:left w:type="dxa" w:w="120"/>
              <w:bottom w:type="dxa" w:w="90"/>
              <w:right w:type="dxa" w:w="120"/>
            </w:tcMar>
            <w:vAlign w:val="center"/>
          </w:tcPr>
          <w:p>
            <w:pPr>
              <w:spacing w:line="260"/>
            </w:pPr>
            <w:r>
              <w:rPr>
                <w:color w:val="222222"/>
                <w:sz w:val="20"/>
                <w:szCs w:val="20"/>
              </w:rPr>
              <w:t xml:space="preserve">Despliegue y ejecución 100% automáticos, sin intervención humana.</w:t>
            </w:r>
          </w:p>
        </w:tc>
        <w:tc>
          <w:tcPr>
            <w:tcW w:type="dxa" w:w="3850"/>
            <w:shd w:fill="F2F2F2" w:val="clear"/>
            <w:tcMar>
              <w:top w:type="dxa" w:w="90"/>
              <w:left w:type="dxa" w:w="120"/>
              <w:bottom w:type="dxa" w:w="90"/>
              <w:right w:type="dxa" w:w="120"/>
            </w:tcMar>
            <w:vAlign w:val="center"/>
          </w:tcPr>
          <w:p>
            <w:pPr>
              <w:spacing w:line="260"/>
            </w:pPr>
            <w:r>
              <w:rPr>
                <w:color w:val="222222"/>
                <w:sz w:val="20"/>
                <w:szCs w:val="20"/>
              </w:rPr>
              <w:t xml:space="preserve">Se ejecutan y registran directamente dentro de Hilix (ITSM).</w:t>
            </w:r>
          </w:p>
        </w:tc>
      </w:tr>
      <w:tr>
        <w:tc>
          <w:tcPr>
            <w:tcW w:type="dxa" w:w="1700"/>
            <w:shd w:fill="FFFFFF" w:val="clear"/>
            <w:tcMar>
              <w:top w:type="dxa" w:w="90"/>
              <w:left w:type="dxa" w:w="120"/>
              <w:bottom w:type="dxa" w:w="90"/>
              <w:right w:type="dxa" w:w="120"/>
            </w:tcMar>
            <w:vAlign w:val="center"/>
          </w:tcPr>
          <w:p>
            <w:pPr>
              <w:spacing w:line="260"/>
            </w:pPr>
            <w:r>
              <w:rPr>
                <w:color w:val="222222"/>
                <w:sz w:val="20"/>
                <w:szCs w:val="20"/>
              </w:rPr>
              <w:t xml:space="preserve">¿A qué aplican?</w:t>
            </w:r>
          </w:p>
        </w:tc>
        <w:tc>
          <w:tcPr>
            <w:tcW w:type="dxa" w:w="3800"/>
            <w:shd w:fill="FFFFFF" w:val="clear"/>
            <w:tcMar>
              <w:top w:type="dxa" w:w="90"/>
              <w:left w:type="dxa" w:w="120"/>
              <w:bottom w:type="dxa" w:w="90"/>
              <w:right w:type="dxa" w:w="120"/>
            </w:tcMar>
            <w:vAlign w:val="center"/>
          </w:tcPr>
          <w:p>
            <w:pPr>
              <w:spacing w:line="260"/>
            </w:pPr>
            <w:r>
              <w:rPr>
                <w:color w:val="222222"/>
                <w:sz w:val="20"/>
                <w:szCs w:val="20"/>
              </w:rPr>
              <w:t xml:space="preserve">Software de negocio, vía el proceso Habilitar y Mantener Soluciones.</w:t>
            </w:r>
          </w:p>
        </w:tc>
        <w:tc>
          <w:tcPr>
            <w:tcW w:type="dxa" w:w="3850"/>
            <w:shd w:fill="FFFFFF" w:val="clear"/>
            <w:tcMar>
              <w:top w:type="dxa" w:w="90"/>
              <w:left w:type="dxa" w:w="120"/>
              <w:bottom w:type="dxa" w:w="90"/>
              <w:right w:type="dxa" w:w="120"/>
            </w:tcMar>
            <w:vAlign w:val="center"/>
          </w:tcPr>
          <w:p>
            <w:pPr>
              <w:spacing w:line="260"/>
            </w:pPr>
            <w:r>
              <w:rPr>
                <w:color w:val="222222"/>
                <w:sz w:val="20"/>
                <w:szCs w:val="20"/>
              </w:rPr>
              <w:t xml:space="preserve">Infraestructura on-premise u otras clases de aplicaciones que no son de software de negocio.</w:t>
            </w:r>
          </w:p>
        </w:tc>
      </w:tr>
      <w:tr>
        <w:tc>
          <w:tcPr>
            <w:tcW w:type="dxa" w:w="1700"/>
            <w:shd w:fill="F2F2F2" w:val="clear"/>
            <w:tcMar>
              <w:top w:type="dxa" w:w="90"/>
              <w:left w:type="dxa" w:w="120"/>
              <w:bottom w:type="dxa" w:w="90"/>
              <w:right w:type="dxa" w:w="120"/>
            </w:tcMar>
            <w:vAlign w:val="center"/>
          </w:tcPr>
          <w:p>
            <w:pPr>
              <w:spacing w:line="260"/>
            </w:pPr>
            <w:r>
              <w:rPr>
                <w:color w:val="222222"/>
                <w:sz w:val="20"/>
                <w:szCs w:val="20"/>
              </w:rPr>
              <w:t xml:space="preserve">Herramientas</w:t>
            </w:r>
          </w:p>
        </w:tc>
        <w:tc>
          <w:tcPr>
            <w:tcW w:type="dxa" w:w="3800"/>
            <w:shd w:fill="F2F2F2" w:val="clear"/>
            <w:tcMar>
              <w:top w:type="dxa" w:w="90"/>
              <w:left w:type="dxa" w:w="120"/>
              <w:bottom w:type="dxa" w:w="90"/>
              <w:right w:type="dxa" w:w="120"/>
            </w:tcMar>
            <w:vAlign w:val="center"/>
          </w:tcPr>
          <w:p>
            <w:pPr>
              <w:spacing w:line="260"/>
            </w:pPr>
            <w:r>
              <w:rPr>
                <w:color w:val="222222"/>
                <w:sz w:val="20"/>
                <w:szCs w:val="20"/>
              </w:rPr>
              <w:t xml:space="preserve">Azure DevOps y SolMan, integradas con Hilix (ITCM).</w:t>
            </w:r>
          </w:p>
        </w:tc>
        <w:tc>
          <w:tcPr>
            <w:tcW w:type="dxa" w:w="3850"/>
            <w:shd w:fill="F2F2F2" w:val="clear"/>
            <w:tcMar>
              <w:top w:type="dxa" w:w="90"/>
              <w:left w:type="dxa" w:w="120"/>
              <w:bottom w:type="dxa" w:w="90"/>
              <w:right w:type="dxa" w:w="120"/>
            </w:tcMar>
            <w:vAlign w:val="center"/>
          </w:tcPr>
          <w:p>
            <w:pPr>
              <w:spacing w:line="260"/>
            </w:pPr>
            <w:r>
              <w:rPr>
                <w:color w:val="222222"/>
                <w:sz w:val="20"/>
                <w:szCs w:val="20"/>
              </w:rPr>
              <w:t xml:space="preserve">Directamente en Hilix: actividades, tareas y cierre manuales.</w:t>
            </w:r>
          </w:p>
        </w:tc>
      </w:tr>
      <w:tr>
        <w:tc>
          <w:tcPr>
            <w:tcW w:type="dxa" w:w="1700"/>
            <w:shd w:fill="FFFFFF" w:val="clear"/>
            <w:tcMar>
              <w:top w:type="dxa" w:w="90"/>
              <w:left w:type="dxa" w:w="120"/>
              <w:bottom w:type="dxa" w:w="90"/>
              <w:right w:type="dxa" w:w="120"/>
            </w:tcMar>
            <w:vAlign w:val="center"/>
          </w:tcPr>
          <w:p>
            <w:pPr>
              <w:spacing w:line="260"/>
            </w:pPr>
            <w:r>
              <w:rPr>
                <w:color w:val="222222"/>
                <w:sz w:val="20"/>
                <w:szCs w:val="20"/>
              </w:rPr>
              <w:t xml:space="preserve">Creación y cierre</w:t>
            </w:r>
          </w:p>
        </w:tc>
        <w:tc>
          <w:tcPr>
            <w:tcW w:type="dxa" w:w="3800"/>
            <w:shd w:fill="FFFFFF" w:val="clear"/>
            <w:tcMar>
              <w:top w:type="dxa" w:w="90"/>
              <w:left w:type="dxa" w:w="120"/>
              <w:bottom w:type="dxa" w:w="90"/>
              <w:right w:type="dxa" w:w="120"/>
            </w:tcMar>
            <w:vAlign w:val="center"/>
          </w:tcPr>
          <w:p>
            <w:pPr>
              <w:spacing w:line="260"/>
            </w:pPr>
            <w:r>
              <w:rPr>
                <w:color w:val="222222"/>
                <w:sz w:val="20"/>
                <w:szCs w:val="20"/>
              </w:rPr>
              <w:t xml:space="preserve">Automáticos: se integran con Hilix y se cierran solos al terminar el pipeline.</w:t>
            </w:r>
          </w:p>
        </w:tc>
        <w:tc>
          <w:tcPr>
            <w:tcW w:type="dxa" w:w="3850"/>
            <w:shd w:fill="FFFFFF" w:val="clear"/>
            <w:tcMar>
              <w:top w:type="dxa" w:w="90"/>
              <w:left w:type="dxa" w:w="120"/>
              <w:bottom w:type="dxa" w:w="90"/>
              <w:right w:type="dxa" w:w="120"/>
            </w:tcMar>
            <w:vAlign w:val="center"/>
          </w:tcPr>
          <w:p>
            <w:pPr>
              <w:spacing w:line="260"/>
            </w:pPr>
            <w:r>
              <w:rPr>
                <w:color w:val="222222"/>
                <w:sz w:val="20"/>
                <w:szCs w:val="20"/>
              </w:rPr>
              <w:t xml:space="preserve">Manuales: alguien debe cambiar el estado a "cerrado" explícitamente.</w:t>
            </w:r>
          </w:p>
        </w:tc>
      </w:tr>
      <w:tr>
        <w:tc>
          <w:tcPr>
            <w:tcW w:type="dxa" w:w="1700"/>
            <w:shd w:fill="F2F2F2" w:val="clear"/>
            <w:tcMar>
              <w:top w:type="dxa" w:w="90"/>
              <w:left w:type="dxa" w:w="120"/>
              <w:bottom w:type="dxa" w:w="90"/>
              <w:right w:type="dxa" w:w="120"/>
            </w:tcMar>
            <w:vAlign w:val="center"/>
          </w:tcPr>
          <w:p>
            <w:pPr>
              <w:spacing w:line="260"/>
            </w:pPr>
            <w:r>
              <w:rPr>
                <w:color w:val="222222"/>
                <w:sz w:val="20"/>
                <w:szCs w:val="20"/>
              </w:rPr>
              <w:t xml:space="preserve">Regla de oro</w:t>
            </w:r>
          </w:p>
        </w:tc>
        <w:tc>
          <w:tcPr>
            <w:tcW w:type="dxa" w:w="3800"/>
            <w:shd w:fill="F2F2F2" w:val="clear"/>
            <w:tcMar>
              <w:top w:type="dxa" w:w="90"/>
              <w:left w:type="dxa" w:w="120"/>
              <w:bottom w:type="dxa" w:w="90"/>
              <w:right w:type="dxa" w:w="120"/>
            </w:tcMar>
            <w:vAlign w:val="center"/>
          </w:tcPr>
          <w:p>
            <w:pPr>
              <w:spacing w:line="260"/>
            </w:pPr>
            <w:r>
              <w:rPr>
                <w:color w:val="222222"/>
                <w:sz w:val="20"/>
                <w:szCs w:val="20"/>
              </w:rPr>
              <w:t xml:space="preserve">NUNCA se deben modificar manualmente en Hilix.</w:t>
            </w:r>
          </w:p>
        </w:tc>
        <w:tc>
          <w:tcPr>
            <w:tcW w:type="dxa" w:w="3850"/>
            <w:shd w:fill="F2F2F2" w:val="clear"/>
            <w:tcMar>
              <w:top w:type="dxa" w:w="90"/>
              <w:left w:type="dxa" w:w="120"/>
              <w:bottom w:type="dxa" w:w="90"/>
              <w:right w:type="dxa" w:w="120"/>
            </w:tcMar>
            <w:vAlign w:val="center"/>
          </w:tcPr>
          <w:p>
            <w:pPr>
              <w:spacing w:line="260"/>
            </w:pPr>
            <w:r>
              <w:rPr>
                <w:color w:val="222222"/>
                <w:sz w:val="20"/>
                <w:szCs w:val="20"/>
              </w:rPr>
              <w:t xml:space="preserve">SIEMPRE se deben cerrar manualmente — no dejarlos en estado "terminado".</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Dato de volumen</w:t>
            </w:r>
          </w:p>
          <w:p>
            <w:pPr>
              <w:spacing w:after="0" w:line="280"/>
            </w:pPr>
            <w:r>
              <w:rPr>
                <w:color w:val="222222"/>
                <w:sz w:val="21"/>
                <w:szCs w:val="21"/>
              </w:rPr>
              <w:t xml:space="preserve">El proceso genera entre 5,000 y 6,000 cambios mensuales de todos los tipos. Aproximadamente el 52-53% son cambios automáticos (software de negocio). El objetivo es reducir la brecha manual, automatizando cada vez más despliegues.</w:t>
            </w:r>
          </w:p>
        </w:tc>
      </w:tr>
    </w:tbl>
    <w:p>
      <w:pPr>
        <w:pageBreakBefore/>
      </w:pPr>
    </w:p>
    <w:p>
      <w:pPr>
        <w:pStyle w:val="Heading1"/>
        <w:pBdr>
          <w:bottom w:val="single" w:color="1F3864" w:sz="6" w:space="4"/>
        </w:pBdr>
        <w:spacing w:after="200" w:before="400"/>
      </w:pPr>
      <w:r>
        <w:rPr>
          <w:b/>
          <w:bCs/>
          <w:color w:val="1F3864"/>
          <w:sz w:val="30"/>
          <w:szCs w:val="30"/>
        </w:rPr>
        <w:t xml:space="preserve">4. Tipos de cambio: ágil, estándar, programado y emergencia</w:t>
      </w:r>
    </w:p>
    <w:p>
      <w:pPr>
        <w:pStyle w:val="Heading2"/>
        <w:spacing w:after="120" w:before="300"/>
      </w:pPr>
      <w:r>
        <w:rPr>
          <w:b/>
          <w:bCs/>
          <w:color w:val="2E5395"/>
          <w:sz w:val="24"/>
          <w:szCs w:val="24"/>
        </w:rPr>
        <w:t xml:space="preserve">Cambios manuales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3864" w:val="clear"/>
            <w:tcMar>
              <w:top w:type="dxa" w:w="100"/>
              <w:left w:type="dxa" w:w="120"/>
              <w:bottom w:type="dxa" w:w="100"/>
              <w:right w:type="dxa" w:w="120"/>
            </w:tcMar>
            <w:vAlign w:val="center"/>
          </w:tcPr>
          <w:p>
            <w:r>
              <w:rPr>
                <w:b/>
                <w:bCs/>
                <w:color w:val="FFFFFF"/>
                <w:sz w:val="20"/>
                <w:szCs w:val="20"/>
              </w:rPr>
              <w:t xml:space="preserve">Tipo</w:t>
            </w:r>
          </w:p>
        </w:tc>
        <w:tc>
          <w:tcPr>
            <w:tcW w:type="dxa" w:w="7550"/>
            <w:shd w:fill="1F3864" w:val="clear"/>
            <w:tcMar>
              <w:top w:type="dxa" w:w="100"/>
              <w:left w:type="dxa" w:w="120"/>
              <w:bottom w:type="dxa" w:w="100"/>
              <w:right w:type="dxa" w:w="120"/>
            </w:tcMar>
            <w:vAlign w:val="center"/>
          </w:tcPr>
          <w:p>
            <w:r>
              <w:rPr>
                <w:b/>
                <w:bCs/>
                <w:color w:val="FFFFFF"/>
                <w:sz w:val="20"/>
                <w:szCs w:val="20"/>
              </w:rPr>
              <w:t xml:space="preserve">Características</w:t>
            </w:r>
          </w:p>
        </w:tc>
      </w:tr>
      <w:tr>
        <w:tc>
          <w:tcPr>
            <w:tcW w:type="dxa" w:w="1800"/>
            <w:shd w:fill="F2F2F2" w:val="clear"/>
            <w:tcMar>
              <w:top w:type="dxa" w:w="90"/>
              <w:left w:type="dxa" w:w="120"/>
              <w:bottom w:type="dxa" w:w="90"/>
              <w:right w:type="dxa" w:w="120"/>
            </w:tcMar>
            <w:vAlign w:val="center"/>
          </w:tcPr>
          <w:p>
            <w:pPr>
              <w:spacing w:line="260"/>
            </w:pPr>
            <w:r>
              <w:rPr>
                <w:color w:val="222222"/>
                <w:sz w:val="20"/>
                <w:szCs w:val="20"/>
              </w:rPr>
              <w:t xml:space="preserve">Ágil</w:t>
            </w:r>
          </w:p>
        </w:tc>
        <w:tc>
          <w:tcPr>
            <w:tcW w:type="dxa" w:w="7550"/>
            <w:shd w:fill="F2F2F2" w:val="clear"/>
            <w:tcMar>
              <w:top w:type="dxa" w:w="90"/>
              <w:left w:type="dxa" w:w="120"/>
              <w:bottom w:type="dxa" w:w="90"/>
              <w:right w:type="dxa" w:w="120"/>
            </w:tcMar>
            <w:vAlign w:val="center"/>
          </w:tcPr>
          <w:p>
            <w:pPr>
              <w:spacing w:line="260"/>
            </w:pPr>
            <w:r>
              <w:rPr>
                <w:color w:val="222222"/>
                <w:sz w:val="20"/>
                <w:szCs w:val="20"/>
              </w:rPr>
              <w:t xml:space="preserve">No genera afectación. Se ejecuta a demanda, sin planificación ni coordinación con otros equipos. Requiere encuesta de riesgos obligatoria. Ejecución y cierre manuales.</w:t>
            </w:r>
          </w:p>
        </w:tc>
      </w:tr>
      <w:tr>
        <w:tc>
          <w:tcPr>
            <w:tcW w:type="dxa" w:w="1800"/>
            <w:shd w:fill="FFFFFF" w:val="clear"/>
            <w:tcMar>
              <w:top w:type="dxa" w:w="90"/>
              <w:left w:type="dxa" w:w="120"/>
              <w:bottom w:type="dxa" w:w="90"/>
              <w:right w:type="dxa" w:w="120"/>
            </w:tcMar>
            <w:vAlign w:val="center"/>
          </w:tcPr>
          <w:p>
            <w:pPr>
              <w:spacing w:line="260"/>
            </w:pPr>
            <w:r>
              <w:rPr>
                <w:color w:val="222222"/>
                <w:sz w:val="20"/>
                <w:szCs w:val="20"/>
              </w:rPr>
              <w:t xml:space="preserve">Estándar</w:t>
            </w:r>
          </w:p>
        </w:tc>
        <w:tc>
          <w:tcPr>
            <w:tcW w:type="dxa" w:w="7550"/>
            <w:shd w:fill="FFFFFF" w:val="clear"/>
            <w:tcMar>
              <w:top w:type="dxa" w:w="90"/>
              <w:left w:type="dxa" w:w="120"/>
              <w:bottom w:type="dxa" w:w="90"/>
              <w:right w:type="dxa" w:w="120"/>
            </w:tcMar>
            <w:vAlign w:val="center"/>
          </w:tcPr>
          <w:p>
            <w:pPr>
              <w:spacing w:line="260"/>
            </w:pPr>
            <w:r>
              <w:rPr>
                <w:color w:val="222222"/>
                <w:sz w:val="20"/>
                <w:szCs w:val="20"/>
              </w:rPr>
              <w:t xml:space="preserve">Plantillas de plataformas on-premise para tareas administrativas/aprovisionamiento ya certificadas como libres de indisponibilidad. NO requiere encuesta de riesgos — es el único tipo exento.</w:t>
            </w:r>
          </w:p>
        </w:tc>
      </w:tr>
      <w:tr>
        <w:tc>
          <w:tcPr>
            <w:tcW w:type="dxa" w:w="1800"/>
            <w:shd w:fill="F2F2F2" w:val="clear"/>
            <w:tcMar>
              <w:top w:type="dxa" w:w="90"/>
              <w:left w:type="dxa" w:w="120"/>
              <w:bottom w:type="dxa" w:w="90"/>
              <w:right w:type="dxa" w:w="120"/>
            </w:tcMar>
            <w:vAlign w:val="center"/>
          </w:tcPr>
          <w:p>
            <w:pPr>
              <w:spacing w:line="260"/>
            </w:pPr>
            <w:r>
              <w:rPr>
                <w:color w:val="222222"/>
                <w:sz w:val="20"/>
                <w:szCs w:val="20"/>
              </w:rPr>
              <w:t xml:space="preserve">Programado</w:t>
            </w:r>
          </w:p>
        </w:tc>
        <w:tc>
          <w:tcPr>
            <w:tcW w:type="dxa" w:w="7550"/>
            <w:shd w:fill="F2F2F2" w:val="clear"/>
            <w:tcMar>
              <w:top w:type="dxa" w:w="90"/>
              <w:left w:type="dxa" w:w="120"/>
              <w:bottom w:type="dxa" w:w="90"/>
              <w:right w:type="dxa" w:w="120"/>
            </w:tcMar>
            <w:vAlign w:val="center"/>
          </w:tcPr>
          <w:p>
            <w:pPr>
              <w:spacing w:line="260"/>
            </w:pPr>
            <w:r>
              <w:rPr>
                <w:color w:val="222222"/>
                <w:sz w:val="20"/>
                <w:szCs w:val="20"/>
              </w:rPr>
              <w:t xml:space="preserve">Va al Consejo de Cambios. Tiene posibilidad de generar afectación; requiere fecha determinada, coordinación con otros equipos y encuesta de riesgo obligatoria.</w:t>
            </w:r>
          </w:p>
        </w:tc>
      </w:tr>
      <w:tr>
        <w:tc>
          <w:tcPr>
            <w:tcW w:type="dxa" w:w="1800"/>
            <w:shd w:fill="FFFFFF" w:val="clear"/>
            <w:tcMar>
              <w:top w:type="dxa" w:w="90"/>
              <w:left w:type="dxa" w:w="120"/>
              <w:bottom w:type="dxa" w:w="90"/>
              <w:right w:type="dxa" w:w="120"/>
            </w:tcMar>
            <w:vAlign w:val="center"/>
          </w:tcPr>
          <w:p>
            <w:pPr>
              <w:spacing w:line="260"/>
            </w:pPr>
            <w:r>
              <w:rPr>
                <w:color w:val="222222"/>
                <w:sz w:val="20"/>
                <w:szCs w:val="20"/>
              </w:rPr>
              <w:t xml:space="preserve">Emergencia</w:t>
            </w:r>
          </w:p>
        </w:tc>
        <w:tc>
          <w:tcPr>
            <w:tcW w:type="dxa" w:w="7550"/>
            <w:shd w:fill="FFFFFF" w:val="clear"/>
            <w:tcMar>
              <w:top w:type="dxa" w:w="90"/>
              <w:left w:type="dxa" w:w="120"/>
              <w:bottom w:type="dxa" w:w="90"/>
              <w:right w:type="dxa" w:w="120"/>
            </w:tcMar>
            <w:vAlign w:val="center"/>
          </w:tcPr>
          <w:p>
            <w:pPr>
              <w:spacing w:line="260"/>
            </w:pPr>
            <w:r>
              <w:rPr>
                <w:color w:val="222222"/>
                <w:sz w:val="20"/>
                <w:szCs w:val="20"/>
              </w:rPr>
              <w:t xml:space="preserve">Resuelve un incidente, evento o riesgo inminente de afectación. Ejecución inmediata, a veces sin planificación previa. Es el único tipo que se puede ejecutar y legalizar después. Requiere coordinación con la GIOTI.</w:t>
            </w:r>
          </w:p>
        </w:tc>
      </w:tr>
    </w:tbl>
    <w:p>
      <w:pPr>
        <w:spacing w:after="200"/>
      </w:pPr>
    </w:p>
    <w:p>
      <w:pPr>
        <w:pStyle w:val="Heading2"/>
        <w:spacing w:after="120" w:before="300"/>
      </w:pPr>
      <w:r>
        <w:rPr>
          <w:b/>
          <w:bCs/>
          <w:color w:val="2E5395"/>
          <w:sz w:val="24"/>
          <w:szCs w:val="24"/>
        </w:rPr>
        <w:t xml:space="preserve">Cambios automáticos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Tipo</w:t>
            </w:r>
          </w:p>
        </w:tc>
        <w:tc>
          <w:tcPr>
            <w:tcW w:type="dxa" w:w="6950"/>
            <w:shd w:fill="1F3864" w:val="clear"/>
            <w:tcMar>
              <w:top w:type="dxa" w:w="100"/>
              <w:left w:type="dxa" w:w="120"/>
              <w:bottom w:type="dxa" w:w="100"/>
              <w:right w:type="dxa" w:w="120"/>
            </w:tcMar>
            <w:vAlign w:val="center"/>
          </w:tcPr>
          <w:p>
            <w:r>
              <w:rPr>
                <w:b/>
                <w:bCs/>
                <w:color w:val="FFFFFF"/>
                <w:sz w:val="20"/>
                <w:szCs w:val="20"/>
              </w:rPr>
              <w:t xml:space="preserve">Características</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Ágil automático</w:t>
            </w:r>
          </w:p>
        </w:tc>
        <w:tc>
          <w:tcPr>
            <w:tcW w:type="dxa" w:w="6950"/>
            <w:shd w:fill="F2F2F2" w:val="clear"/>
            <w:tcMar>
              <w:top w:type="dxa" w:w="90"/>
              <w:left w:type="dxa" w:w="120"/>
              <w:bottom w:type="dxa" w:w="90"/>
              <w:right w:type="dxa" w:w="120"/>
            </w:tcMar>
            <w:vAlign w:val="center"/>
          </w:tcPr>
          <w:p>
            <w:pPr>
              <w:spacing w:line="260"/>
            </w:pPr>
            <w:r>
              <w:rPr>
                <w:color w:val="222222"/>
                <w:sz w:val="20"/>
                <w:szCs w:val="20"/>
              </w:rPr>
              <w:t xml:space="preserve">El componente evaluado (vía metodología de Riesgo Operacional) da riesgo bajo o medio. A demanda, sin planificación ni coordinación. Encuesta de riesgo se diligencia desde Habilitar y Mantener Soluciones. Cierre automático.</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Programado automático</w:t>
            </w:r>
          </w:p>
        </w:tc>
        <w:tc>
          <w:tcPr>
            <w:tcW w:type="dxa" w:w="6950"/>
            <w:shd w:fill="FFFFFF" w:val="clear"/>
            <w:tcMar>
              <w:top w:type="dxa" w:w="90"/>
              <w:left w:type="dxa" w:w="120"/>
              <w:bottom w:type="dxa" w:w="90"/>
              <w:right w:type="dxa" w:w="120"/>
            </w:tcMar>
            <w:vAlign w:val="center"/>
          </w:tcPr>
          <w:p>
            <w:pPr>
              <w:spacing w:line="260"/>
            </w:pPr>
            <w:r>
              <w:rPr>
                <w:color w:val="222222"/>
                <w:sz w:val="20"/>
                <w:szCs w:val="20"/>
              </w:rPr>
              <w:t xml:space="preserve">El componente da riesgo alto — va al Consejo, requiere fecha programada y coordinación. Ejecución y cierre automáticos.</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Emergencia automático</w:t>
            </w:r>
          </w:p>
        </w:tc>
        <w:tc>
          <w:tcPr>
            <w:tcW w:type="dxa" w:w="6950"/>
            <w:shd w:fill="F2F2F2" w:val="clear"/>
            <w:tcMar>
              <w:top w:type="dxa" w:w="90"/>
              <w:left w:type="dxa" w:w="120"/>
              <w:bottom w:type="dxa" w:w="90"/>
              <w:right w:type="dxa" w:w="120"/>
            </w:tcMar>
            <w:vAlign w:val="center"/>
          </w:tcPr>
          <w:p>
            <w:pPr>
              <w:spacing w:line="260"/>
            </w:pPr>
            <w:r>
              <w:rPr>
                <w:color w:val="222222"/>
                <w:sz w:val="20"/>
                <w:szCs w:val="20"/>
              </w:rPr>
              <w:t xml:space="preserve">Riesgo alto, ejecución inmediata para resolver incidente o riesgo inminente. Coordinación con GIOTI/CoES.</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Cambio de metodología (desde 2024)</w:t>
            </w:r>
          </w:p>
          <w:p>
            <w:pPr>
              <w:spacing w:after="0" w:line="280"/>
            </w:pPr>
            <w:r>
              <w:rPr>
                <w:color w:val="222222"/>
                <w:sz w:val="21"/>
                <w:szCs w:val="21"/>
              </w:rPr>
              <w:t xml:space="preserve">La encuesta de riesgo de los cambios automáticos ya no se responde manualmente por el equipo: está atada a la metodología de Riesgo Operacional, evaluando el componente (si es VIA, SOX, canal, transacción, malla) desde que se prueba la solución. El resultado determina si el cambio es ágil, programado o de emergencia.</w:t>
            </w:r>
          </w:p>
        </w:tc>
      </w:tr>
    </w:tbl>
    <w:p>
      <w:pPr>
        <w:pageBreakBefore/>
      </w:pPr>
    </w:p>
    <w:p>
      <w:pPr>
        <w:pStyle w:val="Heading1"/>
        <w:pBdr>
          <w:bottom w:val="single" w:color="1F3864" w:sz="6" w:space="4"/>
        </w:pBdr>
        <w:spacing w:after="200" w:before="400"/>
      </w:pPr>
      <w:r>
        <w:rPr>
          <w:b/>
          <w:bCs/>
          <w:color w:val="1F3864"/>
          <w:sz w:val="30"/>
          <w:szCs w:val="30"/>
        </w:rPr>
        <w:t xml:space="preserve">5. El modelo de plataformas (transición a la automatización)</w:t>
      </w:r>
    </w:p>
    <w:p>
      <w:pPr>
        <w:spacing w:after="160" w:line="300"/>
      </w:pPr>
      <w:r>
        <w:rPr>
          <w:color w:val="222222"/>
          <w:sz w:val="22"/>
          <w:szCs w:val="22"/>
        </w:rPr>
        <w:t xml:space="preserve">Muchas automatizaciones de infraestructura (pipelines de infraestructura, de build, operativos) todavía no están integradas para crear cambios automáticos en Hilix. Ya hay casos de éxito, como Bull Solver (parchado de servidores en nube y on-premise), que crea y cierra cambios automáticamente.</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Regla mientras se completa la automatización</w:t>
            </w:r>
          </w:p>
          <w:p>
            <w:pPr>
              <w:spacing w:after="0" w:line="280"/>
            </w:pPr>
            <w:r>
              <w:rPr>
                <w:color w:val="222222"/>
                <w:sz w:val="21"/>
                <w:szCs w:val="21"/>
              </w:rPr>
              <w:t xml:space="preserve">Si un equipo identifica riesgo de indisponibilidad al ejecutar un pipeline o automatización que aún no crea cambios automáticos, debe crear un cambio MANUAL y presentarse al Consejo de Cambios. Si la indisponibilidad de cara al cliente es mayor a 30 minutos, se debe activar la Circular 028 con 15 días de anticipación, asistir presencialmente y anexar en la descripción los pipelines/automatizaciones ejecutados.</w:t>
            </w:r>
          </w:p>
        </w:tc>
      </w:tr>
    </w:tbl>
    <w:p>
      <w:pPr>
        <w:pageBreakBefore/>
      </w:pPr>
    </w:p>
    <w:p>
      <w:pPr>
        <w:pStyle w:val="Heading1"/>
        <w:pBdr>
          <w:bottom w:val="single" w:color="1F3864" w:sz="6" w:space="4"/>
        </w:pBdr>
        <w:spacing w:after="200" w:before="400"/>
      </w:pPr>
      <w:r>
        <w:rPr>
          <w:b/>
          <w:bCs/>
          <w:color w:val="1F3864"/>
          <w:sz w:val="30"/>
          <w:szCs w:val="30"/>
        </w:rPr>
        <w:t xml:space="preserve">6. Lineamiento clave: la Circular 028</w:t>
      </w:r>
    </w:p>
    <w:p>
      <w:pPr>
        <w:spacing w:after="160" w:line="300"/>
      </w:pPr>
      <w:r>
        <w:rPr>
          <w:color w:val="222222"/>
          <w:sz w:val="22"/>
          <w:szCs w:val="22"/>
        </w:rPr>
        <w:t xml:space="preserve">No es un lineamiento del proceso de cambios, sino una norma emitida por la Superintendencia Financiera de Colombia que rige a todo el Banco — y se hace cumplir a través del proceso de cambios.</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¿Qué exige la Circular 028?</w:t>
            </w:r>
          </w:p>
          <w:p>
            <w:pPr>
              <w:spacing w:after="0" w:line="280"/>
            </w:pPr>
            <w:r>
              <w:rPr>
                <w:color w:val="222222"/>
                <w:sz w:val="21"/>
                <w:szCs w:val="21"/>
              </w:rPr>
              <w:t xml:space="preserve">Si un servicio de cara al cliente (canales virtuales, telefónico, sucursales físicas) va a tener una indisponibilidad de 30 minutos o más, se debe comunicar a los clientes por los canales afectados con 8 días calendario de anticipación como mínimo.</w:t>
            </w:r>
          </w:p>
        </w:tc>
      </w:tr>
    </w:tbl>
    <w:p>
      <w:pPr>
        <w:spacing w:after="160"/>
      </w:pPr>
    </w:p>
    <w:p>
      <w:pPr>
        <w:spacing w:after="160" w:line="300"/>
      </w:pPr>
      <w:r>
        <w:rPr>
          <w:color w:val="222222"/>
          <w:sz w:val="22"/>
          <w:szCs w:val="22"/>
        </w:rPr>
        <w:t xml:space="preserve">Esta es la razón detrás de los banners de mantenimiento que se ven en los canales del Banco: corresponden a cambios programados que activaron la Circular 028 y pasaron por el Consejo con 15 días de anticipación (para coordinar con Experiencia del Cliente y validar conflictos con otros cambios que también la activaron).</w:t>
      </w:r>
    </w:p>
    <w:tbl>
      <w:tblPr>
        <w:tblW w:type="pct" w:w="100%"/>
        <w:tblBorders>
          <w:top w:val="single" w:color="C55A11" w:sz="4"/>
          <w:left w:val="single" w:color="C55A11" w:sz="24"/>
          <w:bottom w:val="single" w:color="C55A11" w:sz="4"/>
          <w:right w:val="single" w:color="C55A11" w:sz="4"/>
          <w:insideH w:val="single" w:color="auto" w:sz="4"/>
          <w:insideV w:val="single" w:color="auto" w:sz="4"/>
        </w:tblBorders>
      </w:tblPr>
      <w:tblGrid>
        <w:gridCol w:w="100"/>
      </w:tblGrid>
      <w:tr>
        <w:tc>
          <w:tcPr>
            <w:shd w:fill="FCE4D6" w:val="clear"/>
            <w:tcMar>
              <w:top w:type="dxa" w:w="150"/>
              <w:left w:type="dxa" w:w="200"/>
              <w:bottom w:type="dxa" w:w="150"/>
              <w:right w:type="dxa" w:w="200"/>
            </w:tcMar>
          </w:tcPr>
          <w:p>
            <w:pPr>
              <w:spacing w:after="60"/>
            </w:pPr>
            <w:r>
              <w:rPr>
                <w:b/>
                <w:bCs/>
                <w:color w:val="1F3864"/>
                <w:sz w:val="21"/>
                <w:szCs w:val="21"/>
              </w:rPr>
              <w:t xml:space="preserve">⚠️ Riesgo de incumplimiento</w:t>
            </w:r>
          </w:p>
          <w:p>
            <w:pPr>
              <w:spacing w:after="0" w:line="280"/>
            </w:pPr>
            <w:r>
              <w:rPr>
                <w:color w:val="222222"/>
                <w:sz w:val="21"/>
                <w:szCs w:val="21"/>
              </w:rPr>
              <w:t xml:space="preserve">Si no se cumple esta circular, hay sanciones económicas significativas para el Banco. La Superintendencia monitorea constantemente y realiza revisiones ante cualquier indisponibilidad. La pregunta clave en la encuesta de riesgos ("¿vas a generar indisponibilidad de servicios de cara al cliente por más de 30 minutos?") es la que activa este lineamiento — tanto en cambios manuales como automáticos.</w:t>
            </w:r>
          </w:p>
        </w:tc>
      </w:tr>
    </w:tbl>
    <w:p>
      <w:pPr>
        <w:pageBreakBefore/>
      </w:pPr>
    </w:p>
    <w:p>
      <w:pPr>
        <w:pStyle w:val="Heading1"/>
        <w:pBdr>
          <w:bottom w:val="single" w:color="1F3864" w:sz="6" w:space="4"/>
        </w:pBdr>
        <w:spacing w:after="200" w:before="400"/>
      </w:pPr>
      <w:r>
        <w:rPr>
          <w:b/>
          <w:bCs/>
          <w:color w:val="1F3864"/>
          <w:sz w:val="30"/>
          <w:szCs w:val="30"/>
        </w:rPr>
        <w:t xml:space="preserve">7. Fechas de restricción</w:t>
      </w:r>
    </w:p>
    <w:p>
      <w:pPr>
        <w:spacing w:after="160" w:line="300"/>
      </w:pPr>
      <w:r>
        <w:rPr>
          <w:color w:val="222222"/>
          <w:sz w:val="22"/>
          <w:szCs w:val="22"/>
        </w:rPr>
        <w:t xml:space="preserve">Se establecen para proteger la disponibilidad de los servicios en fechas de alta transaccionalidad o durante ejercicios críticos.</w:t>
      </w:r>
    </w:p>
    <w:p>
      <w:pPr>
        <w:pStyle w:val="Heading2"/>
        <w:spacing w:after="120" w:before="300"/>
      </w:pPr>
      <w:r>
        <w:rPr>
          <w:b/>
          <w:bCs/>
          <w:color w:val="2E5395"/>
          <w:sz w:val="24"/>
          <w:szCs w:val="24"/>
        </w:rPr>
        <w:t xml:space="preserve">¿Cuáles son las fechas típicas?</w:t>
      </w:r>
    </w:p>
    <w:p>
      <w:pPr>
        <w:pStyle w:val="ListParagraph"/>
        <w:numPr>
          <w:ilvl w:val="0"/>
          <w:numId w:val="2"/>
        </w:numPr>
        <w:spacing w:after="90" w:line="280"/>
      </w:pPr>
      <w:r>
        <w:rPr>
          <w:color w:val="222222"/>
          <w:sz w:val="22"/>
          <w:szCs w:val="22"/>
        </w:rPr>
        <w:t xml:space="preserve">Quincenas: se restringe un día hábil antes, el día de la quincena y un día hábil después (regla general).</w:t>
      </w:r>
    </w:p>
    <w:p>
      <w:pPr>
        <w:pStyle w:val="ListParagraph"/>
        <w:numPr>
          <w:ilvl w:val="0"/>
          <w:numId w:val="2"/>
        </w:numPr>
        <w:spacing w:after="90" w:line="280"/>
      </w:pPr>
      <w:r>
        <w:rPr>
          <w:color w:val="222222"/>
          <w:sz w:val="22"/>
          <w:szCs w:val="22"/>
        </w:rPr>
        <w:t xml:space="preserve">DRP / ejercicios de continuidad (temas de la SIE).</w:t>
      </w:r>
    </w:p>
    <w:p>
      <w:pPr>
        <w:pStyle w:val="ListParagraph"/>
        <w:numPr>
          <w:ilvl w:val="0"/>
          <w:numId w:val="2"/>
        </w:numPr>
        <w:spacing w:after="90" w:line="280"/>
      </w:pPr>
      <w:r>
        <w:rPr>
          <w:color w:val="222222"/>
          <w:sz w:val="22"/>
          <w:szCs w:val="22"/>
        </w:rPr>
        <w:t xml:space="preserve">Procesos de malla: cierres de aplicaciones y cierres contables — no se pueden frenar.</w:t>
      </w:r>
    </w:p>
    <w:p>
      <w:pPr>
        <w:pStyle w:val="ListParagraph"/>
        <w:numPr>
          <w:ilvl w:val="0"/>
          <w:numId w:val="2"/>
        </w:numPr>
        <w:spacing w:after="90" w:line="280"/>
      </w:pPr>
      <w:r>
        <w:rPr>
          <w:color w:val="222222"/>
          <w:sz w:val="22"/>
          <w:szCs w:val="22"/>
        </w:rPr>
        <w:t xml:space="preserve">Cambios de aliados: notificaciones informativas de terceros (ej. ACH, Redeban) sobre mantenimientos en su propia infraestructura, que igual pasan por el Consejo si generan indisponibilidad.</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Regla general</w:t>
            </w:r>
          </w:p>
          <w:p>
            <w:pPr>
              <w:spacing w:after="0" w:line="280"/>
            </w:pPr>
            <w:r>
              <w:rPr>
                <w:color w:val="222222"/>
                <w:sz w:val="21"/>
                <w:szCs w:val="21"/>
              </w:rPr>
              <w:t xml:space="preserve">No se deben ejecutar cambios en fechas de restricción, salvo que sea absolutamente necesario (legal, urgente, o para restablecer el servicio), y con la aprobación del Director o Líder de Entorno (el cargo más alto del equipo). Aplica a cambios ágiles y programados. Los cambios estándar y de malla NO requieren esta aprobación adicional; los cambios de aliado tampoco.</w:t>
            </w:r>
          </w:p>
        </w:tc>
      </w:tr>
    </w:tbl>
    <w:p>
      <w:pPr>
        <w:pageBreakBefore/>
      </w:pPr>
    </w:p>
    <w:p>
      <w:pPr>
        <w:pStyle w:val="Heading1"/>
        <w:pBdr>
          <w:bottom w:val="single" w:color="1F3864" w:sz="6" w:space="4"/>
        </w:pBdr>
        <w:spacing w:after="200" w:before="400"/>
      </w:pPr>
      <w:r>
        <w:rPr>
          <w:b/>
          <w:bCs/>
          <w:color w:val="1F3864"/>
          <w:sz w:val="30"/>
          <w:szCs w:val="30"/>
        </w:rPr>
        <w:t xml:space="preserve">8. El Consejo de Cambios</w:t>
      </w:r>
    </w:p>
    <w:p>
      <w:pPr>
        <w:spacing w:after="160" w:line="300"/>
      </w:pPr>
      <w:r>
        <w:rPr>
          <w:color w:val="222222"/>
          <w:sz w:val="22"/>
          <w:szCs w:val="22"/>
        </w:rPr>
        <w:t xml:space="preserve">Es la instancia donde se presentan y aprueban los cambios programados (los que tienen riesgo alto o nivel 3+).</w:t>
      </w:r>
    </w:p>
    <w:p>
      <w:pPr>
        <w:pStyle w:val="Heading2"/>
        <w:spacing w:after="120" w:before="300"/>
      </w:pPr>
      <w:r>
        <w:rPr>
          <w:b/>
          <w:bCs/>
          <w:color w:val="2E5395"/>
          <w:sz w:val="24"/>
          <w:szCs w:val="24"/>
        </w:rPr>
        <w:t xml:space="preserve">Cronograma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Día</w:t>
            </w:r>
          </w:p>
        </w:tc>
        <w:tc>
          <w:tcPr>
            <w:tcW w:type="dxa" w:w="6750"/>
            <w:shd w:fill="1F3864" w:val="clear"/>
            <w:tcMar>
              <w:top w:type="dxa" w:w="100"/>
              <w:left w:type="dxa" w:w="120"/>
              <w:bottom w:type="dxa" w:w="100"/>
              <w:right w:type="dxa" w:w="120"/>
            </w:tcMar>
            <w:vAlign w:val="center"/>
          </w:tcPr>
          <w:p>
            <w:r>
              <w:rPr>
                <w:b/>
                <w:bCs/>
                <w:color w:val="FFFFFF"/>
                <w:sz w:val="20"/>
                <w:szCs w:val="20"/>
              </w:rPr>
              <w:t xml:space="preserve">Actividad</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Lunes y miércoles (tarde)</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Se genera el Acta de Cambios con todos los cambios a presentar. Deben estar creados y APROBADOS antes del mediodía de ese día.</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Martes y jueves (9:00 a.m.)</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Se realiza el Consejo de Cambios como tal. Se revisan, discuten y aprueban o rechazan los cambios.</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Martes y jueves (tarde)</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Se envían las notas del Acta en firme (aprobados/rechazados con observaciones), reflejadas también en Hilix.</w:t>
            </w:r>
          </w:p>
        </w:tc>
      </w:tr>
    </w:tbl>
    <w:p>
      <w:pPr>
        <w:spacing w:after="200"/>
      </w:pPr>
    </w:p>
    <w:p>
      <w:pPr>
        <w:pStyle w:val="Heading2"/>
        <w:spacing w:after="120" w:before="300"/>
      </w:pPr>
      <w:r>
        <w:rPr>
          <w:b/>
          <w:bCs/>
          <w:color w:val="2E5395"/>
          <w:sz w:val="24"/>
          <w:szCs w:val="24"/>
        </w:rPr>
        <w:t xml:space="preserve">¿Quiénes participan?</w:t>
      </w:r>
    </w:p>
    <w:p>
      <w:pPr>
        <w:spacing w:after="160" w:line="300"/>
      </w:pPr>
      <w:r>
        <w:rPr>
          <w:color w:val="222222"/>
          <w:sz w:val="22"/>
          <w:szCs w:val="22"/>
        </w:rPr>
        <w:t xml:space="preserve">Representantes de entornos, disponibilidad del servicio, CoES, GIOTI, monitoreo, ciberseguridad, bases de datos, telecomunicaciones, continuidad, gerencia del activo y Experiencia del Cliente (por el tema de la Circular 028).</w:t>
      </w:r>
    </w:p>
    <w:p>
      <w:pPr>
        <w:spacing w:after="160"/>
      </w:pPr>
    </w:p>
    <w:p>
      <w:pPr>
        <w:pStyle w:val="Heading2"/>
        <w:spacing w:after="120" w:before="300"/>
      </w:pPr>
      <w:r>
        <w:rPr>
          <w:b/>
          <w:bCs/>
          <w:color w:val="2E5395"/>
          <w:sz w:val="24"/>
          <w:szCs w:val="24"/>
        </w:rPr>
        <w:t xml:space="preserve">Clasificación dentro del Acta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Modalidad</w:t>
            </w:r>
          </w:p>
        </w:tc>
        <w:tc>
          <w:tcPr>
            <w:tcW w:type="dxa" w:w="7150"/>
            <w:shd w:fill="1F3864" w:val="clear"/>
            <w:tcMar>
              <w:top w:type="dxa" w:w="100"/>
              <w:left w:type="dxa" w:w="120"/>
              <w:bottom w:type="dxa" w:w="100"/>
              <w:right w:type="dxa" w:w="120"/>
            </w:tcMar>
            <w:vAlign w:val="center"/>
          </w:tcPr>
          <w:p>
            <w:r>
              <w:rPr>
                <w:b/>
                <w:bCs/>
                <w:color w:val="FFFFFF"/>
                <w:sz w:val="20"/>
                <w:szCs w:val="20"/>
              </w:rPr>
              <w:t xml:space="preserve">Descripción</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Recomendado</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Tienen impacto pero no requieren sustentación alta ante el Consejo; se revisan igual y solo se exponen si surgen dudas.</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Presencial</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Por su complejidad o transversalidad requieren sustentación directa: el coordinador explica y el Consejo aprueba o rechaza con observaciones.</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Protocolo al presentar un cambio</w:t>
            </w:r>
          </w:p>
          <w:p>
            <w:pPr>
              <w:spacing w:after="0" w:line="280"/>
            </w:pPr>
            <w:r>
              <w:rPr>
                <w:color w:val="222222"/>
                <w:sz w:val="21"/>
                <w:szCs w:val="21"/>
              </w:rPr>
              <w:t xml:space="preserve">El coordinador debe explicar: de qué se trata el cambio, qué se va a ejecutar, la afectación que percibirán los clientes/usuarios, el horario de esa afectación, el plan de devolución y su duración, si hay impacto en la malla, y si ya se coordinó con otros equipos. La idea es llegar al Consejo ya listo para salir a producción — no a resolver pendientes.</w:t>
            </w:r>
          </w:p>
        </w:tc>
      </w:tr>
    </w:tbl>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Buena práctica</w:t>
            </w:r>
          </w:p>
          <w:p>
            <w:pPr>
              <w:spacing w:after="0" w:line="280"/>
            </w:pPr>
            <w:r>
              <w:rPr>
                <w:color w:val="222222"/>
                <w:sz w:val="21"/>
                <w:szCs w:val="21"/>
              </w:rPr>
              <w:t xml:space="preserve">Crear y aprobar el cambio antes del mediodía del día previo al Consejo. Si no se cumple el plazo, existe un formato para ingreso extemporáneo, donde el líder debe justificar por correo el motivo del retraso.</w:t>
            </w:r>
          </w:p>
        </w:tc>
      </w:tr>
    </w:tbl>
    <w:p>
      <w:pPr>
        <w:pageBreakBefore/>
      </w:pPr>
    </w:p>
    <w:p>
      <w:pPr>
        <w:pStyle w:val="Heading1"/>
        <w:pBdr>
          <w:bottom w:val="single" w:color="1F3864" w:sz="6" w:space="4"/>
        </w:pBdr>
        <w:spacing w:after="200" w:before="400"/>
      </w:pPr>
      <w:r>
        <w:rPr>
          <w:b/>
          <w:bCs/>
          <w:color w:val="1F3864"/>
          <w:sz w:val="30"/>
          <w:szCs w:val="30"/>
        </w:rPr>
        <w:t xml:space="preserve">9. Entradas y salidas del proceso</w:t>
      </w:r>
    </w:p>
    <w:p>
      <w:pPr>
        <w:spacing w:after="160" w:line="300"/>
      </w:pPr>
      <w:r>
        <w:rPr>
          <w:color w:val="222222"/>
          <w:sz w:val="22"/>
          <w:szCs w:val="22"/>
        </w:rPr>
        <w:t xml:space="preserve">El proceso de Gestión de Cambios es el "puente" hacia producción — no desarrolla ni prueba soluciones, solo certifica que el equipo está listo para salir.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100"/>
              <w:left w:type="dxa" w:w="120"/>
              <w:bottom w:type="dxa" w:w="100"/>
              <w:right w:type="dxa" w:w="120"/>
            </w:tcMar>
            <w:vAlign w:val="center"/>
          </w:tcPr>
          <w:p>
            <w:r>
              <w:rPr>
                <w:b/>
                <w:bCs/>
                <w:color w:val="FFFFFF"/>
                <w:sz w:val="20"/>
                <w:szCs w:val="20"/>
              </w:rPr>
              <w:t xml:space="preserve">Proceso de origen</w:t>
            </w:r>
          </w:p>
        </w:tc>
        <w:tc>
          <w:tcPr>
            <w:tcW w:type="dxa" w:w="6450"/>
            <w:shd w:fill="1F3864" w:val="clear"/>
            <w:tcMar>
              <w:top w:type="dxa" w:w="100"/>
              <w:left w:type="dxa" w:w="120"/>
              <w:bottom w:type="dxa" w:w="100"/>
              <w:right w:type="dxa" w:w="120"/>
            </w:tcMar>
            <w:vAlign w:val="center"/>
          </w:tcPr>
          <w:p>
            <w:r>
              <w:rPr>
                <w:b/>
                <w:bCs/>
                <w:color w:val="FFFFFF"/>
                <w:sz w:val="20"/>
                <w:szCs w:val="20"/>
              </w:rPr>
              <w:t xml:space="preserve">Qué entrega al proceso de Cambios</w:t>
            </w:r>
          </w:p>
        </w:tc>
      </w:tr>
      <w:tr>
        <w:tc>
          <w:tcPr>
            <w:tcW w:type="dxa" w:w="2900"/>
            <w:shd w:fill="F2F2F2" w:val="clear"/>
            <w:tcMar>
              <w:top w:type="dxa" w:w="90"/>
              <w:left w:type="dxa" w:w="120"/>
              <w:bottom w:type="dxa" w:w="90"/>
              <w:right w:type="dxa" w:w="120"/>
            </w:tcMar>
            <w:vAlign w:val="center"/>
          </w:tcPr>
          <w:p>
            <w:pPr>
              <w:spacing w:line="260"/>
            </w:pPr>
            <w:r>
              <w:rPr>
                <w:color w:val="222222"/>
                <w:sz w:val="20"/>
                <w:szCs w:val="20"/>
              </w:rPr>
              <w:t xml:space="preserve">Habilitar y Mantener Soluciones</w:t>
            </w:r>
          </w:p>
        </w:tc>
        <w:tc>
          <w:tcPr>
            <w:tcW w:type="dxa" w:w="6450"/>
            <w:shd w:fill="F2F2F2" w:val="clear"/>
            <w:tcMar>
              <w:top w:type="dxa" w:w="90"/>
              <w:left w:type="dxa" w:w="120"/>
              <w:bottom w:type="dxa" w:w="90"/>
              <w:right w:type="dxa" w:w="120"/>
            </w:tcMar>
            <w:vAlign w:val="center"/>
          </w:tcPr>
          <w:p>
            <w:pPr>
              <w:spacing w:line="260"/>
            </w:pPr>
            <w:r>
              <w:rPr>
                <w:color w:val="222222"/>
                <w:sz w:val="20"/>
                <w:szCs w:val="20"/>
              </w:rPr>
              <w:t xml:space="preserve">Software de negocio ya probado (UAT) y listo para producción. Entrada principal al proceso.</w:t>
            </w:r>
          </w:p>
        </w:tc>
      </w:tr>
      <w:tr>
        <w:tc>
          <w:tcPr>
            <w:tcW w:type="dxa" w:w="2900"/>
            <w:shd w:fill="FFFFFF" w:val="clear"/>
            <w:tcMar>
              <w:top w:type="dxa" w:w="90"/>
              <w:left w:type="dxa" w:w="120"/>
              <w:bottom w:type="dxa" w:w="90"/>
              <w:right w:type="dxa" w:w="120"/>
            </w:tcMar>
            <w:vAlign w:val="center"/>
          </w:tcPr>
          <w:p>
            <w:pPr>
              <w:spacing w:line="260"/>
            </w:pPr>
            <w:r>
              <w:rPr>
                <w:color w:val="222222"/>
                <w:sz w:val="20"/>
                <w:szCs w:val="20"/>
              </w:rPr>
              <w:t xml:space="preserve">Habilitar y Mantener Infraestructura TI</w:t>
            </w:r>
          </w:p>
        </w:tc>
        <w:tc>
          <w:tcPr>
            <w:tcW w:type="dxa" w:w="6450"/>
            <w:shd w:fill="FFFFFF" w:val="clear"/>
            <w:tcMar>
              <w:top w:type="dxa" w:w="90"/>
              <w:left w:type="dxa" w:w="120"/>
              <w:bottom w:type="dxa" w:w="90"/>
              <w:right w:type="dxa" w:w="120"/>
            </w:tcMar>
            <w:vAlign w:val="center"/>
          </w:tcPr>
          <w:p>
            <w:pPr>
              <w:spacing w:line="260"/>
            </w:pPr>
            <w:r>
              <w:rPr>
                <w:color w:val="222222"/>
                <w:sz w:val="20"/>
                <w:szCs w:val="20"/>
              </w:rPr>
              <w:t xml:space="preserve">Procedimientos técnicos de infraestructura on-premise ya validados, con plan de devolución.</w:t>
            </w:r>
          </w:p>
        </w:tc>
      </w:tr>
      <w:tr>
        <w:tc>
          <w:tcPr>
            <w:tcW w:type="dxa" w:w="2900"/>
            <w:shd w:fill="F2F2F2" w:val="clear"/>
            <w:tcMar>
              <w:top w:type="dxa" w:w="90"/>
              <w:left w:type="dxa" w:w="120"/>
              <w:bottom w:type="dxa" w:w="90"/>
              <w:right w:type="dxa" w:w="120"/>
            </w:tcMar>
            <w:vAlign w:val="center"/>
          </w:tcPr>
          <w:p>
            <w:pPr>
              <w:spacing w:line="260"/>
            </w:pPr>
            <w:r>
              <w:rPr>
                <w:color w:val="222222"/>
                <w:sz w:val="20"/>
                <w:szCs w:val="20"/>
              </w:rPr>
              <w:t xml:space="preserve">Eventos, Incidentes y Problemas</w:t>
            </w:r>
          </w:p>
        </w:tc>
        <w:tc>
          <w:tcPr>
            <w:tcW w:type="dxa" w:w="6450"/>
            <w:shd w:fill="F2F2F2" w:val="clear"/>
            <w:tcMar>
              <w:top w:type="dxa" w:w="90"/>
              <w:left w:type="dxa" w:w="120"/>
              <w:bottom w:type="dxa" w:w="90"/>
              <w:right w:type="dxa" w:w="120"/>
            </w:tcMar>
            <w:vAlign w:val="center"/>
          </w:tcPr>
          <w:p>
            <w:pPr>
              <w:spacing w:line="260"/>
            </w:pPr>
            <w:r>
              <w:rPr>
                <w:color w:val="222222"/>
                <w:sz w:val="20"/>
                <w:szCs w:val="20"/>
              </w:rPr>
              <w:t xml:space="preserve">Necesidad de un cambio de emergencia para resolver una afectación activa.</w:t>
            </w:r>
          </w:p>
        </w:tc>
      </w:tr>
      <w:tr>
        <w:tc>
          <w:tcPr>
            <w:tcW w:type="dxa" w:w="2900"/>
            <w:shd w:fill="FFFFFF" w:val="clear"/>
            <w:tcMar>
              <w:top w:type="dxa" w:w="90"/>
              <w:left w:type="dxa" w:w="120"/>
              <w:bottom w:type="dxa" w:w="90"/>
              <w:right w:type="dxa" w:w="120"/>
            </w:tcMar>
            <w:vAlign w:val="center"/>
          </w:tcPr>
          <w:p>
            <w:pPr>
              <w:spacing w:line="260"/>
            </w:pPr>
            <w:r>
              <w:rPr>
                <w:color w:val="222222"/>
                <w:sz w:val="20"/>
                <w:szCs w:val="20"/>
              </w:rPr>
              <w:t xml:space="preserve">Continuidad / Parchado AMI</w:t>
            </w:r>
          </w:p>
        </w:tc>
        <w:tc>
          <w:tcPr>
            <w:tcW w:type="dxa" w:w="6450"/>
            <w:shd w:fill="FFFFFF" w:val="clear"/>
            <w:tcMar>
              <w:top w:type="dxa" w:w="90"/>
              <w:left w:type="dxa" w:w="120"/>
              <w:bottom w:type="dxa" w:w="90"/>
              <w:right w:type="dxa" w:w="120"/>
            </w:tcMar>
            <w:vAlign w:val="center"/>
          </w:tcPr>
          <w:p>
            <w:pPr>
              <w:spacing w:line="260"/>
            </w:pPr>
            <w:r>
              <w:rPr>
                <w:color w:val="222222"/>
                <w:sz w:val="20"/>
                <w:szCs w:val="20"/>
              </w:rPr>
              <w:t xml:space="preserve">Ejercicios de continuidad y actualizaciones de imágenes/parches en nube, ya programados.</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El concepto del "puentecito"</w:t>
            </w:r>
          </w:p>
          <w:p>
            <w:pPr>
              <w:spacing w:after="0" w:line="280"/>
            </w:pPr>
            <w:r>
              <w:rPr>
                <w:color w:val="222222"/>
                <w:sz w:val="21"/>
                <w:szCs w:val="21"/>
              </w:rPr>
              <w:t xml:space="preserve">El proceso de Cambios NO desarrolla ni prueba la solución — eso ocurre en otros procesos. Aquí se clasifica, se aprueba (control SOX) y se cierra/valida (control operativo) el cambio. La implementación técnica pasa "por dentro" del proceso, pero no es responsabilidad de este.</w:t>
            </w:r>
          </w:p>
        </w:tc>
      </w:tr>
    </w:tbl>
    <w:p>
      <w:pPr>
        <w:pageBreakBefore/>
      </w:pPr>
    </w:p>
    <w:p>
      <w:pPr>
        <w:pStyle w:val="Heading1"/>
        <w:pBdr>
          <w:bottom w:val="single" w:color="1F3864" w:sz="6" w:space="4"/>
        </w:pBdr>
        <w:spacing w:after="200" w:before="400"/>
      </w:pPr>
      <w:r>
        <w:rPr>
          <w:b/>
          <w:bCs/>
          <w:color w:val="1F3864"/>
          <w:sz w:val="30"/>
          <w:szCs w:val="30"/>
        </w:rPr>
        <w:t xml:space="preserve">10. Ciclo de vida del proceso (actividades y controles)</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Objetivo del proceso</w:t>
            </w:r>
          </w:p>
          <w:p>
            <w:pPr>
              <w:spacing w:after="0" w:line="280"/>
            </w:pPr>
            <w:r>
              <w:rPr>
                <w:color w:val="222222"/>
                <w:sz w:val="21"/>
                <w:szCs w:val="21"/>
              </w:rPr>
              <w:t xml:space="preserve">Habilitar una entrega ágil y fiable de los cambios de tecnología al negocio, mitigando los riesgos e impactos que afecten negativamente la disponibilidad de las aplicaciones y componentes en producción.</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350"/>
        <w:gridCol w:w="180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Actividad</w:t>
            </w:r>
          </w:p>
        </w:tc>
        <w:tc>
          <w:tcPr>
            <w:tcW w:type="dxa" w:w="5350"/>
            <w:shd w:fill="1F3864" w:val="clear"/>
            <w:tcMar>
              <w:top w:type="dxa" w:w="100"/>
              <w:left w:type="dxa" w:w="120"/>
              <w:bottom w:type="dxa" w:w="100"/>
              <w:right w:type="dxa" w:w="120"/>
            </w:tcMar>
            <w:vAlign w:val="center"/>
          </w:tcPr>
          <w:p>
            <w:r>
              <w:rPr>
                <w:b/>
                <w:bCs/>
                <w:color w:val="FFFFFF"/>
                <w:sz w:val="20"/>
                <w:szCs w:val="20"/>
              </w:rPr>
              <w:t xml:space="preserve">Detalle</w:t>
            </w:r>
          </w:p>
        </w:tc>
        <w:tc>
          <w:tcPr>
            <w:tcW w:type="dxa" w:w="1800"/>
            <w:shd w:fill="1F3864" w:val="clear"/>
            <w:tcMar>
              <w:top w:type="dxa" w:w="100"/>
              <w:left w:type="dxa" w:w="120"/>
              <w:bottom w:type="dxa" w:w="100"/>
              <w:right w:type="dxa" w:w="120"/>
            </w:tcMar>
            <w:vAlign w:val="center"/>
          </w:tcPr>
          <w:p>
            <w:r>
              <w:rPr>
                <w:b/>
                <w:bCs/>
                <w:color w:val="FFFFFF"/>
                <w:sz w:val="20"/>
                <w:szCs w:val="20"/>
              </w:rPr>
              <w:t xml:space="preserve">Tipo de control</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1. Registro y clasificación</w:t>
            </w:r>
          </w:p>
        </w:tc>
        <w:tc>
          <w:tcPr>
            <w:tcW w:type="dxa" w:w="5350"/>
            <w:shd w:fill="F2F2F2" w:val="clear"/>
            <w:tcMar>
              <w:top w:type="dxa" w:w="90"/>
              <w:left w:type="dxa" w:w="120"/>
              <w:bottom w:type="dxa" w:w="90"/>
              <w:right w:type="dxa" w:w="120"/>
            </w:tcMar>
            <w:vAlign w:val="center"/>
          </w:tcPr>
          <w:p>
            <w:pPr>
              <w:spacing w:line="260"/>
            </w:pPr>
            <w:r>
              <w:rPr>
                <w:color w:val="222222"/>
                <w:sz w:val="20"/>
                <w:szCs w:val="20"/>
              </w:rPr>
              <w:t xml:space="preserve">Se registra el cambio en Hilix (manual) o se hereda del proceso de origen (automático), clasificándolo según la encuesta/evaluación de riesgos.</w:t>
            </w:r>
          </w:p>
        </w:tc>
        <w:tc>
          <w:tcPr>
            <w:tcW w:type="dxa" w:w="1800"/>
            <w:shd w:fill="F2F2F2" w:val="clear"/>
            <w:tcMar>
              <w:top w:type="dxa" w:w="90"/>
              <w:left w:type="dxa" w:w="120"/>
              <w:bottom w:type="dxa" w:w="90"/>
              <w:right w:type="dxa" w:w="120"/>
            </w:tcMar>
            <w:vAlign w:val="center"/>
          </w:tcPr>
          <w:p>
            <w:pPr>
              <w:spacing w:line="260"/>
            </w:pPr>
            <w:r>
              <w:rPr>
                <w:color w:val="222222"/>
                <w:sz w:val="20"/>
                <w:szCs w:val="20"/>
              </w:rPr>
              <w:t xml:space="preserve">—</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2. Evaluación y aprobación</w:t>
            </w:r>
          </w:p>
        </w:tc>
        <w:tc>
          <w:tcPr>
            <w:tcW w:type="dxa" w:w="5350"/>
            <w:shd w:fill="FFFFFF" w:val="clear"/>
            <w:tcMar>
              <w:top w:type="dxa" w:w="90"/>
              <w:left w:type="dxa" w:w="120"/>
              <w:bottom w:type="dxa" w:w="90"/>
              <w:right w:type="dxa" w:w="120"/>
            </w:tcMar>
            <w:vAlign w:val="center"/>
          </w:tcPr>
          <w:p>
            <w:pPr>
              <w:spacing w:line="260"/>
            </w:pPr>
            <w:r>
              <w:rPr>
                <w:color w:val="222222"/>
                <w:sz w:val="20"/>
                <w:szCs w:val="20"/>
              </w:rPr>
              <w:t xml:space="preserve">El líder o persona con rol de aprobador verifica que el equipo está realmente listo para salir a producción: fecha correcta, comunicación previa, riesgos mitigados.</w:t>
            </w:r>
          </w:p>
        </w:tc>
        <w:tc>
          <w:tcPr>
            <w:tcW w:type="dxa" w:w="1800"/>
            <w:shd w:fill="FFFFFF" w:val="clear"/>
            <w:tcMar>
              <w:top w:type="dxa" w:w="90"/>
              <w:left w:type="dxa" w:w="120"/>
              <w:bottom w:type="dxa" w:w="90"/>
              <w:right w:type="dxa" w:w="120"/>
            </w:tcMar>
            <w:vAlign w:val="center"/>
          </w:tcPr>
          <w:p>
            <w:pPr>
              <w:spacing w:line="260"/>
            </w:pPr>
            <w:r>
              <w:rPr>
                <w:color w:val="222222"/>
                <w:sz w:val="20"/>
                <w:szCs w:val="20"/>
              </w:rPr>
              <w:t xml:space="preserve">Control SOX</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3. Implementación</w:t>
            </w:r>
          </w:p>
        </w:tc>
        <w:tc>
          <w:tcPr>
            <w:tcW w:type="dxa" w:w="5350"/>
            <w:shd w:fill="F2F2F2" w:val="clear"/>
            <w:tcMar>
              <w:top w:type="dxa" w:w="90"/>
              <w:left w:type="dxa" w:w="120"/>
              <w:bottom w:type="dxa" w:w="90"/>
              <w:right w:type="dxa" w:w="120"/>
            </w:tcMar>
            <w:vAlign w:val="center"/>
          </w:tcPr>
          <w:p>
            <w:pPr>
              <w:spacing w:line="260"/>
            </w:pPr>
            <w:r>
              <w:rPr>
                <w:color w:val="222222"/>
                <w:sz w:val="20"/>
                <w:szCs w:val="20"/>
              </w:rPr>
              <w:t xml:space="preserve">El despliegue técnico ocurre en otros procesos (Habilitar y Mantener Soluciones / Infraestructura). No es parte del alcance de Cambios, aunque "pasa por ahí".</w:t>
            </w:r>
          </w:p>
        </w:tc>
        <w:tc>
          <w:tcPr>
            <w:tcW w:type="dxa" w:w="1800"/>
            <w:shd w:fill="F2F2F2" w:val="clear"/>
            <w:tcMar>
              <w:top w:type="dxa" w:w="90"/>
              <w:left w:type="dxa" w:w="120"/>
              <w:bottom w:type="dxa" w:w="90"/>
              <w:right w:type="dxa" w:w="120"/>
            </w:tcMar>
            <w:vAlign w:val="center"/>
          </w:tcPr>
          <w:p>
            <w:pPr>
              <w:spacing w:line="260"/>
            </w:pPr>
            <w:r>
              <w:rPr>
                <w:color w:val="222222"/>
                <w:sz w:val="20"/>
                <w:szCs w:val="20"/>
              </w:rPr>
              <w:t xml:space="preserve">—</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4. Cierre y validación</w:t>
            </w:r>
          </w:p>
        </w:tc>
        <w:tc>
          <w:tcPr>
            <w:tcW w:type="dxa" w:w="5350"/>
            <w:shd w:fill="FFFFFF" w:val="clear"/>
            <w:tcMar>
              <w:top w:type="dxa" w:w="90"/>
              <w:left w:type="dxa" w:w="120"/>
              <w:bottom w:type="dxa" w:w="90"/>
              <w:right w:type="dxa" w:w="120"/>
            </w:tcMar>
            <w:vAlign w:val="center"/>
          </w:tcPr>
          <w:p>
            <w:pPr>
              <w:spacing w:line="260"/>
            </w:pPr>
            <w:r>
              <w:rPr>
                <w:color w:val="222222"/>
                <w:sz w:val="20"/>
                <w:szCs w:val="20"/>
              </w:rPr>
              <w:t xml:space="preserve">Se debe cambiar el estado a "cerrado" (con éxito, sin éxito o con problemas). Es obligatorio — nunca dejarlo en estado "terminado".</w:t>
            </w:r>
          </w:p>
        </w:tc>
        <w:tc>
          <w:tcPr>
            <w:tcW w:type="dxa" w:w="1800"/>
            <w:shd w:fill="FFFFFF" w:val="clear"/>
            <w:tcMar>
              <w:top w:type="dxa" w:w="90"/>
              <w:left w:type="dxa" w:w="120"/>
              <w:bottom w:type="dxa" w:w="90"/>
              <w:right w:type="dxa" w:w="120"/>
            </w:tcMar>
            <w:vAlign w:val="center"/>
          </w:tcPr>
          <w:p>
            <w:pPr>
              <w:spacing w:line="260"/>
            </w:pPr>
            <w:r>
              <w:rPr>
                <w:color w:val="222222"/>
                <w:sz w:val="20"/>
                <w:szCs w:val="20"/>
              </w:rPr>
              <w:t xml:space="preserve">Control operativo</w:t>
            </w:r>
          </w:p>
        </w:tc>
      </w:tr>
    </w:tbl>
    <w:p>
      <w:pPr>
        <w:spacing w:after="200"/>
      </w:pPr>
    </w:p>
    <w:tbl>
      <w:tblPr>
        <w:tblW w:type="pct" w:w="100%"/>
        <w:tblBorders>
          <w:top w:val="single" w:color="C55A11" w:sz="4"/>
          <w:left w:val="single" w:color="C55A11" w:sz="24"/>
          <w:bottom w:val="single" w:color="C55A11" w:sz="4"/>
          <w:right w:val="single" w:color="C55A11" w:sz="4"/>
          <w:insideH w:val="single" w:color="auto" w:sz="4"/>
          <w:insideV w:val="single" w:color="auto" w:sz="4"/>
        </w:tblBorders>
      </w:tblPr>
      <w:tblGrid>
        <w:gridCol w:w="100"/>
      </w:tblGrid>
      <w:tr>
        <w:tc>
          <w:tcPr>
            <w:shd w:fill="FCE4D6" w:val="clear"/>
            <w:tcMar>
              <w:top w:type="dxa" w:w="150"/>
              <w:left w:type="dxa" w:w="200"/>
              <w:bottom w:type="dxa" w:w="150"/>
              <w:right w:type="dxa" w:w="200"/>
            </w:tcMar>
          </w:tcPr>
          <w:p>
            <w:pPr>
              <w:spacing w:after="60"/>
            </w:pPr>
            <w:r>
              <w:rPr>
                <w:b/>
                <w:bCs/>
                <w:color w:val="1F3864"/>
                <w:sz w:val="21"/>
                <w:szCs w:val="21"/>
              </w:rPr>
              <w:t xml:space="preserve">🧹 Mala práctica frecuente</w:t>
            </w:r>
          </w:p>
          <w:p>
            <w:pPr>
              <w:spacing w:after="0" w:line="280"/>
            </w:pPr>
            <w:r>
              <w:rPr>
                <w:color w:val="222222"/>
                <w:sz w:val="21"/>
                <w:szCs w:val="21"/>
              </w:rPr>
              <w:t xml:space="preserve">Dejar los cambios manuales en estado "terminado" sin cerrarlos. Hilix tiene un parámetro que cierra automáticamente los cambios sin gestión después de 10 días, pero la trazabilidad correcta (éxito / sin éxito / con problemas) es responsabilidad del equipo.</w:t>
            </w:r>
          </w:p>
        </w:tc>
      </w:tr>
    </w:tbl>
    <w:p>
      <w:pPr>
        <w:pageBreakBefore/>
      </w:pPr>
    </w:p>
    <w:p>
      <w:pPr>
        <w:pStyle w:val="Heading1"/>
        <w:pBdr>
          <w:bottom w:val="single" w:color="1F3864" w:sz="6" w:space="4"/>
        </w:pBdr>
        <w:spacing w:after="200" w:before="400"/>
      </w:pPr>
      <w:r>
        <w:rPr>
          <w:b/>
          <w:bCs/>
          <w:color w:val="1F3864"/>
          <w:sz w:val="30"/>
          <w:szCs w:val="30"/>
        </w:rPr>
        <w:t xml:space="preserve">11. Roles y aprobaciones en Hilix</w:t>
      </w:r>
    </w:p>
    <w:p>
      <w:pPr>
        <w:pStyle w:val="Heading2"/>
        <w:spacing w:after="120" w:before="300"/>
      </w:pPr>
      <w:r>
        <w:rPr>
          <w:b/>
          <w:bCs/>
          <w:color w:val="2E5395"/>
          <w:sz w:val="24"/>
          <w:szCs w:val="24"/>
        </w:rPr>
        <w:t xml:space="preserve">Los tres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1F3864" w:val="clear"/>
            <w:tcMar>
              <w:top w:type="dxa" w:w="100"/>
              <w:left w:type="dxa" w:w="120"/>
              <w:bottom w:type="dxa" w:w="100"/>
              <w:right w:type="dxa" w:w="120"/>
            </w:tcMar>
            <w:vAlign w:val="center"/>
          </w:tcPr>
          <w:p>
            <w:r>
              <w:rPr>
                <w:b/>
                <w:bCs/>
                <w:color w:val="FFFFFF"/>
                <w:sz w:val="20"/>
                <w:szCs w:val="20"/>
              </w:rPr>
              <w:t xml:space="preserve">Rol</w:t>
            </w:r>
          </w:p>
        </w:tc>
        <w:tc>
          <w:tcPr>
            <w:tcW w:type="dxa" w:w="7450"/>
            <w:shd w:fill="1F3864" w:val="clear"/>
            <w:tcMar>
              <w:top w:type="dxa" w:w="100"/>
              <w:left w:type="dxa" w:w="120"/>
              <w:bottom w:type="dxa" w:w="100"/>
              <w:right w:type="dxa" w:w="120"/>
            </w:tcMar>
            <w:vAlign w:val="center"/>
          </w:tcPr>
          <w:p>
            <w:r>
              <w:rPr>
                <w:b/>
                <w:bCs/>
                <w:color w:val="FFFFFF"/>
                <w:sz w:val="20"/>
                <w:szCs w:val="20"/>
              </w:rPr>
              <w:t xml:space="preserve">Función</w:t>
            </w:r>
          </w:p>
        </w:tc>
      </w:tr>
      <w:tr>
        <w:tc>
          <w:tcPr>
            <w:tcW w:type="dxa" w:w="1900"/>
            <w:shd w:fill="F2F2F2" w:val="clear"/>
            <w:tcMar>
              <w:top w:type="dxa" w:w="90"/>
              <w:left w:type="dxa" w:w="120"/>
              <w:bottom w:type="dxa" w:w="90"/>
              <w:right w:type="dxa" w:w="120"/>
            </w:tcMar>
            <w:vAlign w:val="center"/>
          </w:tcPr>
          <w:p>
            <w:pPr>
              <w:spacing w:line="260"/>
            </w:pPr>
            <w:r>
              <w:rPr>
                <w:color w:val="222222"/>
                <w:sz w:val="20"/>
                <w:szCs w:val="20"/>
              </w:rPr>
              <w:t xml:space="preserve">Coordinador</w:t>
            </w:r>
          </w:p>
        </w:tc>
        <w:tc>
          <w:tcPr>
            <w:tcW w:type="dxa" w:w="7450"/>
            <w:shd w:fill="F2F2F2" w:val="clear"/>
            <w:tcMar>
              <w:top w:type="dxa" w:w="90"/>
              <w:left w:type="dxa" w:w="120"/>
              <w:bottom w:type="dxa" w:w="90"/>
              <w:right w:type="dxa" w:w="120"/>
            </w:tcMar>
            <w:vAlign w:val="center"/>
          </w:tcPr>
          <w:p>
            <w:pPr>
              <w:spacing w:line="260"/>
            </w:pPr>
            <w:r>
              <w:rPr>
                <w:color w:val="222222"/>
                <w:sz w:val="20"/>
                <w:szCs w:val="20"/>
              </w:rPr>
              <w:t xml:space="preserve">Responsable de principio a fin del cambio: lo crea, asigna tareas, las ejecuta y está pendiente de su cierre.</w:t>
            </w:r>
          </w:p>
        </w:tc>
      </w:tr>
      <w:tr>
        <w:tc>
          <w:tcPr>
            <w:tcW w:type="dxa" w:w="1900"/>
            <w:shd w:fill="FFFFFF" w:val="clear"/>
            <w:tcMar>
              <w:top w:type="dxa" w:w="90"/>
              <w:left w:type="dxa" w:w="120"/>
              <w:bottom w:type="dxa" w:w="90"/>
              <w:right w:type="dxa" w:w="120"/>
            </w:tcMar>
            <w:vAlign w:val="center"/>
          </w:tcPr>
          <w:p>
            <w:pPr>
              <w:spacing w:line="260"/>
            </w:pPr>
            <w:r>
              <w:rPr>
                <w:color w:val="222222"/>
                <w:sz w:val="20"/>
                <w:szCs w:val="20"/>
              </w:rPr>
              <w:t xml:space="preserve">Gestor</w:t>
            </w:r>
          </w:p>
        </w:tc>
        <w:tc>
          <w:tcPr>
            <w:tcW w:type="dxa" w:w="7450"/>
            <w:shd w:fill="FFFFFF" w:val="clear"/>
            <w:tcMar>
              <w:top w:type="dxa" w:w="90"/>
              <w:left w:type="dxa" w:w="120"/>
              <w:bottom w:type="dxa" w:w="90"/>
              <w:right w:type="dxa" w:w="120"/>
            </w:tcMar>
            <w:vAlign w:val="center"/>
          </w:tcPr>
          <w:p>
            <w:pPr>
              <w:spacing w:line="260"/>
            </w:pPr>
            <w:r>
              <w:rPr>
                <w:color w:val="222222"/>
                <w:sz w:val="20"/>
                <w:szCs w:val="20"/>
              </w:rPr>
              <w:t xml:space="preserve">Técnicamente el mismo rol que coordinador dentro de Hilix — todos los usuarios tienen ambos permisos por diseño de la herramienta.</w:t>
            </w:r>
          </w:p>
        </w:tc>
      </w:tr>
      <w:tr>
        <w:tc>
          <w:tcPr>
            <w:tcW w:type="dxa" w:w="1900"/>
            <w:shd w:fill="F2F2F2" w:val="clear"/>
            <w:tcMar>
              <w:top w:type="dxa" w:w="90"/>
              <w:left w:type="dxa" w:w="120"/>
              <w:bottom w:type="dxa" w:w="90"/>
              <w:right w:type="dxa" w:w="120"/>
            </w:tcMar>
            <w:vAlign w:val="center"/>
          </w:tcPr>
          <w:p>
            <w:pPr>
              <w:spacing w:line="260"/>
            </w:pPr>
            <w:r>
              <w:rPr>
                <w:color w:val="222222"/>
                <w:sz w:val="20"/>
                <w:szCs w:val="20"/>
              </w:rPr>
              <w:t xml:space="preserve">Aprobador</w:t>
            </w:r>
          </w:p>
        </w:tc>
        <w:tc>
          <w:tcPr>
            <w:tcW w:type="dxa" w:w="7450"/>
            <w:shd w:fill="F2F2F2" w:val="clear"/>
            <w:tcMar>
              <w:top w:type="dxa" w:w="90"/>
              <w:left w:type="dxa" w:w="120"/>
              <w:bottom w:type="dxa" w:w="90"/>
              <w:right w:type="dxa" w:w="120"/>
            </w:tcMar>
            <w:vAlign w:val="center"/>
          </w:tcPr>
          <w:p>
            <w:pPr>
              <w:spacing w:line="260"/>
            </w:pPr>
            <w:r>
              <w:rPr>
                <w:color w:val="222222"/>
                <w:sz w:val="20"/>
                <w:szCs w:val="20"/>
              </w:rPr>
              <w:t xml:space="preserve">Tiene los 3 roles (coordinador, gestor y aprobador) y es quien da el visto bueno formal para que el cambio proceda — el control SOX.</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Confusión común</w:t>
            </w:r>
          </w:p>
          <w:p>
            <w:pPr>
              <w:spacing w:after="0" w:line="280"/>
            </w:pPr>
            <w:r>
              <w:rPr>
                <w:color w:val="222222"/>
                <w:sz w:val="21"/>
                <w:szCs w:val="21"/>
              </w:rPr>
              <w:t xml:space="preserve">En un cambio manual, el campo que dice "gestor" en realidad corresponde a la persona con el rol de APROBADOR — no es solo un gestor operativo. Es un error frecuente confundir estos campos al crear el cambio.</w:t>
            </w:r>
          </w:p>
        </w:tc>
      </w:tr>
    </w:tbl>
    <w:p>
      <w:pPr>
        <w:spacing w:after="200"/>
      </w:pPr>
    </w:p>
    <w:p>
      <w:pPr>
        <w:pStyle w:val="Heading2"/>
        <w:spacing w:after="120" w:before="300"/>
      </w:pPr>
      <w:r>
        <w:rPr>
          <w:b/>
          <w:bCs/>
          <w:color w:val="2E5395"/>
          <w:sz w:val="24"/>
          <w:szCs w:val="24"/>
        </w:rPr>
        <w:t xml:space="preserve">Nivel de aprobación según el tipo de cambio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3864" w:val="clear"/>
            <w:tcMar>
              <w:top w:type="dxa" w:w="100"/>
              <w:left w:type="dxa" w:w="120"/>
              <w:bottom w:type="dxa" w:w="100"/>
              <w:right w:type="dxa" w:w="120"/>
            </w:tcMar>
            <w:vAlign w:val="center"/>
          </w:tcPr>
          <w:p>
            <w:r>
              <w:rPr>
                <w:b/>
                <w:bCs/>
                <w:color w:val="FFFFFF"/>
                <w:sz w:val="20"/>
                <w:szCs w:val="20"/>
              </w:rPr>
              <w:t xml:space="preserve">Tipo de cambio</w:t>
            </w:r>
          </w:p>
        </w:tc>
        <w:tc>
          <w:tcPr>
            <w:tcW w:type="dxa" w:w="6050"/>
            <w:shd w:fill="1F3864" w:val="clear"/>
            <w:tcMar>
              <w:top w:type="dxa" w:w="100"/>
              <w:left w:type="dxa" w:w="120"/>
              <w:bottom w:type="dxa" w:w="100"/>
              <w:right w:type="dxa" w:w="120"/>
            </w:tcMar>
            <w:vAlign w:val="center"/>
          </w:tcPr>
          <w:p>
            <w:r>
              <w:rPr>
                <w:b/>
                <w:bCs/>
                <w:color w:val="FFFFFF"/>
                <w:sz w:val="20"/>
                <w:szCs w:val="20"/>
              </w:rPr>
              <w:t xml:space="preserve">Aprobador</w:t>
            </w:r>
          </w:p>
        </w:tc>
      </w:tr>
      <w:tr>
        <w:tc>
          <w:tcPr>
            <w:tcW w:type="dxa" w:w="3300"/>
            <w:shd w:fill="F2F2F2" w:val="clear"/>
            <w:tcMar>
              <w:top w:type="dxa" w:w="90"/>
              <w:left w:type="dxa" w:w="120"/>
              <w:bottom w:type="dxa" w:w="90"/>
              <w:right w:type="dxa" w:w="120"/>
            </w:tcMar>
            <w:vAlign w:val="center"/>
          </w:tcPr>
          <w:p>
            <w:pPr>
              <w:spacing w:line="260"/>
            </w:pPr>
            <w:r>
              <w:rPr>
                <w:color w:val="222222"/>
                <w:sz w:val="20"/>
                <w:szCs w:val="20"/>
              </w:rPr>
              <w:t xml:space="preserve">Manual — Estándar</w:t>
            </w:r>
          </w:p>
        </w:tc>
        <w:tc>
          <w:tcPr>
            <w:tcW w:type="dxa" w:w="6050"/>
            <w:shd w:fill="F2F2F2" w:val="clear"/>
            <w:tcMar>
              <w:top w:type="dxa" w:w="90"/>
              <w:left w:type="dxa" w:w="120"/>
              <w:bottom w:type="dxa" w:w="90"/>
              <w:right w:type="dxa" w:w="120"/>
            </w:tcMar>
            <w:vAlign w:val="center"/>
          </w:tcPr>
          <w:p>
            <w:pPr>
              <w:spacing w:line="260"/>
            </w:pPr>
            <w:r>
              <w:rPr>
                <w:color w:val="222222"/>
                <w:sz w:val="20"/>
                <w:szCs w:val="20"/>
              </w:rPr>
              <w:t xml:space="preserve">El equipo de producto (líder o persona con rol de aprobador).</w:t>
            </w:r>
          </w:p>
        </w:tc>
      </w:tr>
      <w:tr>
        <w:tc>
          <w:tcPr>
            <w:tcW w:type="dxa" w:w="3300"/>
            <w:shd w:fill="FFFFFF" w:val="clear"/>
            <w:tcMar>
              <w:top w:type="dxa" w:w="90"/>
              <w:left w:type="dxa" w:w="120"/>
              <w:bottom w:type="dxa" w:w="90"/>
              <w:right w:type="dxa" w:w="120"/>
            </w:tcMar>
            <w:vAlign w:val="center"/>
          </w:tcPr>
          <w:p>
            <w:pPr>
              <w:spacing w:line="260"/>
            </w:pPr>
            <w:r>
              <w:rPr>
                <w:color w:val="222222"/>
                <w:sz w:val="20"/>
                <w:szCs w:val="20"/>
              </w:rPr>
              <w:t xml:space="preserve">Manual — Ágil</w:t>
            </w:r>
          </w:p>
        </w:tc>
        <w:tc>
          <w:tcPr>
            <w:tcW w:type="dxa" w:w="6050"/>
            <w:shd w:fill="FFFFFF" w:val="clear"/>
            <w:tcMar>
              <w:top w:type="dxa" w:w="90"/>
              <w:left w:type="dxa" w:w="120"/>
              <w:bottom w:type="dxa" w:w="90"/>
              <w:right w:type="dxa" w:w="120"/>
            </w:tcMar>
            <w:vAlign w:val="center"/>
          </w:tcPr>
          <w:p>
            <w:pPr>
              <w:spacing w:line="260"/>
            </w:pPr>
            <w:r>
              <w:rPr>
                <w:color w:val="222222"/>
                <w:sz w:val="20"/>
                <w:szCs w:val="20"/>
              </w:rPr>
              <w:t xml:space="preserve">El equipo de producto (líder o persona con rol de aprobador).</w:t>
            </w:r>
          </w:p>
        </w:tc>
      </w:tr>
      <w:tr>
        <w:tc>
          <w:tcPr>
            <w:tcW w:type="dxa" w:w="3300"/>
            <w:shd w:fill="F2F2F2" w:val="clear"/>
            <w:tcMar>
              <w:top w:type="dxa" w:w="90"/>
              <w:left w:type="dxa" w:w="120"/>
              <w:bottom w:type="dxa" w:w="90"/>
              <w:right w:type="dxa" w:w="120"/>
            </w:tcMar>
            <w:vAlign w:val="center"/>
          </w:tcPr>
          <w:p>
            <w:pPr>
              <w:spacing w:line="260"/>
            </w:pPr>
            <w:r>
              <w:rPr>
                <w:color w:val="222222"/>
                <w:sz w:val="20"/>
                <w:szCs w:val="20"/>
              </w:rPr>
              <w:t xml:space="preserve">Manual — Programado</w:t>
            </w:r>
          </w:p>
        </w:tc>
        <w:tc>
          <w:tcPr>
            <w:tcW w:type="dxa" w:w="6050"/>
            <w:shd w:fill="F2F2F2" w:val="clear"/>
            <w:tcMar>
              <w:top w:type="dxa" w:w="90"/>
              <w:left w:type="dxa" w:w="120"/>
              <w:bottom w:type="dxa" w:w="90"/>
              <w:right w:type="dxa" w:w="120"/>
            </w:tcMar>
            <w:vAlign w:val="center"/>
          </w:tcPr>
          <w:p>
            <w:pPr>
              <w:spacing w:line="260"/>
            </w:pPr>
            <w:r>
              <w:rPr>
                <w:color w:val="222222"/>
                <w:sz w:val="20"/>
                <w:szCs w:val="20"/>
              </w:rPr>
              <w:t xml:space="preserve">Equipo de producto + Consejo de Cambios (dos aprobaciones).</w:t>
            </w:r>
          </w:p>
        </w:tc>
      </w:tr>
      <w:tr>
        <w:tc>
          <w:tcPr>
            <w:tcW w:type="dxa" w:w="3300"/>
            <w:shd w:fill="FFFFFF" w:val="clear"/>
            <w:tcMar>
              <w:top w:type="dxa" w:w="90"/>
              <w:left w:type="dxa" w:w="120"/>
              <w:bottom w:type="dxa" w:w="90"/>
              <w:right w:type="dxa" w:w="120"/>
            </w:tcMar>
            <w:vAlign w:val="center"/>
          </w:tcPr>
          <w:p>
            <w:pPr>
              <w:spacing w:line="260"/>
            </w:pPr>
            <w:r>
              <w:rPr>
                <w:color w:val="222222"/>
                <w:sz w:val="20"/>
                <w:szCs w:val="20"/>
              </w:rPr>
              <w:t xml:space="preserve">Manual — Emergencia</w:t>
            </w:r>
          </w:p>
        </w:tc>
        <w:tc>
          <w:tcPr>
            <w:tcW w:type="dxa" w:w="6050"/>
            <w:shd w:fill="FFFFFF" w:val="clear"/>
            <w:tcMar>
              <w:top w:type="dxa" w:w="90"/>
              <w:left w:type="dxa" w:w="120"/>
              <w:bottom w:type="dxa" w:w="90"/>
              <w:right w:type="dxa" w:w="120"/>
            </w:tcMar>
            <w:vAlign w:val="center"/>
          </w:tcPr>
          <w:p>
            <w:pPr>
              <w:spacing w:line="260"/>
            </w:pPr>
            <w:r>
              <w:rPr>
                <w:color w:val="222222"/>
                <w:sz w:val="20"/>
                <w:szCs w:val="20"/>
              </w:rPr>
              <w:t xml:space="preserve">Equipo de producto + GIOTI (dos aprobaciones).</w:t>
            </w:r>
          </w:p>
        </w:tc>
      </w:tr>
      <w:tr>
        <w:tc>
          <w:tcPr>
            <w:tcW w:type="dxa" w:w="3300"/>
            <w:shd w:fill="F2F2F2" w:val="clear"/>
            <w:tcMar>
              <w:top w:type="dxa" w:w="90"/>
              <w:left w:type="dxa" w:w="120"/>
              <w:bottom w:type="dxa" w:w="90"/>
              <w:right w:type="dxa" w:w="120"/>
            </w:tcMar>
            <w:vAlign w:val="center"/>
          </w:tcPr>
          <w:p>
            <w:pPr>
              <w:spacing w:line="260"/>
            </w:pPr>
            <w:r>
              <w:rPr>
                <w:color w:val="222222"/>
                <w:sz w:val="20"/>
                <w:szCs w:val="20"/>
              </w:rPr>
              <w:t xml:space="preserve">Automático — Riesgo bajo (ágil)</w:t>
            </w:r>
          </w:p>
        </w:tc>
        <w:tc>
          <w:tcPr>
            <w:tcW w:type="dxa" w:w="6050"/>
            <w:shd w:fill="F2F2F2" w:val="clear"/>
            <w:tcMar>
              <w:top w:type="dxa" w:w="90"/>
              <w:left w:type="dxa" w:w="120"/>
              <w:bottom w:type="dxa" w:w="90"/>
              <w:right w:type="dxa" w:w="120"/>
            </w:tcMar>
            <w:vAlign w:val="center"/>
          </w:tcPr>
          <w:p>
            <w:pPr>
              <w:spacing w:line="260"/>
            </w:pPr>
            <w:r>
              <w:rPr>
                <w:color w:val="222222"/>
                <w:sz w:val="20"/>
                <w:szCs w:val="20"/>
              </w:rPr>
              <w:t xml:space="preserve">Líder de línea de conocimiento (o rol de aprobador).</w:t>
            </w:r>
          </w:p>
        </w:tc>
      </w:tr>
      <w:tr>
        <w:tc>
          <w:tcPr>
            <w:tcW w:type="dxa" w:w="3300"/>
            <w:shd w:fill="FFFFFF" w:val="clear"/>
            <w:tcMar>
              <w:top w:type="dxa" w:w="90"/>
              <w:left w:type="dxa" w:w="120"/>
              <w:bottom w:type="dxa" w:w="90"/>
              <w:right w:type="dxa" w:w="120"/>
            </w:tcMar>
            <w:vAlign w:val="center"/>
          </w:tcPr>
          <w:p>
            <w:pPr>
              <w:spacing w:line="260"/>
            </w:pPr>
            <w:r>
              <w:rPr>
                <w:color w:val="222222"/>
                <w:sz w:val="20"/>
                <w:szCs w:val="20"/>
              </w:rPr>
              <w:t xml:space="preserve">Automático — Riesgo medio (ágil)</w:t>
            </w:r>
          </w:p>
        </w:tc>
        <w:tc>
          <w:tcPr>
            <w:tcW w:type="dxa" w:w="6050"/>
            <w:shd w:fill="FFFFFF" w:val="clear"/>
            <w:tcMar>
              <w:top w:type="dxa" w:w="90"/>
              <w:left w:type="dxa" w:w="120"/>
              <w:bottom w:type="dxa" w:w="90"/>
              <w:right w:type="dxa" w:w="120"/>
            </w:tcMar>
            <w:vAlign w:val="center"/>
          </w:tcPr>
          <w:p>
            <w:pPr>
              <w:spacing w:line="260"/>
            </w:pPr>
            <w:r>
              <w:rPr>
                <w:color w:val="222222"/>
                <w:sz w:val="20"/>
                <w:szCs w:val="20"/>
              </w:rPr>
              <w:t xml:space="preserve">Líder técnico ABC (nivel superior; el líder de línea solo aprueba en su ausencia).</w:t>
            </w:r>
          </w:p>
        </w:tc>
      </w:tr>
      <w:tr>
        <w:tc>
          <w:tcPr>
            <w:tcW w:type="dxa" w:w="3300"/>
            <w:shd w:fill="F2F2F2" w:val="clear"/>
            <w:tcMar>
              <w:top w:type="dxa" w:w="90"/>
              <w:left w:type="dxa" w:w="120"/>
              <w:bottom w:type="dxa" w:w="90"/>
              <w:right w:type="dxa" w:w="120"/>
            </w:tcMar>
            <w:vAlign w:val="center"/>
          </w:tcPr>
          <w:p>
            <w:pPr>
              <w:spacing w:line="260"/>
            </w:pPr>
            <w:r>
              <w:rPr>
                <w:color w:val="222222"/>
                <w:sz w:val="20"/>
                <w:szCs w:val="20"/>
              </w:rPr>
              <w:t xml:space="preserve">Automático — Riesgo alto (programado)</w:t>
            </w:r>
          </w:p>
        </w:tc>
        <w:tc>
          <w:tcPr>
            <w:tcW w:type="dxa" w:w="6050"/>
            <w:shd w:fill="F2F2F2" w:val="clear"/>
            <w:tcMar>
              <w:top w:type="dxa" w:w="90"/>
              <w:left w:type="dxa" w:w="120"/>
              <w:bottom w:type="dxa" w:w="90"/>
              <w:right w:type="dxa" w:w="120"/>
            </w:tcMar>
            <w:vAlign w:val="center"/>
          </w:tcPr>
          <w:p>
            <w:pPr>
              <w:spacing w:line="260"/>
            </w:pPr>
            <w:r>
              <w:rPr>
                <w:color w:val="222222"/>
                <w:sz w:val="20"/>
                <w:szCs w:val="20"/>
              </w:rPr>
              <w:t xml:space="preserve">Líder técnico ABC + Consejo de Cambios.</w:t>
            </w:r>
          </w:p>
        </w:tc>
      </w:tr>
      <w:tr>
        <w:tc>
          <w:tcPr>
            <w:tcW w:type="dxa" w:w="3300"/>
            <w:shd w:fill="FFFFFF" w:val="clear"/>
            <w:tcMar>
              <w:top w:type="dxa" w:w="90"/>
              <w:left w:type="dxa" w:w="120"/>
              <w:bottom w:type="dxa" w:w="90"/>
              <w:right w:type="dxa" w:w="120"/>
            </w:tcMar>
            <w:vAlign w:val="center"/>
          </w:tcPr>
          <w:p>
            <w:pPr>
              <w:spacing w:line="260"/>
            </w:pPr>
            <w:r>
              <w:rPr>
                <w:color w:val="222222"/>
                <w:sz w:val="20"/>
                <w:szCs w:val="20"/>
              </w:rPr>
              <w:t xml:space="preserve">Automático — Emergencia</w:t>
            </w:r>
          </w:p>
        </w:tc>
        <w:tc>
          <w:tcPr>
            <w:tcW w:type="dxa" w:w="6050"/>
            <w:shd w:fill="FFFFFF" w:val="clear"/>
            <w:tcMar>
              <w:top w:type="dxa" w:w="90"/>
              <w:left w:type="dxa" w:w="120"/>
              <w:bottom w:type="dxa" w:w="90"/>
              <w:right w:type="dxa" w:w="120"/>
            </w:tcMar>
            <w:vAlign w:val="center"/>
          </w:tcPr>
          <w:p>
            <w:pPr>
              <w:spacing w:line="260"/>
            </w:pPr>
            <w:r>
              <w:rPr>
                <w:color w:val="222222"/>
                <w:sz w:val="20"/>
                <w:szCs w:val="20"/>
              </w:rPr>
              <w:t xml:space="preserve">Líder de línea de conocimiento + GIOTI / CoES.</w:t>
            </w:r>
          </w:p>
        </w:tc>
      </w:tr>
    </w:tbl>
    <w:p>
      <w:pPr>
        <w:pageBreakBefore/>
      </w:pPr>
    </w:p>
    <w:p>
      <w:pPr>
        <w:pStyle w:val="Heading1"/>
        <w:pBdr>
          <w:bottom w:val="single" w:color="1F3864" w:sz="6" w:space="4"/>
        </w:pBdr>
        <w:spacing w:after="200" w:before="400"/>
      </w:pPr>
      <w:r>
        <w:rPr>
          <w:b/>
          <w:bCs/>
          <w:color w:val="1F3864"/>
          <w:sz w:val="30"/>
          <w:szCs w:val="30"/>
        </w:rPr>
        <w:t xml:space="preserve">12. Ciclo de vida de un cambio en Hilix (estados)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6650"/>
      </w:tblGrid>
      <w:tr>
        <w:trPr>
          <w:tblHeader/>
        </w:trPr>
        <w:tc>
          <w:tcPr>
            <w:tcW w:type="dxa" w:w="2700"/>
            <w:shd w:fill="1F3864" w:val="clear"/>
            <w:tcMar>
              <w:top w:type="dxa" w:w="100"/>
              <w:left w:type="dxa" w:w="120"/>
              <w:bottom w:type="dxa" w:w="100"/>
              <w:right w:type="dxa" w:w="120"/>
            </w:tcMar>
            <w:vAlign w:val="center"/>
          </w:tcPr>
          <w:p>
            <w:r>
              <w:rPr>
                <w:b/>
                <w:bCs/>
                <w:color w:val="FFFFFF"/>
                <w:sz w:val="20"/>
                <w:szCs w:val="20"/>
              </w:rPr>
              <w:t xml:space="preserve">Estado</w:t>
            </w:r>
          </w:p>
        </w:tc>
        <w:tc>
          <w:tcPr>
            <w:tcW w:type="dxa" w:w="6650"/>
            <w:shd w:fill="1F3864" w:val="clear"/>
            <w:tcMar>
              <w:top w:type="dxa" w:w="100"/>
              <w:left w:type="dxa" w:w="120"/>
              <w:bottom w:type="dxa" w:w="100"/>
              <w:right w:type="dxa" w:w="120"/>
            </w:tcMar>
            <w:vAlign w:val="center"/>
          </w:tcPr>
          <w:p>
            <w:r>
              <w:rPr>
                <w:b/>
                <w:bCs/>
                <w:color w:val="FFFFFF"/>
                <w:sz w:val="20"/>
                <w:szCs w:val="20"/>
              </w:rPr>
              <w:t xml:space="preserve">Qué ocurre</w:t>
            </w:r>
          </w:p>
        </w:tc>
      </w:tr>
      <w:tr>
        <w:tc>
          <w:tcPr>
            <w:tcW w:type="dxa" w:w="2700"/>
            <w:shd w:fill="F2F2F2" w:val="clear"/>
            <w:tcMar>
              <w:top w:type="dxa" w:w="90"/>
              <w:left w:type="dxa" w:w="120"/>
              <w:bottom w:type="dxa" w:w="90"/>
              <w:right w:type="dxa" w:w="120"/>
            </w:tcMar>
            <w:vAlign w:val="center"/>
          </w:tcPr>
          <w:p>
            <w:pPr>
              <w:spacing w:line="260"/>
            </w:pPr>
            <w:r>
              <w:rPr>
                <w:color w:val="222222"/>
                <w:sz w:val="20"/>
                <w:szCs w:val="20"/>
              </w:rPr>
              <w:t xml:space="preserve">Borrador</w:t>
            </w:r>
          </w:p>
        </w:tc>
        <w:tc>
          <w:tcPr>
            <w:tcW w:type="dxa" w:w="6650"/>
            <w:shd w:fill="F2F2F2" w:val="clear"/>
            <w:tcMar>
              <w:top w:type="dxa" w:w="90"/>
              <w:left w:type="dxa" w:w="120"/>
              <w:bottom w:type="dxa" w:w="90"/>
              <w:right w:type="dxa" w:w="120"/>
            </w:tcMar>
            <w:vAlign w:val="center"/>
          </w:tcPr>
          <w:p>
            <w:pPr>
              <w:spacing w:line="260"/>
            </w:pPr>
            <w:r>
              <w:rPr>
                <w:color w:val="222222"/>
                <w:sz w:val="20"/>
                <w:szCs w:val="20"/>
              </w:rPr>
              <w:t xml:space="preserve">Se agrega coordinador, gestor, encuesta de riesgos y el elemento de configuración (CI) sobre el que se hará el cambio.</w:t>
            </w:r>
          </w:p>
        </w:tc>
      </w:tr>
      <w:tr>
        <w:tc>
          <w:tcPr>
            <w:tcW w:type="dxa" w:w="2700"/>
            <w:shd w:fill="FFFFFF" w:val="clear"/>
            <w:tcMar>
              <w:top w:type="dxa" w:w="90"/>
              <w:left w:type="dxa" w:w="120"/>
              <w:bottom w:type="dxa" w:w="90"/>
              <w:right w:type="dxa" w:w="120"/>
            </w:tcMar>
            <w:vAlign w:val="center"/>
          </w:tcPr>
          <w:p>
            <w:pPr>
              <w:spacing w:line="260"/>
            </w:pPr>
            <w:r>
              <w:rPr>
                <w:color w:val="222222"/>
                <w:sz w:val="20"/>
                <w:szCs w:val="20"/>
              </w:rPr>
              <w:t xml:space="preserve">Programado para aprobación</w:t>
            </w:r>
          </w:p>
        </w:tc>
        <w:tc>
          <w:tcPr>
            <w:tcW w:type="dxa" w:w="6650"/>
            <w:shd w:fill="FFFFFF" w:val="clear"/>
            <w:tcMar>
              <w:top w:type="dxa" w:w="90"/>
              <w:left w:type="dxa" w:w="120"/>
              <w:bottom w:type="dxa" w:w="90"/>
              <w:right w:type="dxa" w:w="120"/>
            </w:tcMar>
            <w:vAlign w:val="center"/>
          </w:tcPr>
          <w:p>
            <w:pPr>
              <w:spacing w:line="260"/>
            </w:pPr>
            <w:r>
              <w:rPr>
                <w:color w:val="222222"/>
                <w:sz w:val="20"/>
                <w:szCs w:val="20"/>
              </w:rPr>
              <w:t xml:space="preserve">El cambio está completamente documentado (fechas, CI, tipo de cambio) y se envía al líder/aprobador para su revisión.</w:t>
            </w:r>
          </w:p>
        </w:tc>
      </w:tr>
      <w:tr>
        <w:tc>
          <w:tcPr>
            <w:tcW w:type="dxa" w:w="2700"/>
            <w:shd w:fill="F2F2F2" w:val="clear"/>
            <w:tcMar>
              <w:top w:type="dxa" w:w="90"/>
              <w:left w:type="dxa" w:w="120"/>
              <w:bottom w:type="dxa" w:w="90"/>
              <w:right w:type="dxa" w:w="120"/>
            </w:tcMar>
            <w:vAlign w:val="center"/>
          </w:tcPr>
          <w:p>
            <w:pPr>
              <w:spacing w:line="260"/>
            </w:pPr>
            <w:r>
              <w:rPr>
                <w:color w:val="222222"/>
                <w:sz w:val="20"/>
                <w:szCs w:val="20"/>
              </w:rPr>
              <w:t xml:space="preserve">Programado</w:t>
            </w:r>
          </w:p>
        </w:tc>
        <w:tc>
          <w:tcPr>
            <w:tcW w:type="dxa" w:w="6650"/>
            <w:shd w:fill="F2F2F2" w:val="clear"/>
            <w:tcMar>
              <w:top w:type="dxa" w:w="90"/>
              <w:left w:type="dxa" w:w="120"/>
              <w:bottom w:type="dxa" w:w="90"/>
              <w:right w:type="dxa" w:w="120"/>
            </w:tcMar>
            <w:vAlign w:val="center"/>
          </w:tcPr>
          <w:p>
            <w:pPr>
              <w:spacing w:line="260"/>
            </w:pPr>
            <w:r>
              <w:rPr>
                <w:color w:val="222222"/>
                <w:sz w:val="20"/>
                <w:szCs w:val="20"/>
              </w:rPr>
              <w:t xml:space="preserve">El líder ya aprobó el cambio; queda listo para iniciar implementación en la fecha definida.</w:t>
            </w:r>
          </w:p>
        </w:tc>
      </w:tr>
      <w:tr>
        <w:tc>
          <w:tcPr>
            <w:tcW w:type="dxa" w:w="2700"/>
            <w:shd w:fill="FFFFFF" w:val="clear"/>
            <w:tcMar>
              <w:top w:type="dxa" w:w="90"/>
              <w:left w:type="dxa" w:w="120"/>
              <w:bottom w:type="dxa" w:w="90"/>
              <w:right w:type="dxa" w:w="120"/>
            </w:tcMar>
            <w:vAlign w:val="center"/>
          </w:tcPr>
          <w:p>
            <w:pPr>
              <w:spacing w:line="260"/>
            </w:pPr>
            <w:r>
              <w:rPr>
                <w:color w:val="222222"/>
                <w:sz w:val="20"/>
                <w:szCs w:val="20"/>
              </w:rPr>
              <w:t xml:space="preserve">Implementación en curso</w:t>
            </w:r>
          </w:p>
        </w:tc>
        <w:tc>
          <w:tcPr>
            <w:tcW w:type="dxa" w:w="6650"/>
            <w:shd w:fill="FFFFFF" w:val="clear"/>
            <w:tcMar>
              <w:top w:type="dxa" w:w="90"/>
              <w:left w:type="dxa" w:w="120"/>
              <w:bottom w:type="dxa" w:w="90"/>
              <w:right w:type="dxa" w:w="120"/>
            </w:tcMar>
            <w:vAlign w:val="center"/>
          </w:tcPr>
          <w:p>
            <w:pPr>
              <w:spacing w:line="260"/>
            </w:pPr>
            <w:r>
              <w:rPr>
                <w:color w:val="222222"/>
                <w:sz w:val="20"/>
                <w:szCs w:val="20"/>
              </w:rPr>
              <w:t xml:space="preserve">Se ejecutan las tareas (manuales o automáticas).</w:t>
            </w:r>
          </w:p>
        </w:tc>
      </w:tr>
      <w:tr>
        <w:tc>
          <w:tcPr>
            <w:tcW w:type="dxa" w:w="2700"/>
            <w:shd w:fill="F2F2F2" w:val="clear"/>
            <w:tcMar>
              <w:top w:type="dxa" w:w="90"/>
              <w:left w:type="dxa" w:w="120"/>
              <w:bottom w:type="dxa" w:w="90"/>
              <w:right w:type="dxa" w:w="120"/>
            </w:tcMar>
            <w:vAlign w:val="center"/>
          </w:tcPr>
          <w:p>
            <w:pPr>
              <w:spacing w:line="260"/>
            </w:pPr>
            <w:r>
              <w:rPr>
                <w:color w:val="222222"/>
                <w:sz w:val="20"/>
                <w:szCs w:val="20"/>
              </w:rPr>
              <w:t xml:space="preserve">Terminado</w:t>
            </w:r>
          </w:p>
        </w:tc>
        <w:tc>
          <w:tcPr>
            <w:tcW w:type="dxa" w:w="6650"/>
            <w:shd w:fill="F2F2F2" w:val="clear"/>
            <w:tcMar>
              <w:top w:type="dxa" w:w="90"/>
              <w:left w:type="dxa" w:w="120"/>
              <w:bottom w:type="dxa" w:w="90"/>
              <w:right w:type="dxa" w:w="120"/>
            </w:tcMar>
            <w:vAlign w:val="center"/>
          </w:tcPr>
          <w:p>
            <w:pPr>
              <w:spacing w:line="260"/>
            </w:pPr>
            <w:r>
              <w:rPr>
                <w:color w:val="222222"/>
                <w:sz w:val="20"/>
                <w:szCs w:val="20"/>
              </w:rPr>
              <w:t xml:space="preserve">Todas las tareas se completaron — PERO el cambio aún no está cerrado formalmente.</w:t>
            </w:r>
          </w:p>
        </w:tc>
      </w:tr>
      <w:tr>
        <w:tc>
          <w:tcPr>
            <w:tcW w:type="dxa" w:w="2700"/>
            <w:shd w:fill="FFFFFF" w:val="clear"/>
            <w:tcMar>
              <w:top w:type="dxa" w:w="90"/>
              <w:left w:type="dxa" w:w="120"/>
              <w:bottom w:type="dxa" w:w="90"/>
              <w:right w:type="dxa" w:w="120"/>
            </w:tcMar>
            <w:vAlign w:val="center"/>
          </w:tcPr>
          <w:p>
            <w:pPr>
              <w:spacing w:line="260"/>
            </w:pPr>
            <w:r>
              <w:rPr>
                <w:color w:val="222222"/>
                <w:sz w:val="20"/>
                <w:szCs w:val="20"/>
              </w:rPr>
              <w:t xml:space="preserve">Cerrado</w:t>
            </w:r>
          </w:p>
        </w:tc>
        <w:tc>
          <w:tcPr>
            <w:tcW w:type="dxa" w:w="6650"/>
            <w:shd w:fill="FFFFFF" w:val="clear"/>
            <w:tcMar>
              <w:top w:type="dxa" w:w="90"/>
              <w:left w:type="dxa" w:w="120"/>
              <w:bottom w:type="dxa" w:w="90"/>
              <w:right w:type="dxa" w:w="120"/>
            </w:tcMar>
            <w:vAlign w:val="center"/>
          </w:tcPr>
          <w:p>
            <w:pPr>
              <w:spacing w:line="260"/>
            </w:pPr>
            <w:r>
              <w:rPr>
                <w:color w:val="222222"/>
                <w:sz w:val="20"/>
                <w:szCs w:val="20"/>
              </w:rPr>
              <w:t xml:space="preserve">Se registra el resultado: con éxito, sin éxito o con problemas. Es el control operativo obligatorio.</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Para cambios automáticos</w:t>
            </w:r>
          </w:p>
          <w:p>
            <w:pPr>
              <w:spacing w:after="0" w:line="280"/>
            </w:pPr>
            <w:r>
              <w:rPr>
                <w:color w:val="222222"/>
                <w:sz w:val="21"/>
                <w:szCs w:val="21"/>
              </w:rPr>
              <w:t xml:space="preserve">Se recorre exactamente el mismo ciclo de estados, pero de forma automática y mucho más rápida a través de la integración con Azure DevOps / SolMan — sin intervención manual en ningún punto.</w:t>
            </w:r>
          </w:p>
        </w:tc>
      </w:tr>
    </w:tbl>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Excepción: cambios Git LFS</w:t>
            </w:r>
          </w:p>
          <w:p>
            <w:pPr>
              <w:spacing w:after="0" w:line="280"/>
            </w:pPr>
            <w:r>
              <w:rPr>
                <w:color w:val="222222"/>
                <w:sz w:val="21"/>
                <w:szCs w:val="21"/>
              </w:rPr>
              <w:t xml:space="preserve">Su creación y gestión es automática, pero dentro del pipeline los implementadores tienen tareas para descargar y ejecutar el objeto manualmente. Aun así, nadie debe entrar a Hilix a crear tareas, cerrar el cambio o cambiar su estado — esas acciones siguen siendo automáticas.</w:t>
            </w:r>
          </w:p>
        </w:tc>
      </w:tr>
    </w:tbl>
    <w:p>
      <w:pPr>
        <w:pageBreakBefore/>
      </w:pPr>
    </w:p>
    <w:p>
      <w:pPr>
        <w:pStyle w:val="Heading1"/>
        <w:pBdr>
          <w:bottom w:val="single" w:color="1F3864" w:sz="6" w:space="4"/>
        </w:pBdr>
        <w:spacing w:after="200" w:before="400"/>
      </w:pPr>
      <w:r>
        <w:rPr>
          <w:b/>
          <w:bCs/>
          <w:color w:val="1F3864"/>
          <w:sz w:val="30"/>
          <w:szCs w:val="30"/>
        </w:rPr>
        <w:t xml:space="preserve">13. Preguntas frecuentes de la sesión</w:t>
      </w:r>
    </w:p>
    <w:p>
      <w:pPr>
        <w:spacing w:after="60" w:before="200"/>
      </w:pPr>
      <w:r>
        <w:rPr>
          <w:b/>
          <w:bCs/>
          <w:color w:val="1F3864"/>
          <w:sz w:val="21"/>
          <w:szCs w:val="21"/>
        </w:rPr>
        <w:t xml:space="preserve">❓ ¿Puedo ejecutar cambios en producción sin registrar un CRQ?</w:t>
      </w:r>
    </w:p>
    <w:p>
      <w:pPr>
        <w:spacing w:after="160" w:line="280"/>
      </w:pPr>
      <w:r>
        <w:rPr>
          <w:color w:val="222222"/>
          <w:sz w:val="21"/>
          <w:szCs w:val="21"/>
        </w:rPr>
        <w:t xml:space="preserve">No. El registro es indispensable: permite evaluar realmente qué se va a hacer en producción, identificar riesgos, y dar trazabilidad ante GIOTI/CoES en caso de una afectación. Actuar por impulso con altos privilegios, sin registro, expone al Banco a riesgos difíciles de rastrear.</w:t>
      </w:r>
    </w:p>
    <w:p>
      <w:pPr>
        <w:spacing w:after="60" w:before="200"/>
      </w:pPr>
      <w:r>
        <w:rPr>
          <w:b/>
          <w:bCs/>
          <w:color w:val="1F3864"/>
          <w:sz w:val="21"/>
          <w:szCs w:val="21"/>
        </w:rPr>
        <w:t xml:space="preserve">❓ ¿Los cambios manuales se pueden dejar en estado "terminado"?</w:t>
      </w:r>
    </w:p>
    <w:p>
      <w:pPr>
        <w:spacing w:after="160" w:line="280"/>
      </w:pPr>
      <w:r>
        <w:rPr>
          <w:color w:val="222222"/>
          <w:sz w:val="21"/>
          <w:szCs w:val="21"/>
        </w:rPr>
        <w:t xml:space="preserve">No. Siempre se deben cerrar formalmente (con éxito, sin éxito o con problemas). Los cambios automáticos se cierran solos y nadie debe intervenir manualmente en Hilix para ese cierre.</w:t>
      </w:r>
    </w:p>
    <w:p>
      <w:pPr>
        <w:spacing w:after="60" w:before="200"/>
      </w:pPr>
      <w:r>
        <w:rPr>
          <w:b/>
          <w:bCs/>
          <w:color w:val="1F3864"/>
          <w:sz w:val="21"/>
          <w:szCs w:val="21"/>
        </w:rPr>
        <w:t xml:space="preserve">❓ ¿Puedo crear un cambio manual informativo cuando mi despliegue automático (en nube) ya tiene riesgo bajo/medio y no quiero saltarme el Consejo?</w:t>
      </w:r>
    </w:p>
    <w:p>
      <w:pPr>
        <w:spacing w:after="160" w:line="280"/>
      </w:pPr>
      <w:r>
        <w:rPr>
          <w:color w:val="222222"/>
          <w:sz w:val="21"/>
          <w:szCs w:val="21"/>
        </w:rPr>
        <w:t xml:space="preserve">No. Es un incumplimiento del proceso. Si el cambio es automático, no se debe crear un cambio manual paralelo solo para "informar" o pasar por el Consejo. El nivel de aprobación definido para ese riesgo (líder de línea o líder técnico ABC) ya es el correcto — el Consejo no sustituye la responsabilidad de mitigación que tiene el equipo.</w:t>
      </w:r>
    </w:p>
    <w:p>
      <w:pPr>
        <w:spacing w:after="60" w:before="200"/>
      </w:pPr>
      <w:r>
        <w:rPr>
          <w:b/>
          <w:bCs/>
          <w:color w:val="1F3864"/>
          <w:sz w:val="21"/>
          <w:szCs w:val="21"/>
        </w:rPr>
        <w:t xml:space="preserve">❓ ¿Los cambios automáticos se pueden gestionar o cerrar directamente en Hilix?</w:t>
      </w:r>
    </w:p>
    <w:p>
      <w:pPr>
        <w:spacing w:after="160" w:line="280"/>
      </w:pPr>
      <w:r>
        <w:rPr>
          <w:color w:val="222222"/>
          <w:sz w:val="21"/>
          <w:szCs w:val="21"/>
        </w:rPr>
        <w:t xml:space="preserve">No, salvo la excepción de los cambios Git LFS, que sí se pueden gestionar directamente en Hilix. El resto de cambios automáticos deben cerrarse únicamente vía la integración automática con Azure DevOps/SolMan.</w:t>
      </w:r>
    </w:p>
    <w:p>
      <w:pPr>
        <w:spacing w:after="60" w:before="200"/>
      </w:pPr>
      <w:r>
        <w:rPr>
          <w:b/>
          <w:bCs/>
          <w:color w:val="1F3864"/>
          <w:sz w:val="21"/>
          <w:szCs w:val="21"/>
        </w:rPr>
        <w:t xml:space="preserve">❓ ¿Qué tipos de cambio se pueden legalizar (ejecutar antes de crear el registro formal)?</w:t>
      </w:r>
    </w:p>
    <w:p>
      <w:pPr>
        <w:spacing w:after="160" w:line="280"/>
      </w:pPr>
      <w:r>
        <w:rPr>
          <w:color w:val="222222"/>
          <w:sz w:val="21"/>
          <w:szCs w:val="21"/>
        </w:rPr>
        <w:t xml:space="preserve">Únicamente las emergencias y los cambios de aliados notificados tardíamente. El resto de tipos de cambio (incluidos los programados) deben crearse y aprobarse ANTES de su ejecución — nunca después.</w:t>
      </w:r>
    </w:p>
    <w:p>
      <w:pPr>
        <w:spacing w:after="60" w:before="200"/>
      </w:pPr>
      <w:r>
        <w:rPr>
          <w:b/>
          <w:bCs/>
          <w:color w:val="1F3864"/>
          <w:sz w:val="21"/>
          <w:szCs w:val="21"/>
        </w:rPr>
        <w:t xml:space="preserve">❓ ¿Qué hacer si mi cambio automático no se cierra correctamente?</w:t>
      </w:r>
    </w:p>
    <w:p>
      <w:pPr>
        <w:spacing w:after="160" w:line="280"/>
      </w:pPr>
      <w:r>
        <w:rPr>
          <w:color w:val="222222"/>
          <w:sz w:val="21"/>
          <w:szCs w:val="21"/>
        </w:rPr>
        <w:t xml:space="preserve">Crear un ticket de soporte al equipo de Procesos TI DevEx para que ayuden a cerrarlo de forma automática — nunca se debe cambiar el estado manualmente en Hilix para estos casos.</w:t>
      </w:r>
    </w:p>
    <w:p>
      <w:pPr>
        <w:spacing w:after="60" w:before="200"/>
      </w:pPr>
      <w:r>
        <w:rPr>
          <w:b/>
          <w:bCs/>
          <w:color w:val="1F3864"/>
          <w:sz w:val="21"/>
          <w:szCs w:val="21"/>
        </w:rPr>
        <w:t xml:space="preserve">❓ ¿Los colaboradores externos (fábricas) también deben certificarse en este proceso?</w:t>
      </w:r>
    </w:p>
    <w:p>
      <w:pPr>
        <w:spacing w:after="160" w:line="280"/>
      </w:pPr>
      <w:r>
        <w:rPr>
          <w:color w:val="222222"/>
          <w:sz w:val="21"/>
          <w:szCs w:val="21"/>
        </w:rPr>
        <w:t xml:space="preserve">Sí, mediante un trabajo paralelo coordinado directamente con los líderes de cada fábrica. Por ahora, estas sesiones de difusión y el examen de certificación inicial están enfocados en el personal interno de planta.</w:t>
      </w:r>
    </w:p>
    <w:p>
      <w:pPr>
        <w:pageBreakBefore/>
      </w:pPr>
    </w:p>
    <w:p>
      <w:pPr>
        <w:pStyle w:val="Heading1"/>
        <w:pBdr>
          <w:bottom w:val="single" w:color="1F3864" w:sz="6" w:space="4"/>
        </w:pBdr>
        <w:spacing w:after="200" w:before="400"/>
      </w:pPr>
      <w:r>
        <w:rPr>
          <w:b/>
          <w:bCs/>
          <w:color w:val="1F3864"/>
          <w:sz w:val="30"/>
          <w:szCs w:val="30"/>
        </w:rPr>
        <w:t xml:space="preserve">14. Resumen y puntos clave para el examen</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Ideas centrales que no debes olvidar</w:t>
            </w:r>
          </w:p>
          <w:p>
            <w:pPr>
              <w:spacing w:after="0" w:line="280"/>
            </w:pPr>
            <w:r>
              <w:rPr>
                <w:color w:val="222222"/>
                <w:sz w:val="21"/>
                <w:szCs w:val="21"/>
              </w:rPr>
              <w:t xml:space="preserve">1) Un cambio TI es cualquier adición, modificación o eliminación en producción. 2) Existen cambios automáticos (software de negocio, vía Habilitar y Mantener Soluciones) y manuales (registrados directamente en Hilix). 3) Cuatro tipos: ágil, estándar, programado y emergencia. 4) La Circular 028 exige avisar con 8 días de anticipación si hay indisponibilidad de cara al cliente ≥30 minutos, y pasar por el Consejo con 15 días. 5) El Consejo de Cambios sesiona martes y jueves; el Acta se genera el día hábil anterior antes del mediodía. 6) El proceso NO desarrolla ni prueba: solo clasifica, aprueba (control SOX) y cierra (control operativo). 7) Todo cambio manual DEBE cerrarse explícitamente. 8) Un cambio automático NUNCA se modifica manualmente en Hilix (excepto Git LFS).</w:t>
            </w:r>
          </w:p>
        </w:tc>
      </w:tr>
    </w:tbl>
    <w:p>
      <w:pPr>
        <w:spacing w:after="200"/>
      </w:pPr>
    </w:p>
    <w:p>
      <w:pPr>
        <w:pStyle w:val="Heading2"/>
        <w:spacing w:after="120" w:before="300"/>
      </w:pPr>
      <w:r>
        <w:rPr>
          <w:b/>
          <w:bCs/>
          <w:color w:val="2E5395"/>
          <w:sz w:val="24"/>
          <w:szCs w:val="24"/>
        </w:rPr>
        <w:t xml:space="preserve">Glosario rápido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Término</w:t>
            </w:r>
          </w:p>
        </w:tc>
        <w:tc>
          <w:tcPr>
            <w:tcW w:type="dxa" w:w="7150"/>
            <w:shd w:fill="1F3864" w:val="clear"/>
            <w:tcMar>
              <w:top w:type="dxa" w:w="100"/>
              <w:left w:type="dxa" w:w="120"/>
              <w:bottom w:type="dxa" w:w="100"/>
              <w:right w:type="dxa" w:w="120"/>
            </w:tcMar>
            <w:vAlign w:val="center"/>
          </w:tcPr>
          <w:p>
            <w:r>
              <w:rPr>
                <w:b/>
                <w:bCs/>
                <w:color w:val="FFFFFF"/>
                <w:sz w:val="20"/>
                <w:szCs w:val="20"/>
              </w:rPr>
              <w:t xml:space="preserve">Significado</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CRQ</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Change Request — solicitud de cambio registrada en Hilix.</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Circular 028</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Norma de la Superintendencia Financiera: aviso obligatorio con 8 días de anticipación ante indisponibilidad ≥30 min de cara al cliente.</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Afectación</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Interrupción, degradación, lentitud o intermitencia de un servicio o componente TI.</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GIOTI</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Ente que aprueba/valida cambios de emergencia.</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CoES</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Centro de Operaciones que apoya la validación de cambios de emergencia.</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Control SOX</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Aprobación formal del cambio antes de producción — requisito regulatorio.</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Control operativo</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Cierre y validación del cambio tras su ejecución.</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Líder técnico ABC</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Instancia de aprobación para cambios automáticos con riesgo medio o alto.</w:t>
            </w:r>
          </w:p>
        </w:tc>
      </w:tr>
    </w:tbl>
    <w:p>
      <w:pPr>
        <w:spacing w:after="300"/>
      </w:pPr>
    </w:p>
    <w:p>
      <w:pPr>
        <w:spacing w:after="160"/>
      </w:pPr>
      <w:r>
        <w:rPr>
          <w:i/>
          <w:iCs/>
          <w:color w:val="595959"/>
          <w:sz w:val="18"/>
          <w:szCs w:val="18"/>
        </w:rPr>
        <w:t xml:space="preserve">Documento generado a partir de la transcripción de la cuarta sesión de difusión "Gestión de Cambios", presentada por Laura Varela — VSTI, Bancolombia.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Certificación VSTI · Módulo 3 · Gestión de Cambios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2026-09-03T22:24:45.649Z</dcterms:created>
  <dcterms:modified xsi:type="dcterms:W3CDTF">2026-09-03T22:24:45.649Z</dcterms:modified>
</cp:coreProperties>
</file>

<file path=docProps/custom.xml><?xml version="1.0" encoding="utf-8"?>
<Properties xmlns="http://schemas.openxmlformats.org/officeDocument/2006/custom-properties" xmlns:vt="http://schemas.openxmlformats.org/officeDocument/2006/docPropsVTypes"/>
</file>