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sz w:val="72"/>
          <w:szCs w:val="72"/>
        </w:rPr>
        <w:t xml:space="preserve">🏛</w:t>
      </w:r>
    </w:p>
    <w:p>
      <w:pPr>
        <w:spacing w:after="200"/>
      </w:pPr>
    </w:p>
    <w:p>
      <w:pPr>
        <w:jc w:val="center"/>
      </w:pPr>
      <w:r>
        <w:rPr>
          <w:b/>
          <w:bCs/>
          <w:color w:val="BF8F00"/>
          <w:sz w:val="26"/>
          <w:szCs w:val="26"/>
        </w:rPr>
        <w:t xml:space="preserve">MÓDULO 1</w:t>
      </w:r>
    </w:p>
    <w:p>
      <w:pPr>
        <w:spacing w:after="200"/>
        <w:jc w:val="center"/>
      </w:pPr>
      <w:r>
        <w:rPr>
          <w:b/>
          <w:bCs/>
          <w:color w:val="1F3864"/>
          <w:sz w:val="56"/>
          <w:szCs w:val="56"/>
        </w:rPr>
        <w:t xml:space="preserve">Modelo Operativo</w:t>
      </w:r>
    </w:p>
    <w:p>
      <w:pPr>
        <w:spacing w:after="60"/>
        <w:jc w:val="center"/>
      </w:pPr>
      <w:r>
        <w:rPr>
          <w:i/>
          <w:iCs/>
          <w:color w:val="595959"/>
          <w:sz w:val="26"/>
          <w:szCs w:val="26"/>
        </w:rPr>
        <w:t xml:space="preserve">Conoce el modelo operativo utilizado en la VSTI</w:t>
      </w:r>
    </w:p>
    <w:p>
      <w:pPr>
        <w:spacing w:after="500"/>
        <w:jc w:val="center"/>
      </w:pPr>
      <w:r>
        <w:rPr>
          <w:color w:val="595959"/>
          <w:sz w:val="20"/>
          <w:szCs w:val="20"/>
        </w:rPr>
        <w:t xml:space="preserve">Vicepresidencia de Servicios de Tecnología e Información — Bancolombia</w:t>
      </w: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Guía de estudio</w:t>
            </w:r>
          </w:p>
          <w:p>
            <w:pPr>
              <w:spacing w:after="0" w:line="280"/>
            </w:pPr>
            <w:r>
              <w:rPr>
                <w:color w:val="222222"/>
                <w:sz w:val="21"/>
                <w:szCs w:val="21"/>
              </w:rPr>
              <w:t xml:space="preserve">Documento elaborado a partir de la sesión de difusión de procesos críticos de tecnología. Incluye la teoría explicada por David Elías y Erika, la estructura organizacional aplicada, y el caso práctico con las respuestas correctas para preparar la certificación.</w:t>
            </w:r>
          </w:p>
        </w:tc>
      </w:tr>
    </w:tbl>
    <w:p>
      <w:pPr>
        <w:spacing w:after="300"/>
      </w:pPr>
    </w:p>
    <w:p>
      <w:pPr>
        <w:jc w:val="center"/>
      </w:pPr>
      <w:r>
        <w:rPr>
          <w:i/>
          <w:iCs/>
          <w:color w:val="595959"/>
          <w:sz w:val="20"/>
          <w:szCs w:val="20"/>
        </w:rPr>
        <w:t xml:space="preserve">🗓  Examen de certificación: se habilita el 17 de julio · Abierto durante 1 mes</w:t>
      </w:r>
    </w:p>
    <w:p>
      <w:pPr>
        <w:pageBreakBefore/>
      </w:pPr>
    </w:p>
    <w:p>
      <w:pPr>
        <w:pStyle w:val="Heading1"/>
        <w:pBdr>
          <w:bottom w:val="single" w:color="1F3864" w:sz="6" w:space="4"/>
        </w:pBdr>
        <w:spacing w:after="200" w:before="400"/>
      </w:pPr>
      <w:r>
        <w:rPr>
          <w:b/>
          <w:bCs/>
          <w:color w:val="1F3864"/>
          <w:sz w:val="30"/>
          <w:szCs w:val="30"/>
        </w:rPr>
        <w:t xml:space="preserve">Índice de contenidos</w:t>
      </w:r>
    </w:p>
    <w:p>
      <w:pPr>
        <w:pStyle w:val="ListParagraph"/>
        <w:numPr>
          <w:ilvl w:val="0"/>
          <w:numId w:val="2"/>
        </w:numPr>
        <w:spacing w:after="90" w:line="280"/>
      </w:pPr>
      <w:r>
        <w:rPr>
          <w:color w:val="222222"/>
          <w:sz w:val="22"/>
          <w:szCs w:val="22"/>
        </w:rPr>
        <w:t xml:space="preserve">1. ¿Qué es un modelo operativo?</w:t>
      </w:r>
    </w:p>
    <w:p>
      <w:pPr>
        <w:pStyle w:val="ListParagraph"/>
        <w:numPr>
          <w:ilvl w:val="0"/>
          <w:numId w:val="2"/>
        </w:numPr>
        <w:spacing w:after="90" w:line="280"/>
      </w:pPr>
      <w:r>
        <w:rPr>
          <w:color w:val="222222"/>
          <w:sz w:val="22"/>
          <w:szCs w:val="22"/>
        </w:rPr>
        <w:t xml:space="preserve">2. El ciclo evolutivo del modelo operativo (PHVA)</w:t>
      </w:r>
    </w:p>
    <w:p>
      <w:pPr>
        <w:pStyle w:val="ListParagraph"/>
        <w:numPr>
          <w:ilvl w:val="0"/>
          <w:numId w:val="2"/>
        </w:numPr>
        <w:spacing w:after="90" w:line="280"/>
      </w:pPr>
      <w:r>
        <w:rPr>
          <w:color w:val="222222"/>
          <w:sz w:val="22"/>
          <w:szCs w:val="22"/>
        </w:rPr>
        <w:t xml:space="preserve">3. Historia: los 4 tipos de modelos operativos</w:t>
      </w:r>
    </w:p>
    <w:p>
      <w:pPr>
        <w:pStyle w:val="ListParagraph"/>
        <w:numPr>
          <w:ilvl w:val="0"/>
          <w:numId w:val="2"/>
        </w:numPr>
        <w:spacing w:after="90" w:line="280"/>
      </w:pPr>
      <w:r>
        <w:rPr>
          <w:color w:val="222222"/>
          <w:sz w:val="22"/>
          <w:szCs w:val="22"/>
        </w:rPr>
        <w:t xml:space="preserve">4. Por qué Bancolombia eligió Federal – State – Local</w:t>
      </w:r>
    </w:p>
    <w:p>
      <w:pPr>
        <w:pStyle w:val="ListParagraph"/>
        <w:numPr>
          <w:ilvl w:val="0"/>
          <w:numId w:val="2"/>
        </w:numPr>
        <w:spacing w:after="90" w:line="280"/>
      </w:pPr>
      <w:r>
        <w:rPr>
          <w:color w:val="222222"/>
          <w:sz w:val="22"/>
          <w:szCs w:val="22"/>
        </w:rPr>
        <w:t xml:space="preserve">5. Los tres niveles: Federal, State y Local</w:t>
      </w:r>
    </w:p>
    <w:p>
      <w:pPr>
        <w:pStyle w:val="ListParagraph"/>
        <w:numPr>
          <w:ilvl w:val="0"/>
          <w:numId w:val="2"/>
        </w:numPr>
        <w:spacing w:after="90" w:line="280"/>
      </w:pPr>
      <w:r>
        <w:rPr>
          <w:color w:val="222222"/>
          <w:sz w:val="22"/>
          <w:szCs w:val="22"/>
        </w:rPr>
        <w:t xml:space="preserve">6. Adaptaciones del modelo dentro del Banco</w:t>
      </w:r>
    </w:p>
    <w:p>
      <w:pPr>
        <w:pStyle w:val="ListParagraph"/>
        <w:numPr>
          <w:ilvl w:val="0"/>
          <w:numId w:val="2"/>
        </w:numPr>
        <w:spacing w:after="90" w:line="280"/>
      </w:pPr>
      <w:r>
        <w:rPr>
          <w:color w:val="222222"/>
          <w:sz w:val="22"/>
          <w:szCs w:val="22"/>
        </w:rPr>
        <w:t xml:space="preserve">7. Estructura organizacional aplicada</w:t>
      </w:r>
    </w:p>
    <w:p>
      <w:pPr>
        <w:pStyle w:val="ListParagraph"/>
        <w:numPr>
          <w:ilvl w:val="0"/>
          <w:numId w:val="2"/>
        </w:numPr>
        <w:spacing w:after="90" w:line="280"/>
      </w:pPr>
      <w:r>
        <w:rPr>
          <w:color w:val="222222"/>
          <w:sz w:val="22"/>
          <w:szCs w:val="22"/>
        </w:rPr>
        <w:t xml:space="preserve">8. Los procesos como base del modelo operativo</w:t>
      </w:r>
    </w:p>
    <w:p>
      <w:pPr>
        <w:pStyle w:val="ListParagraph"/>
        <w:numPr>
          <w:ilvl w:val="0"/>
          <w:numId w:val="2"/>
        </w:numPr>
        <w:spacing w:after="90" w:line="280"/>
      </w:pPr>
      <w:r>
        <w:rPr>
          <w:color w:val="222222"/>
          <w:sz w:val="22"/>
          <w:szCs w:val="22"/>
        </w:rPr>
        <w:t xml:space="preserve">9. Modelo operativo e ingeniería de plataformas</w:t>
      </w:r>
    </w:p>
    <w:p>
      <w:pPr>
        <w:pStyle w:val="ListParagraph"/>
        <w:numPr>
          <w:ilvl w:val="0"/>
          <w:numId w:val="2"/>
        </w:numPr>
        <w:spacing w:after="90" w:line="280"/>
      </w:pPr>
      <w:r>
        <w:rPr>
          <w:color w:val="222222"/>
          <w:sz w:val="22"/>
          <w:szCs w:val="22"/>
        </w:rPr>
        <w:t xml:space="preserve">10. Caso práctico: encuesta de aplicación (con respuestas)</w:t>
      </w:r>
    </w:p>
    <w:p>
      <w:pPr>
        <w:pStyle w:val="ListParagraph"/>
        <w:numPr>
          <w:ilvl w:val="0"/>
          <w:numId w:val="2"/>
        </w:numPr>
        <w:spacing w:after="90" w:line="280"/>
      </w:pPr>
      <w:r>
        <w:rPr>
          <w:color w:val="222222"/>
          <w:sz w:val="22"/>
          <w:szCs w:val="22"/>
        </w:rPr>
        <w:t xml:space="preserve">11. Preguntas frecuentes de la sesión</w:t>
      </w:r>
    </w:p>
    <w:p>
      <w:pPr>
        <w:pStyle w:val="ListParagraph"/>
        <w:numPr>
          <w:ilvl w:val="0"/>
          <w:numId w:val="2"/>
        </w:numPr>
        <w:spacing w:after="90" w:line="280"/>
      </w:pPr>
      <w:r>
        <w:rPr>
          <w:color w:val="222222"/>
          <w:sz w:val="22"/>
          <w:szCs w:val="22"/>
        </w:rPr>
        <w:t xml:space="preserve">12. Resumen y puntos clave para el examen</w:t>
      </w:r>
    </w:p>
    <w:p>
      <w:pPr>
        <w:pageBreakBefore/>
      </w:pPr>
    </w:p>
    <w:p>
      <w:pPr>
        <w:pStyle w:val="Heading1"/>
        <w:pBdr>
          <w:bottom w:val="single" w:color="1F3864" w:sz="6" w:space="4"/>
        </w:pBdr>
        <w:spacing w:after="200" w:before="400"/>
      </w:pPr>
      <w:r>
        <w:rPr>
          <w:b/>
          <w:bCs/>
          <w:color w:val="1F3864"/>
          <w:sz w:val="30"/>
          <w:szCs w:val="30"/>
        </w:rPr>
        <w:t xml:space="preserve">1. ¿Qué es un modelo operativo?</w:t>
      </w:r>
    </w:p>
    <w:p>
      <w:pPr>
        <w:spacing w:after="160" w:line="300"/>
      </w:pPr>
      <w:r>
        <w:rPr>
          <w:color w:val="222222"/>
          <w:sz w:val="22"/>
          <w:szCs w:val="22"/>
        </w:rPr>
        <w:t xml:space="preserve">Un modelo operativo se puede observar incluso en la vida diaria: el conjunto de actividades que una persona realiza desde que se levanta hasta que se sienta a trabajar ya refleja una coordinación medianamente organizada hacia un objetivo. Dentro de una organización, ese mismo principio se formaliza.</w:t>
      </w: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Dos elementos clave</w:t>
            </w:r>
          </w:p>
          <w:p>
            <w:pPr>
              <w:spacing w:after="0" w:line="280"/>
            </w:pPr>
            <w:r>
              <w:rPr>
                <w:color w:val="222222"/>
                <w:sz w:val="21"/>
                <w:szCs w:val="21"/>
              </w:rPr>
              <w:t xml:space="preserve">Todo modelo operativo gira en torno a: (1) la coordinación de esfuerzos entre personas y equipos, y (2) la generación de valor. Este segundo es finalmente el objetivo — la obsesión por tener un modelo operativo no es un fin en sí mismo, sino el medio principal para lograrlo.</w:t>
            </w:r>
          </w:p>
        </w:tc>
      </w:tr>
    </w:tbl>
    <w:p>
      <w:pPr>
        <w:spacing w:after="160"/>
      </w:pPr>
    </w:p>
    <w:p>
      <w:pPr>
        <w:pStyle w:val="Heading2"/>
        <w:spacing w:after="120" w:before="300"/>
      </w:pPr>
      <w:r>
        <w:rPr>
          <w:b/>
          <w:bCs/>
          <w:color w:val="2E5395"/>
          <w:sz w:val="24"/>
          <w:szCs w:val="24"/>
        </w:rPr>
        <w:t xml:space="preserve">Definición de Bancolombia</w:t>
      </w: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Definición oficial</w:t>
            </w:r>
          </w:p>
          <w:p>
            <w:pPr>
              <w:spacing w:after="0" w:line="280"/>
            </w:pPr>
            <w:r>
              <w:rPr>
                <w:color w:val="222222"/>
                <w:sz w:val="21"/>
                <w:szCs w:val="21"/>
              </w:rPr>
              <w:t xml:space="preserve">"La manera en la que coordinamos áreas, procesos y funciones para entregar valor a nuestros clientes y a la organización."</w:t>
            </w:r>
          </w:p>
        </w:tc>
      </w:tr>
    </w:tbl>
    <w:p>
      <w:pPr>
        <w:spacing w:after="160"/>
      </w:pPr>
    </w:p>
    <w:p>
      <w:pPr>
        <w:spacing w:after="160" w:line="300"/>
      </w:pPr>
      <w:r>
        <w:rPr>
          <w:color w:val="222222"/>
          <w:sz w:val="22"/>
          <w:szCs w:val="22"/>
        </w:rPr>
        <w:t xml:space="preserve">El modelo operativo se compara con una partitura, un guión o una hoja de ruta — o, en términos más modernos, con un GPS que guía a la organización y evita que se pierda en lo que está haciendo.</w:t>
      </w:r>
    </w:p>
    <w:p>
      <w:pPr>
        <w:pStyle w:val="Heading2"/>
        <w:spacing w:after="120" w:before="300"/>
      </w:pPr>
      <w:r>
        <w:rPr>
          <w:b/>
          <w:bCs/>
          <w:color w:val="2E5395"/>
          <w:sz w:val="24"/>
          <w:szCs w:val="24"/>
        </w:rPr>
        <w:t xml:space="preserve">Los cuatro pilares del modelo operativo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100"/>
              <w:left w:type="dxa" w:w="120"/>
              <w:bottom w:type="dxa" w:w="100"/>
              <w:right w:type="dxa" w:w="120"/>
            </w:tcMar>
            <w:vAlign w:val="center"/>
          </w:tcPr>
          <w:p>
            <w:r>
              <w:rPr>
                <w:b/>
                <w:bCs/>
                <w:color w:val="FFFFFF"/>
                <w:sz w:val="20"/>
                <w:szCs w:val="20"/>
              </w:rPr>
              <w:t xml:space="preserve">Pilar</w:t>
            </w:r>
          </w:p>
        </w:tc>
        <w:tc>
          <w:tcPr>
            <w:tcW w:type="dxa" w:w="6750"/>
            <w:shd w:fill="1F3864" w:val="clear"/>
            <w:tcMar>
              <w:top w:type="dxa" w:w="100"/>
              <w:left w:type="dxa" w:w="120"/>
              <w:bottom w:type="dxa" w:w="100"/>
              <w:right w:type="dxa" w:w="120"/>
            </w:tcMar>
            <w:vAlign w:val="center"/>
          </w:tcPr>
          <w:p>
            <w:r>
              <w:rPr>
                <w:b/>
                <w:bCs/>
                <w:color w:val="FFFFFF"/>
                <w:sz w:val="20"/>
                <w:szCs w:val="20"/>
              </w:rPr>
              <w:t xml:space="preserve">Rol dentro del modelo</w:t>
            </w:r>
          </w:p>
        </w:tc>
      </w:tr>
      <w:tr>
        <w:tc>
          <w:tcPr>
            <w:tcW w:type="dxa" w:w="2600"/>
            <w:shd w:fill="F2F2F2" w:val="clear"/>
            <w:tcMar>
              <w:top w:type="dxa" w:w="90"/>
              <w:left w:type="dxa" w:w="120"/>
              <w:bottom w:type="dxa" w:w="90"/>
              <w:right w:type="dxa" w:w="120"/>
            </w:tcMar>
            <w:vAlign w:val="center"/>
          </w:tcPr>
          <w:p>
            <w:pPr>
              <w:spacing w:line="260"/>
            </w:pPr>
            <w:r>
              <w:rPr>
                <w:color w:val="222222"/>
                <w:sz w:val="20"/>
                <w:szCs w:val="20"/>
              </w:rPr>
              <w:t xml:space="preserve">Personas</w:t>
            </w:r>
          </w:p>
        </w:tc>
        <w:tc>
          <w:tcPr>
            <w:tcW w:type="dxa" w:w="6750"/>
            <w:shd w:fill="F2F2F2" w:val="clear"/>
            <w:tcMar>
              <w:top w:type="dxa" w:w="90"/>
              <w:left w:type="dxa" w:w="120"/>
              <w:bottom w:type="dxa" w:w="90"/>
              <w:right w:type="dxa" w:w="120"/>
            </w:tcMar>
            <w:vAlign w:val="center"/>
          </w:tcPr>
          <w:p>
            <w:pPr>
              <w:spacing w:line="260"/>
            </w:pPr>
            <w:r>
              <w:rPr>
                <w:color w:val="222222"/>
                <w:sz w:val="20"/>
                <w:szCs w:val="20"/>
              </w:rPr>
              <w:t xml:space="preserve">Ejecutan y sostienen la operación día a día.</w:t>
            </w:r>
          </w:p>
        </w:tc>
      </w:tr>
      <w:tr>
        <w:tc>
          <w:tcPr>
            <w:tcW w:type="dxa" w:w="2600"/>
            <w:shd w:fill="FFFFFF" w:val="clear"/>
            <w:tcMar>
              <w:top w:type="dxa" w:w="90"/>
              <w:left w:type="dxa" w:w="120"/>
              <w:bottom w:type="dxa" w:w="90"/>
              <w:right w:type="dxa" w:w="120"/>
            </w:tcMar>
            <w:vAlign w:val="center"/>
          </w:tcPr>
          <w:p>
            <w:pPr>
              <w:spacing w:line="260"/>
            </w:pPr>
            <w:r>
              <w:rPr>
                <w:color w:val="222222"/>
                <w:sz w:val="20"/>
                <w:szCs w:val="20"/>
              </w:rPr>
              <w:t xml:space="preserve">Procesos</w:t>
            </w:r>
          </w:p>
        </w:tc>
        <w:tc>
          <w:tcPr>
            <w:tcW w:type="dxa" w:w="6750"/>
            <w:shd w:fill="FFFFFF" w:val="clear"/>
            <w:tcMar>
              <w:top w:type="dxa" w:w="90"/>
              <w:left w:type="dxa" w:w="120"/>
              <w:bottom w:type="dxa" w:w="90"/>
              <w:right w:type="dxa" w:w="120"/>
            </w:tcMar>
            <w:vAlign w:val="center"/>
          </w:tcPr>
          <w:p>
            <w:pPr>
              <w:spacing w:line="260"/>
            </w:pPr>
            <w:r>
              <w:rPr>
                <w:color w:val="222222"/>
                <w:sz w:val="20"/>
                <w:szCs w:val="20"/>
              </w:rPr>
              <w:t xml:space="preserve">Dan la línea de ejecución, el "cómo" se opera.</w:t>
            </w:r>
          </w:p>
        </w:tc>
      </w:tr>
      <w:tr>
        <w:tc>
          <w:tcPr>
            <w:tcW w:type="dxa" w:w="2600"/>
            <w:shd w:fill="F2F2F2" w:val="clear"/>
            <w:tcMar>
              <w:top w:type="dxa" w:w="90"/>
              <w:left w:type="dxa" w:w="120"/>
              <w:bottom w:type="dxa" w:w="90"/>
              <w:right w:type="dxa" w:w="120"/>
            </w:tcMar>
            <w:vAlign w:val="center"/>
          </w:tcPr>
          <w:p>
            <w:pPr>
              <w:spacing w:line="260"/>
            </w:pPr>
            <w:r>
              <w:rPr>
                <w:color w:val="222222"/>
                <w:sz w:val="20"/>
                <w:szCs w:val="20"/>
              </w:rPr>
              <w:t xml:space="preserve">Servicios</w:t>
            </w:r>
          </w:p>
        </w:tc>
        <w:tc>
          <w:tcPr>
            <w:tcW w:type="dxa" w:w="6750"/>
            <w:shd w:fill="F2F2F2" w:val="clear"/>
            <w:tcMar>
              <w:top w:type="dxa" w:w="90"/>
              <w:left w:type="dxa" w:w="120"/>
              <w:bottom w:type="dxa" w:w="90"/>
              <w:right w:type="dxa" w:w="120"/>
            </w:tcMar>
            <w:vAlign w:val="center"/>
          </w:tcPr>
          <w:p>
            <w:pPr>
              <w:spacing w:line="260"/>
            </w:pPr>
            <w:r>
              <w:rPr>
                <w:color w:val="222222"/>
                <w:sz w:val="20"/>
                <w:szCs w:val="20"/>
              </w:rPr>
              <w:t xml:space="preserve">Lo que finalmente se entrega y consume.</w:t>
            </w:r>
          </w:p>
        </w:tc>
      </w:tr>
      <w:tr>
        <w:tc>
          <w:tcPr>
            <w:tcW w:type="dxa" w:w="2600"/>
            <w:shd w:fill="FFFFFF" w:val="clear"/>
            <w:tcMar>
              <w:top w:type="dxa" w:w="90"/>
              <w:left w:type="dxa" w:w="120"/>
              <w:bottom w:type="dxa" w:w="90"/>
              <w:right w:type="dxa" w:w="120"/>
            </w:tcMar>
            <w:vAlign w:val="center"/>
          </w:tcPr>
          <w:p>
            <w:pPr>
              <w:spacing w:line="260"/>
            </w:pPr>
            <w:r>
              <w:rPr>
                <w:color w:val="222222"/>
                <w:sz w:val="20"/>
                <w:szCs w:val="20"/>
              </w:rPr>
              <w:t xml:space="preserve">Tecnología</w:t>
            </w:r>
          </w:p>
        </w:tc>
        <w:tc>
          <w:tcPr>
            <w:tcW w:type="dxa" w:w="6750"/>
            <w:shd w:fill="FFFFFF" w:val="clear"/>
            <w:tcMar>
              <w:top w:type="dxa" w:w="90"/>
              <w:left w:type="dxa" w:w="120"/>
              <w:bottom w:type="dxa" w:w="90"/>
              <w:right w:type="dxa" w:w="120"/>
            </w:tcMar>
            <w:vAlign w:val="center"/>
          </w:tcPr>
          <w:p>
            <w:pPr>
              <w:spacing w:line="260"/>
            </w:pPr>
            <w:r>
              <w:rPr>
                <w:color w:val="222222"/>
                <w:sz w:val="20"/>
                <w:szCs w:val="20"/>
              </w:rPr>
              <w:t xml:space="preserve">Habilita, automatiza y escala la operación.</w:t>
            </w:r>
          </w:p>
        </w:tc>
      </w:tr>
    </w:tbl>
    <w:p>
      <w:pPr>
        <w:spacing w:after="200"/>
      </w:pPr>
    </w:p>
    <w:p>
      <w:pPr>
        <w:spacing w:after="160" w:line="300"/>
      </w:pPr>
      <w:r>
        <w:rPr>
          <w:color w:val="222222"/>
          <w:sz w:val="22"/>
          <w:szCs w:val="22"/>
        </w:rPr>
        <w:t xml:space="preserve">La coordinación de estos cuatro pilares es lo que hace posible obtener el resultado que la organización busca.</w:t>
      </w:r>
    </w:p>
    <w:p>
      <w:pPr>
        <w:pageBreakBefore/>
      </w:pPr>
    </w:p>
    <w:p>
      <w:pPr>
        <w:pStyle w:val="Heading1"/>
        <w:pBdr>
          <w:bottom w:val="single" w:color="1F3864" w:sz="6" w:space="4"/>
        </w:pBdr>
        <w:spacing w:after="200" w:before="400"/>
      </w:pPr>
      <w:r>
        <w:rPr>
          <w:b/>
          <w:bCs/>
          <w:color w:val="1F3864"/>
          <w:sz w:val="30"/>
          <w:szCs w:val="30"/>
        </w:rPr>
        <w:t xml:space="preserve">2. El ciclo evolutivo del modelo operativo (PHVA)</w:t>
      </w:r>
    </w:p>
    <w:p>
      <w:pPr>
        <w:spacing w:after="160" w:line="300"/>
      </w:pPr>
      <w:r>
        <w:rPr>
          <w:color w:val="222222"/>
          <w:sz w:val="22"/>
          <w:szCs w:val="22"/>
        </w:rPr>
        <w:t xml:space="preserve">El modelo operativo NO es una entidad fija ni un set de normas inmutables. Tiene un elemento clave: guiar y orientar constantemente. Por eso se relaciona con el ciclo Planear – Hacer – Verificar – Actuar.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100"/>
              <w:left w:type="dxa" w:w="120"/>
              <w:bottom w:type="dxa" w:w="100"/>
              <w:right w:type="dxa" w:w="120"/>
            </w:tcMar>
            <w:vAlign w:val="center"/>
          </w:tcPr>
          <w:p>
            <w:r>
              <w:rPr>
                <w:b/>
                <w:bCs/>
                <w:color w:val="FFFFFF"/>
                <w:sz w:val="20"/>
                <w:szCs w:val="20"/>
              </w:rPr>
              <w:t xml:space="preserve">Etapa</w:t>
            </w:r>
          </w:p>
        </w:tc>
        <w:tc>
          <w:tcPr>
            <w:tcW w:type="dxa" w:w="6950"/>
            <w:shd w:fill="1F3864" w:val="clear"/>
            <w:tcMar>
              <w:top w:type="dxa" w:w="100"/>
              <w:left w:type="dxa" w:w="120"/>
              <w:bottom w:type="dxa" w:w="100"/>
              <w:right w:type="dxa" w:w="120"/>
            </w:tcMar>
            <w:vAlign w:val="center"/>
          </w:tcPr>
          <w:p>
            <w:r>
              <w:rPr>
                <w:b/>
                <w:bCs/>
                <w:color w:val="FFFFFF"/>
                <w:sz w:val="20"/>
                <w:szCs w:val="20"/>
              </w:rPr>
              <w:t xml:space="preserve">Qué implica</w:t>
            </w:r>
          </w:p>
        </w:tc>
      </w:tr>
      <w:tr>
        <w:tc>
          <w:tcPr>
            <w:tcW w:type="dxa" w:w="2400"/>
            <w:shd w:fill="F2F2F2" w:val="clear"/>
            <w:tcMar>
              <w:top w:type="dxa" w:w="90"/>
              <w:left w:type="dxa" w:w="120"/>
              <w:bottom w:type="dxa" w:w="90"/>
              <w:right w:type="dxa" w:w="120"/>
            </w:tcMar>
            <w:vAlign w:val="center"/>
          </w:tcPr>
          <w:p>
            <w:pPr>
              <w:spacing w:line="260"/>
            </w:pPr>
            <w:r>
              <w:rPr>
                <w:color w:val="222222"/>
                <w:sz w:val="20"/>
                <w:szCs w:val="20"/>
              </w:rPr>
              <w:t xml:space="preserve">Planear</w:t>
            </w:r>
          </w:p>
        </w:tc>
        <w:tc>
          <w:tcPr>
            <w:tcW w:type="dxa" w:w="6950"/>
            <w:shd w:fill="F2F2F2" w:val="clear"/>
            <w:tcMar>
              <w:top w:type="dxa" w:w="90"/>
              <w:left w:type="dxa" w:w="120"/>
              <w:bottom w:type="dxa" w:w="90"/>
              <w:right w:type="dxa" w:w="120"/>
            </w:tcMar>
            <w:vAlign w:val="center"/>
          </w:tcPr>
          <w:p>
            <w:pPr>
              <w:spacing w:line="260"/>
            </w:pPr>
            <w:r>
              <w:rPr>
                <w:color w:val="222222"/>
                <w:sz w:val="20"/>
                <w:szCs w:val="20"/>
              </w:rPr>
              <w:t xml:space="preserve">La planeación es fundamental en torno al modelo operativo.</w:t>
            </w:r>
          </w:p>
        </w:tc>
      </w:tr>
      <w:tr>
        <w:tc>
          <w:tcPr>
            <w:tcW w:type="dxa" w:w="2400"/>
            <w:shd w:fill="FFFFFF" w:val="clear"/>
            <w:tcMar>
              <w:top w:type="dxa" w:w="90"/>
              <w:left w:type="dxa" w:w="120"/>
              <w:bottom w:type="dxa" w:w="90"/>
              <w:right w:type="dxa" w:w="120"/>
            </w:tcMar>
            <w:vAlign w:val="center"/>
          </w:tcPr>
          <w:p>
            <w:pPr>
              <w:spacing w:line="260"/>
            </w:pPr>
            <w:r>
              <w:rPr>
                <w:color w:val="222222"/>
                <w:sz w:val="20"/>
                <w:szCs w:val="20"/>
              </w:rPr>
              <w:t xml:space="preserve">Hacer</w:t>
            </w:r>
          </w:p>
        </w:tc>
        <w:tc>
          <w:tcPr>
            <w:tcW w:type="dxa" w:w="6950"/>
            <w:shd w:fill="FFFFFF" w:val="clear"/>
            <w:tcMar>
              <w:top w:type="dxa" w:w="90"/>
              <w:left w:type="dxa" w:w="120"/>
              <w:bottom w:type="dxa" w:w="90"/>
              <w:right w:type="dxa" w:w="120"/>
            </w:tcMar>
            <w:vAlign w:val="center"/>
          </w:tcPr>
          <w:p>
            <w:pPr>
              <w:spacing w:line="260"/>
            </w:pPr>
            <w:r>
              <w:rPr>
                <w:color w:val="222222"/>
                <w:sz w:val="20"/>
                <w:szCs w:val="20"/>
              </w:rPr>
              <w:t xml:space="preserve">Se ejecuta lo planeado en el día a día.</w:t>
            </w:r>
          </w:p>
        </w:tc>
      </w:tr>
      <w:tr>
        <w:tc>
          <w:tcPr>
            <w:tcW w:type="dxa" w:w="2400"/>
            <w:shd w:fill="F2F2F2" w:val="clear"/>
            <w:tcMar>
              <w:top w:type="dxa" w:w="90"/>
              <w:left w:type="dxa" w:w="120"/>
              <w:bottom w:type="dxa" w:w="90"/>
              <w:right w:type="dxa" w:w="120"/>
            </w:tcMar>
            <w:vAlign w:val="center"/>
          </w:tcPr>
          <w:p>
            <w:pPr>
              <w:spacing w:line="260"/>
            </w:pPr>
            <w:r>
              <w:rPr>
                <w:color w:val="222222"/>
                <w:sz w:val="20"/>
                <w:szCs w:val="20"/>
              </w:rPr>
              <w:t xml:space="preserve">Verificar</w:t>
            </w:r>
          </w:p>
        </w:tc>
        <w:tc>
          <w:tcPr>
            <w:tcW w:type="dxa" w:w="6950"/>
            <w:shd w:fill="F2F2F2" w:val="clear"/>
            <w:tcMar>
              <w:top w:type="dxa" w:w="90"/>
              <w:left w:type="dxa" w:w="120"/>
              <w:bottom w:type="dxa" w:w="90"/>
              <w:right w:type="dxa" w:w="120"/>
            </w:tcMar>
            <w:vAlign w:val="center"/>
          </w:tcPr>
          <w:p>
            <w:pPr>
              <w:spacing w:line="260"/>
            </w:pPr>
            <w:r>
              <w:rPr>
                <w:color w:val="222222"/>
                <w:sz w:val="20"/>
                <w:szCs w:val="20"/>
              </w:rPr>
              <w:t xml:space="preserve">Se valida si lo ejecutado genera el valor esperado.</w:t>
            </w:r>
          </w:p>
        </w:tc>
      </w:tr>
      <w:tr>
        <w:tc>
          <w:tcPr>
            <w:tcW w:type="dxa" w:w="2400"/>
            <w:shd w:fill="FFFFFF" w:val="clear"/>
            <w:tcMar>
              <w:top w:type="dxa" w:w="90"/>
              <w:left w:type="dxa" w:w="120"/>
              <w:bottom w:type="dxa" w:w="90"/>
              <w:right w:type="dxa" w:w="120"/>
            </w:tcMar>
            <w:vAlign w:val="center"/>
          </w:tcPr>
          <w:p>
            <w:pPr>
              <w:spacing w:line="260"/>
            </w:pPr>
            <w:r>
              <w:rPr>
                <w:color w:val="222222"/>
                <w:sz w:val="20"/>
                <w:szCs w:val="20"/>
              </w:rPr>
              <w:t xml:space="preserve">Actuar</w:t>
            </w:r>
          </w:p>
        </w:tc>
        <w:tc>
          <w:tcPr>
            <w:tcW w:type="dxa" w:w="6950"/>
            <w:shd w:fill="FFFFFF" w:val="clear"/>
            <w:tcMar>
              <w:top w:type="dxa" w:w="90"/>
              <w:left w:type="dxa" w:w="120"/>
              <w:bottom w:type="dxa" w:w="90"/>
              <w:right w:type="dxa" w:w="120"/>
            </w:tcMar>
            <w:vAlign w:val="center"/>
          </w:tcPr>
          <w:p>
            <w:pPr>
              <w:spacing w:line="260"/>
            </w:pPr>
            <w:r>
              <w:rPr>
                <w:color w:val="222222"/>
                <w:sz w:val="20"/>
                <w:szCs w:val="20"/>
              </w:rPr>
              <w:t xml:space="preserve">Si no se logran los resultados, se corrige el rumbo.</w:t>
            </w:r>
          </w:p>
        </w:tc>
      </w:tr>
    </w:tbl>
    <w:p>
      <w:pPr>
        <w:spacing w:after="20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Palabra clave: evolución</w:t>
            </w:r>
          </w:p>
          <w:p>
            <w:pPr>
              <w:spacing w:after="0" w:line="280"/>
            </w:pPr>
            <w:r>
              <w:rPr>
                <w:color w:val="222222"/>
                <w:sz w:val="21"/>
                <w:szCs w:val="21"/>
              </w:rPr>
              <w:t xml:space="preserve">El modelo operativo no es un elemento que se define una vez y nunca se toca. Debe evaluarse y adaptarse constantemente. Idealmente, no se memoriza paso a paso: se vive tan conectado al día a día que se aplica de forma natural.</w:t>
            </w:r>
          </w:p>
        </w:tc>
      </w:tr>
    </w:tbl>
    <w:p>
      <w:pPr>
        <w:pageBreakBefore/>
      </w:pPr>
    </w:p>
    <w:p>
      <w:pPr>
        <w:pStyle w:val="Heading1"/>
        <w:pBdr>
          <w:bottom w:val="single" w:color="1F3864" w:sz="6" w:space="4"/>
        </w:pBdr>
        <w:spacing w:after="200" w:before="400"/>
      </w:pPr>
      <w:r>
        <w:rPr>
          <w:b/>
          <w:bCs/>
          <w:color w:val="1F3864"/>
          <w:sz w:val="30"/>
          <w:szCs w:val="30"/>
        </w:rPr>
        <w:t xml:space="preserve">3. Historia: los 4 tipos de modelos operativos</w:t>
      </w:r>
    </w:p>
    <w:p>
      <w:pPr>
        <w:spacing w:after="160" w:line="300"/>
      </w:pPr>
      <w:r>
        <w:rPr>
          <w:color w:val="222222"/>
          <w:sz w:val="22"/>
          <w:szCs w:val="22"/>
        </w:rPr>
        <w:t xml:space="preserve">A partir de un proceso de consultoría con dos compañías (una de ellas AWS), se identificaron cuatro modelos operativos de referencia en el mercado tecnológico, ubicados en un espectro entre control y generación de valor.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4200"/>
        <w:gridCol w:w="2650"/>
      </w:tblGrid>
      <w:tr>
        <w:trPr>
          <w:tblHeader/>
        </w:trPr>
        <w:tc>
          <w:tcPr>
            <w:tcW w:type="dxa" w:w="500"/>
            <w:shd w:fill="1F3864" w:val="clear"/>
            <w:tcMar>
              <w:top w:type="dxa" w:w="100"/>
              <w:left w:type="dxa" w:w="120"/>
              <w:bottom w:type="dxa" w:w="100"/>
              <w:right w:type="dxa" w:w="120"/>
            </w:tcMar>
            <w:vAlign w:val="center"/>
          </w:tcPr>
          <w:p>
            <w:r>
              <w:rPr>
                <w:b/>
                <w:bCs/>
                <w:color w:val="FFFFFF"/>
                <w:sz w:val="20"/>
                <w:szCs w:val="20"/>
              </w:rPr>
              <w:t xml:space="preserve">#</w:t>
            </w:r>
          </w:p>
        </w:tc>
        <w:tc>
          <w:tcPr>
            <w:tcW w:type="dxa" w:w="2000"/>
            <w:shd w:fill="1F3864" w:val="clear"/>
            <w:tcMar>
              <w:top w:type="dxa" w:w="100"/>
              <w:left w:type="dxa" w:w="120"/>
              <w:bottom w:type="dxa" w:w="100"/>
              <w:right w:type="dxa" w:w="120"/>
            </w:tcMar>
            <w:vAlign w:val="center"/>
          </w:tcPr>
          <w:p>
            <w:r>
              <w:rPr>
                <w:b/>
                <w:bCs/>
                <w:color w:val="FFFFFF"/>
                <w:sz w:val="20"/>
                <w:szCs w:val="20"/>
              </w:rPr>
              <w:t xml:space="preserve">Modelo</w:t>
            </w:r>
          </w:p>
        </w:tc>
        <w:tc>
          <w:tcPr>
            <w:tcW w:type="dxa" w:w="4200"/>
            <w:shd w:fill="1F3864" w:val="clear"/>
            <w:tcMar>
              <w:top w:type="dxa" w:w="100"/>
              <w:left w:type="dxa" w:w="120"/>
              <w:bottom w:type="dxa" w:w="100"/>
              <w:right w:type="dxa" w:w="120"/>
            </w:tcMar>
            <w:vAlign w:val="center"/>
          </w:tcPr>
          <w:p>
            <w:r>
              <w:rPr>
                <w:b/>
                <w:bCs/>
                <w:color w:val="FFFFFF"/>
                <w:sz w:val="20"/>
                <w:szCs w:val="20"/>
              </w:rPr>
              <w:t xml:space="preserve">Características</w:t>
            </w:r>
          </w:p>
        </w:tc>
        <w:tc>
          <w:tcPr>
            <w:tcW w:type="dxa" w:w="2650"/>
            <w:shd w:fill="1F3864" w:val="clear"/>
            <w:tcMar>
              <w:top w:type="dxa" w:w="100"/>
              <w:left w:type="dxa" w:w="120"/>
              <w:bottom w:type="dxa" w:w="100"/>
              <w:right w:type="dxa" w:w="120"/>
            </w:tcMar>
            <w:vAlign w:val="center"/>
          </w:tcPr>
          <w:p>
            <w:r>
              <w:rPr>
                <w:b/>
                <w:bCs/>
                <w:color w:val="FFFFFF"/>
                <w:sz w:val="20"/>
                <w:szCs w:val="20"/>
              </w:rPr>
              <w:t xml:space="preserve">Trade-off</w:t>
            </w:r>
          </w:p>
        </w:tc>
      </w:tr>
      <w:tr>
        <w:tc>
          <w:tcPr>
            <w:tcW w:type="dxa" w:w="500"/>
            <w:shd w:fill="F2F2F2" w:val="clear"/>
            <w:tcMar>
              <w:top w:type="dxa" w:w="90"/>
              <w:left w:type="dxa" w:w="120"/>
              <w:bottom w:type="dxa" w:w="90"/>
              <w:right w:type="dxa" w:w="120"/>
            </w:tcMar>
            <w:vAlign w:val="center"/>
          </w:tcPr>
          <w:p>
            <w:pPr>
              <w:spacing w:line="260"/>
            </w:pPr>
            <w:r>
              <w:rPr>
                <w:color w:val="222222"/>
                <w:sz w:val="20"/>
                <w:szCs w:val="20"/>
              </w:rPr>
              <w:t xml:space="preserve">1</w:t>
            </w:r>
          </w:p>
        </w:tc>
        <w:tc>
          <w:tcPr>
            <w:tcW w:type="dxa" w:w="2000"/>
            <w:shd w:fill="F2F2F2" w:val="clear"/>
            <w:tcMar>
              <w:top w:type="dxa" w:w="90"/>
              <w:left w:type="dxa" w:w="120"/>
              <w:bottom w:type="dxa" w:w="90"/>
              <w:right w:type="dxa" w:w="120"/>
            </w:tcMar>
            <w:vAlign w:val="center"/>
          </w:tcPr>
          <w:p>
            <w:pPr>
              <w:spacing w:line="260"/>
            </w:pPr>
            <w:r>
              <w:rPr>
                <w:color w:val="222222"/>
                <w:sz w:val="20"/>
                <w:szCs w:val="20"/>
              </w:rPr>
              <w:t xml:space="preserve">Centralizado</w:t>
            </w:r>
          </w:p>
        </w:tc>
        <w:tc>
          <w:tcPr>
            <w:tcW w:type="dxa" w:w="4200"/>
            <w:shd w:fill="F2F2F2" w:val="clear"/>
            <w:tcMar>
              <w:top w:type="dxa" w:w="90"/>
              <w:left w:type="dxa" w:w="120"/>
              <w:bottom w:type="dxa" w:w="90"/>
              <w:right w:type="dxa" w:w="120"/>
            </w:tcMar>
            <w:vAlign w:val="center"/>
          </w:tcPr>
          <w:p>
            <w:pPr>
              <w:spacing w:line="260"/>
            </w:pPr>
            <w:r>
              <w:rPr>
                <w:color w:val="222222"/>
                <w:sz w:val="20"/>
                <w:szCs w:val="20"/>
              </w:rPr>
              <w:t xml:space="preserve">Control central de tecnología, típico de organizaciones clásicas.</w:t>
            </w:r>
          </w:p>
        </w:tc>
        <w:tc>
          <w:tcPr>
            <w:tcW w:type="dxa" w:w="2650"/>
            <w:shd w:fill="F2F2F2" w:val="clear"/>
            <w:tcMar>
              <w:top w:type="dxa" w:w="90"/>
              <w:left w:type="dxa" w:w="120"/>
              <w:bottom w:type="dxa" w:w="90"/>
              <w:right w:type="dxa" w:w="120"/>
            </w:tcMar>
            <w:vAlign w:val="center"/>
          </w:tcPr>
          <w:p>
            <w:pPr>
              <w:spacing w:line="260"/>
            </w:pPr>
            <w:r>
              <w:rPr>
                <w:color w:val="222222"/>
                <w:sz w:val="20"/>
                <w:szCs w:val="20"/>
              </w:rPr>
              <w:t xml:space="preserve">Alto control · Baja alineación con el negocio</w:t>
            </w:r>
          </w:p>
        </w:tc>
      </w:tr>
      <w:tr>
        <w:tc>
          <w:tcPr>
            <w:tcW w:type="dxa" w:w="500"/>
            <w:shd w:fill="FFFFFF" w:val="clear"/>
            <w:tcMar>
              <w:top w:type="dxa" w:w="90"/>
              <w:left w:type="dxa" w:w="120"/>
              <w:bottom w:type="dxa" w:w="90"/>
              <w:right w:type="dxa" w:w="120"/>
            </w:tcMar>
            <w:vAlign w:val="center"/>
          </w:tcPr>
          <w:p>
            <w:pPr>
              <w:spacing w:line="260"/>
            </w:pPr>
            <w:r>
              <w:rPr>
                <w:color w:val="222222"/>
                <w:sz w:val="20"/>
                <w:szCs w:val="20"/>
              </w:rPr>
              <w:t xml:space="preserve">2</w:t>
            </w:r>
          </w:p>
        </w:tc>
        <w:tc>
          <w:tcPr>
            <w:tcW w:type="dxa" w:w="2000"/>
            <w:shd w:fill="FFFFFF" w:val="clear"/>
            <w:tcMar>
              <w:top w:type="dxa" w:w="90"/>
              <w:left w:type="dxa" w:w="120"/>
              <w:bottom w:type="dxa" w:w="90"/>
              <w:right w:type="dxa" w:w="120"/>
            </w:tcMar>
            <w:vAlign w:val="center"/>
          </w:tcPr>
          <w:p>
            <w:pPr>
              <w:spacing w:line="260"/>
            </w:pPr>
            <w:r>
              <w:rPr>
                <w:color w:val="222222"/>
                <w:sz w:val="20"/>
                <w:szCs w:val="20"/>
              </w:rPr>
              <w:t xml:space="preserve">Distribuido</w:t>
            </w:r>
          </w:p>
        </w:tc>
        <w:tc>
          <w:tcPr>
            <w:tcW w:type="dxa" w:w="4200"/>
            <w:shd w:fill="FFFFFF" w:val="clear"/>
            <w:tcMar>
              <w:top w:type="dxa" w:w="90"/>
              <w:left w:type="dxa" w:w="120"/>
              <w:bottom w:type="dxa" w:w="90"/>
              <w:right w:type="dxa" w:w="120"/>
            </w:tcMar>
            <w:vAlign w:val="center"/>
          </w:tcPr>
          <w:p>
            <w:pPr>
              <w:spacing w:line="260"/>
            </w:pPr>
            <w:r>
              <w:rPr>
                <w:color w:val="222222"/>
                <w:sz w:val="20"/>
                <w:szCs w:val="20"/>
              </w:rPr>
              <w:t xml:space="preserve">Unidades tecnológicas independientes con equipo propio embebido.</w:t>
            </w:r>
          </w:p>
        </w:tc>
        <w:tc>
          <w:tcPr>
            <w:tcW w:type="dxa" w:w="2650"/>
            <w:shd w:fill="FFFFFF" w:val="clear"/>
            <w:tcMar>
              <w:top w:type="dxa" w:w="90"/>
              <w:left w:type="dxa" w:w="120"/>
              <w:bottom w:type="dxa" w:w="90"/>
              <w:right w:type="dxa" w:w="120"/>
            </w:tcMar>
            <w:vAlign w:val="center"/>
          </w:tcPr>
          <w:p>
            <w:pPr>
              <w:spacing w:line="260"/>
            </w:pPr>
            <w:r>
              <w:rPr>
                <w:color w:val="222222"/>
                <w:sz w:val="20"/>
                <w:szCs w:val="20"/>
              </w:rPr>
              <w:t xml:space="preserve">Alta alineación al producto · Genera caos, bajo control</w:t>
            </w:r>
          </w:p>
        </w:tc>
      </w:tr>
      <w:tr>
        <w:tc>
          <w:tcPr>
            <w:tcW w:type="dxa" w:w="500"/>
            <w:shd w:fill="F2F2F2" w:val="clear"/>
            <w:tcMar>
              <w:top w:type="dxa" w:w="90"/>
              <w:left w:type="dxa" w:w="120"/>
              <w:bottom w:type="dxa" w:w="90"/>
              <w:right w:type="dxa" w:w="120"/>
            </w:tcMar>
            <w:vAlign w:val="center"/>
          </w:tcPr>
          <w:p>
            <w:pPr>
              <w:spacing w:line="260"/>
            </w:pPr>
            <w:r>
              <w:rPr>
                <w:color w:val="222222"/>
                <w:sz w:val="20"/>
                <w:szCs w:val="20"/>
              </w:rPr>
              <w:t xml:space="preserve">3</w:t>
            </w:r>
          </w:p>
        </w:tc>
        <w:tc>
          <w:tcPr>
            <w:tcW w:type="dxa" w:w="2000"/>
            <w:shd w:fill="F2F2F2" w:val="clear"/>
            <w:tcMar>
              <w:top w:type="dxa" w:w="90"/>
              <w:left w:type="dxa" w:w="120"/>
              <w:bottom w:type="dxa" w:w="90"/>
              <w:right w:type="dxa" w:w="120"/>
            </w:tcMar>
            <w:vAlign w:val="center"/>
          </w:tcPr>
          <w:p>
            <w:pPr>
              <w:spacing w:line="260"/>
            </w:pPr>
            <w:r>
              <w:rPr>
                <w:color w:val="222222"/>
                <w:sz w:val="20"/>
                <w:szCs w:val="20"/>
              </w:rPr>
              <w:t xml:space="preserve">Federal – State – Local</w:t>
            </w:r>
          </w:p>
        </w:tc>
        <w:tc>
          <w:tcPr>
            <w:tcW w:type="dxa" w:w="4200"/>
            <w:shd w:fill="F2F2F2" w:val="clear"/>
            <w:tcMar>
              <w:top w:type="dxa" w:w="90"/>
              <w:left w:type="dxa" w:w="120"/>
              <w:bottom w:type="dxa" w:w="90"/>
              <w:right w:type="dxa" w:w="120"/>
            </w:tcMar>
            <w:vAlign w:val="center"/>
          </w:tcPr>
          <w:p>
            <w:pPr>
              <w:spacing w:line="260"/>
            </w:pPr>
            <w:r>
              <w:rPr>
                <w:color w:val="222222"/>
                <w:sz w:val="20"/>
                <w:szCs w:val="20"/>
              </w:rPr>
              <w:t xml:space="preserve">Modelo actual de Bancolombia: normativo (Federal), habilitador (State) y ejecutor (Local).</w:t>
            </w:r>
          </w:p>
        </w:tc>
        <w:tc>
          <w:tcPr>
            <w:tcW w:type="dxa" w:w="2650"/>
            <w:shd w:fill="F2F2F2" w:val="clear"/>
            <w:tcMar>
              <w:top w:type="dxa" w:w="90"/>
              <w:left w:type="dxa" w:w="120"/>
              <w:bottom w:type="dxa" w:w="90"/>
              <w:right w:type="dxa" w:w="120"/>
            </w:tcMar>
            <w:vAlign w:val="center"/>
          </w:tcPr>
          <w:p>
            <w:pPr>
              <w:spacing w:line="260"/>
            </w:pPr>
            <w:r>
              <w:rPr>
                <w:color w:val="222222"/>
                <w:sz w:val="20"/>
                <w:szCs w:val="20"/>
              </w:rPr>
              <w:t xml:space="preserve">Buen equilibrio: control + alineación al negocio</w:t>
            </w:r>
          </w:p>
        </w:tc>
      </w:tr>
      <w:tr>
        <w:tc>
          <w:tcPr>
            <w:tcW w:type="dxa" w:w="500"/>
            <w:shd w:fill="FFFFFF" w:val="clear"/>
            <w:tcMar>
              <w:top w:type="dxa" w:w="90"/>
              <w:left w:type="dxa" w:w="120"/>
              <w:bottom w:type="dxa" w:w="90"/>
              <w:right w:type="dxa" w:w="120"/>
            </w:tcMar>
            <w:vAlign w:val="center"/>
          </w:tcPr>
          <w:p>
            <w:pPr>
              <w:spacing w:line="260"/>
            </w:pPr>
            <w:r>
              <w:rPr>
                <w:color w:val="222222"/>
                <w:sz w:val="20"/>
                <w:szCs w:val="20"/>
              </w:rPr>
              <w:t xml:space="preserve">4</w:t>
            </w:r>
          </w:p>
        </w:tc>
        <w:tc>
          <w:tcPr>
            <w:tcW w:type="dxa" w:w="2000"/>
            <w:shd w:fill="FFFFFF" w:val="clear"/>
            <w:tcMar>
              <w:top w:type="dxa" w:w="90"/>
              <w:left w:type="dxa" w:w="120"/>
              <w:bottom w:type="dxa" w:w="90"/>
              <w:right w:type="dxa" w:w="120"/>
            </w:tcMar>
            <w:vAlign w:val="center"/>
          </w:tcPr>
          <w:p>
            <w:pPr>
              <w:spacing w:line="260"/>
            </w:pPr>
            <w:r>
              <w:rPr>
                <w:color w:val="222222"/>
                <w:sz w:val="20"/>
                <w:szCs w:val="20"/>
              </w:rPr>
              <w:t xml:space="preserve">Hub and Spoke</w:t>
            </w:r>
          </w:p>
        </w:tc>
        <w:tc>
          <w:tcPr>
            <w:tcW w:type="dxa" w:w="4200"/>
            <w:shd w:fill="FFFFFF" w:val="clear"/>
            <w:tcMar>
              <w:top w:type="dxa" w:w="90"/>
              <w:left w:type="dxa" w:w="120"/>
              <w:bottom w:type="dxa" w:w="90"/>
              <w:right w:type="dxa" w:w="120"/>
            </w:tcMar>
            <w:vAlign w:val="center"/>
          </w:tcPr>
          <w:p>
            <w:pPr>
              <w:spacing w:line="260"/>
            </w:pPr>
            <w:r>
              <w:rPr>
                <w:color w:val="222222"/>
                <w:sz w:val="20"/>
                <w:szCs w:val="20"/>
              </w:rPr>
              <w:t xml:space="preserve">Centralizado en plataformas; un "hub" entrega capacidades para que otros equipos construyan sobre ellas.</w:t>
            </w:r>
          </w:p>
        </w:tc>
        <w:tc>
          <w:tcPr>
            <w:tcW w:type="dxa" w:w="2650"/>
            <w:shd w:fill="FFFFFF" w:val="clear"/>
            <w:tcMar>
              <w:top w:type="dxa" w:w="90"/>
              <w:left w:type="dxa" w:w="120"/>
              <w:bottom w:type="dxa" w:w="90"/>
              <w:right w:type="dxa" w:w="120"/>
            </w:tcMar>
            <w:vAlign w:val="center"/>
          </w:tcPr>
          <w:p>
            <w:pPr>
              <w:spacing w:line="260"/>
            </w:pPr>
            <w:r>
              <w:rPr>
                <w:color w:val="222222"/>
                <w:sz w:val="20"/>
                <w:szCs w:val="20"/>
              </w:rPr>
              <w:t xml:space="preserve">El centro de la conversación es el producto</w:t>
            </w:r>
          </w:p>
        </w:tc>
      </w:tr>
    </w:tbl>
    <w:p>
      <w:pPr>
        <w:spacing w:after="200"/>
      </w:pPr>
    </w:p>
    <w:p>
      <w:pPr>
        <w:pStyle w:val="Heading2"/>
        <w:spacing w:after="120" w:before="300"/>
      </w:pPr>
      <w:r>
        <w:rPr>
          <w:b/>
          <w:bCs/>
          <w:color w:val="2E5395"/>
          <w:sz w:val="24"/>
          <w:szCs w:val="24"/>
        </w:rPr>
        <w:t xml:space="preserve">Comparación de balance control vs. valor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3100"/>
        <w:gridCol w:w="3050"/>
      </w:tblGrid>
      <w:tr>
        <w:trPr>
          <w:tblHeader/>
        </w:trPr>
        <w:tc>
          <w:tcPr>
            <w:tcW w:type="dxa" w:w="3200"/>
            <w:shd w:fill="1F3864" w:val="clear"/>
            <w:tcMar>
              <w:top w:type="dxa" w:w="100"/>
              <w:left w:type="dxa" w:w="120"/>
              <w:bottom w:type="dxa" w:w="100"/>
              <w:right w:type="dxa" w:w="120"/>
            </w:tcMar>
            <w:vAlign w:val="center"/>
          </w:tcPr>
          <w:p>
            <w:r>
              <w:rPr>
                <w:b/>
                <w:bCs/>
                <w:color w:val="FFFFFF"/>
                <w:sz w:val="20"/>
                <w:szCs w:val="20"/>
              </w:rPr>
              <w:t xml:space="preserve">Enfoque</w:t>
            </w:r>
          </w:p>
        </w:tc>
        <w:tc>
          <w:tcPr>
            <w:tcW w:type="dxa" w:w="3100"/>
            <w:shd w:fill="1F3864" w:val="clear"/>
            <w:tcMar>
              <w:top w:type="dxa" w:w="100"/>
              <w:left w:type="dxa" w:w="120"/>
              <w:bottom w:type="dxa" w:w="100"/>
              <w:right w:type="dxa" w:w="120"/>
            </w:tcMar>
            <w:vAlign w:val="center"/>
          </w:tcPr>
          <w:p>
            <w:r>
              <w:rPr>
                <w:b/>
                <w:bCs/>
                <w:color w:val="FFFFFF"/>
                <w:sz w:val="20"/>
                <w:szCs w:val="20"/>
              </w:rPr>
              <w:t xml:space="preserve">Capacidad de control</w:t>
            </w:r>
          </w:p>
        </w:tc>
        <w:tc>
          <w:tcPr>
            <w:tcW w:type="dxa" w:w="3050"/>
            <w:shd w:fill="1F3864" w:val="clear"/>
            <w:tcMar>
              <w:top w:type="dxa" w:w="100"/>
              <w:left w:type="dxa" w:w="120"/>
              <w:bottom w:type="dxa" w:w="100"/>
              <w:right w:type="dxa" w:w="120"/>
            </w:tcMar>
            <w:vAlign w:val="center"/>
          </w:tcPr>
          <w:p>
            <w:r>
              <w:rPr>
                <w:b/>
                <w:bCs/>
                <w:color w:val="FFFFFF"/>
                <w:sz w:val="20"/>
                <w:szCs w:val="20"/>
              </w:rPr>
              <w:t xml:space="preserve">Alineación con el negocio</w:t>
            </w:r>
          </w:p>
        </w:tc>
      </w:tr>
      <w:tr>
        <w:tc>
          <w:tcPr>
            <w:tcW w:type="dxa" w:w="3200"/>
            <w:shd w:fill="F2F2F2" w:val="clear"/>
            <w:tcMar>
              <w:top w:type="dxa" w:w="90"/>
              <w:left w:type="dxa" w:w="120"/>
              <w:bottom w:type="dxa" w:w="90"/>
              <w:right w:type="dxa" w:w="120"/>
            </w:tcMar>
            <w:vAlign w:val="center"/>
          </w:tcPr>
          <w:p>
            <w:pPr>
              <w:spacing w:line="260"/>
            </w:pPr>
            <w:r>
              <w:rPr>
                <w:color w:val="222222"/>
                <w:sz w:val="20"/>
                <w:szCs w:val="20"/>
              </w:rPr>
              <w:t xml:space="preserve">Gobierno centralizado</w:t>
            </w:r>
          </w:p>
        </w:tc>
        <w:tc>
          <w:tcPr>
            <w:tcW w:type="dxa" w:w="3100"/>
            <w:shd w:fill="F2F2F2" w:val="clear"/>
            <w:tcMar>
              <w:top w:type="dxa" w:w="90"/>
              <w:left w:type="dxa" w:w="120"/>
              <w:bottom w:type="dxa" w:w="90"/>
              <w:right w:type="dxa" w:w="120"/>
            </w:tcMar>
            <w:vAlign w:val="center"/>
          </w:tcPr>
          <w:p>
            <w:pPr>
              <w:spacing w:line="260"/>
            </w:pPr>
            <w:r>
              <w:rPr>
                <w:color w:val="222222"/>
                <w:sz w:val="20"/>
                <w:szCs w:val="20"/>
              </w:rPr>
              <w:t xml:space="preserve">Alta</w:t>
            </w:r>
          </w:p>
        </w:tc>
        <w:tc>
          <w:tcPr>
            <w:tcW w:type="dxa" w:w="3050"/>
            <w:shd w:fill="F2F2F2" w:val="clear"/>
            <w:tcMar>
              <w:top w:type="dxa" w:w="90"/>
              <w:left w:type="dxa" w:w="120"/>
              <w:bottom w:type="dxa" w:w="90"/>
              <w:right w:type="dxa" w:w="120"/>
            </w:tcMar>
            <w:vAlign w:val="center"/>
          </w:tcPr>
          <w:p>
            <w:pPr>
              <w:spacing w:line="260"/>
            </w:pPr>
            <w:r>
              <w:rPr>
                <w:color w:val="222222"/>
                <w:sz w:val="20"/>
                <w:szCs w:val="20"/>
              </w:rPr>
              <w:t xml:space="preserve">Baja</w:t>
            </w:r>
          </w:p>
        </w:tc>
      </w:tr>
      <w:tr>
        <w:tc>
          <w:tcPr>
            <w:tcW w:type="dxa" w:w="3200"/>
            <w:shd w:fill="FFFFFF" w:val="clear"/>
            <w:tcMar>
              <w:top w:type="dxa" w:w="90"/>
              <w:left w:type="dxa" w:w="120"/>
              <w:bottom w:type="dxa" w:w="90"/>
              <w:right w:type="dxa" w:w="120"/>
            </w:tcMar>
            <w:vAlign w:val="center"/>
          </w:tcPr>
          <w:p>
            <w:pPr>
              <w:spacing w:line="260"/>
            </w:pPr>
            <w:r>
              <w:rPr>
                <w:color w:val="222222"/>
                <w:sz w:val="20"/>
                <w:szCs w:val="20"/>
              </w:rPr>
              <w:t xml:space="preserve">Capacidades distribuidas</w:t>
            </w:r>
          </w:p>
        </w:tc>
        <w:tc>
          <w:tcPr>
            <w:tcW w:type="dxa" w:w="3100"/>
            <w:shd w:fill="FFFFFF" w:val="clear"/>
            <w:tcMar>
              <w:top w:type="dxa" w:w="90"/>
              <w:left w:type="dxa" w:w="120"/>
              <w:bottom w:type="dxa" w:w="90"/>
              <w:right w:type="dxa" w:w="120"/>
            </w:tcMar>
            <w:vAlign w:val="center"/>
          </w:tcPr>
          <w:p>
            <w:pPr>
              <w:spacing w:line="260"/>
            </w:pPr>
            <w:r>
              <w:rPr>
                <w:color w:val="222222"/>
                <w:sz w:val="20"/>
                <w:szCs w:val="20"/>
              </w:rPr>
              <w:t xml:space="preserve">Baja (genera caos)</w:t>
            </w:r>
          </w:p>
        </w:tc>
        <w:tc>
          <w:tcPr>
            <w:tcW w:type="dxa" w:w="3050"/>
            <w:shd w:fill="FFFFFF" w:val="clear"/>
            <w:tcMar>
              <w:top w:type="dxa" w:w="90"/>
              <w:left w:type="dxa" w:w="120"/>
              <w:bottom w:type="dxa" w:w="90"/>
              <w:right w:type="dxa" w:w="120"/>
            </w:tcMar>
            <w:vAlign w:val="center"/>
          </w:tcPr>
          <w:p>
            <w:pPr>
              <w:spacing w:line="260"/>
            </w:pPr>
            <w:r>
              <w:rPr>
                <w:color w:val="222222"/>
                <w:sz w:val="20"/>
                <w:szCs w:val="20"/>
              </w:rPr>
              <w:t xml:space="preserve">Alta</w:t>
            </w:r>
          </w:p>
        </w:tc>
      </w:tr>
      <w:tr>
        <w:tc>
          <w:tcPr>
            <w:tcW w:type="dxa" w:w="3200"/>
            <w:shd w:fill="F2F2F2" w:val="clear"/>
            <w:tcMar>
              <w:top w:type="dxa" w:w="90"/>
              <w:left w:type="dxa" w:w="120"/>
              <w:bottom w:type="dxa" w:w="90"/>
              <w:right w:type="dxa" w:w="120"/>
            </w:tcMar>
            <w:vAlign w:val="center"/>
          </w:tcPr>
          <w:p>
            <w:pPr>
              <w:spacing w:line="260"/>
            </w:pPr>
            <w:r>
              <w:rPr>
                <w:color w:val="222222"/>
                <w:sz w:val="20"/>
                <w:szCs w:val="20"/>
              </w:rPr>
              <w:t xml:space="preserve">Federal-State-Local / Hub and Spoke</w:t>
            </w:r>
          </w:p>
        </w:tc>
        <w:tc>
          <w:tcPr>
            <w:tcW w:type="dxa" w:w="3100"/>
            <w:shd w:fill="F2F2F2" w:val="clear"/>
            <w:tcMar>
              <w:top w:type="dxa" w:w="90"/>
              <w:left w:type="dxa" w:w="120"/>
              <w:bottom w:type="dxa" w:w="90"/>
              <w:right w:type="dxa" w:w="120"/>
            </w:tcMar>
            <w:vAlign w:val="center"/>
          </w:tcPr>
          <w:p>
            <w:pPr>
              <w:spacing w:line="260"/>
            </w:pPr>
            <w:r>
              <w:rPr>
                <w:color w:val="222222"/>
                <w:sz w:val="20"/>
                <w:szCs w:val="20"/>
              </w:rPr>
              <w:t xml:space="preserve">Media</w:t>
            </w:r>
          </w:p>
        </w:tc>
        <w:tc>
          <w:tcPr>
            <w:tcW w:type="dxa" w:w="3050"/>
            <w:shd w:fill="F2F2F2" w:val="clear"/>
            <w:tcMar>
              <w:top w:type="dxa" w:w="90"/>
              <w:left w:type="dxa" w:w="120"/>
              <w:bottom w:type="dxa" w:w="90"/>
              <w:right w:type="dxa" w:w="120"/>
            </w:tcMar>
            <w:vAlign w:val="center"/>
          </w:tcPr>
          <w:p>
            <w:pPr>
              <w:spacing w:line="260"/>
            </w:pPr>
            <w:r>
              <w:rPr>
                <w:color w:val="222222"/>
                <w:sz w:val="20"/>
                <w:szCs w:val="20"/>
              </w:rPr>
              <w:t xml:space="preserve">Media-Alta — mejor equilibrio general</w:t>
            </w:r>
          </w:p>
        </w:tc>
      </w:tr>
    </w:tbl>
    <w:p>
      <w:pPr>
        <w:pageBreakBefore/>
      </w:pPr>
    </w:p>
    <w:p>
      <w:pPr>
        <w:pStyle w:val="Heading1"/>
        <w:pBdr>
          <w:bottom w:val="single" w:color="1F3864" w:sz="6" w:space="4"/>
        </w:pBdr>
        <w:spacing w:after="200" w:before="400"/>
      </w:pPr>
      <w:r>
        <w:rPr>
          <w:b/>
          <w:bCs/>
          <w:color w:val="1F3864"/>
          <w:sz w:val="30"/>
          <w:szCs w:val="30"/>
        </w:rPr>
        <w:t xml:space="preserve">4. Por qué Bancolombia eligió Federal – State – Local</w:t>
      </w:r>
    </w:p>
    <w:p>
      <w:pPr>
        <w:pStyle w:val="ListParagraph"/>
        <w:numPr>
          <w:ilvl w:val="0"/>
          <w:numId w:val="2"/>
        </w:numPr>
        <w:spacing w:after="90" w:line="280"/>
      </w:pPr>
      <w:r>
        <w:rPr>
          <w:color w:val="222222"/>
          <w:sz w:val="22"/>
          <w:szCs w:val="22"/>
        </w:rPr>
        <w:t xml:space="preserve">Hace sentido con la estructura y distribución actual de los equipos.</w:t>
      </w:r>
    </w:p>
    <w:p>
      <w:pPr>
        <w:pStyle w:val="ListParagraph"/>
        <w:numPr>
          <w:ilvl w:val="0"/>
          <w:numId w:val="2"/>
        </w:numPr>
        <w:spacing w:after="90" w:line="280"/>
      </w:pPr>
      <w:r>
        <w:rPr>
          <w:color w:val="222222"/>
          <w:sz w:val="22"/>
          <w:szCs w:val="22"/>
        </w:rPr>
        <w:t xml:space="preserve">Es coherente con las características de nube que se gestionan hoy.</w:t>
      </w:r>
    </w:p>
    <w:p>
      <w:pPr>
        <w:pStyle w:val="ListParagraph"/>
        <w:numPr>
          <w:ilvl w:val="0"/>
          <w:numId w:val="2"/>
        </w:numPr>
        <w:spacing w:after="90" w:line="280"/>
      </w:pPr>
      <w:r>
        <w:rPr>
          <w:color w:val="222222"/>
          <w:sz w:val="22"/>
          <w:szCs w:val="22"/>
        </w:rPr>
        <w:t xml:space="preserve">Se combina bien con lo que se trabaja desde el mundo on-premise ("el mundo prem").</w:t>
      </w:r>
    </w:p>
    <w:p>
      <w:pPr>
        <w:pStyle w:val="ListParagraph"/>
        <w:numPr>
          <w:ilvl w:val="0"/>
          <w:numId w:val="2"/>
        </w:numPr>
        <w:spacing w:after="90" w:line="280"/>
      </w:pPr>
      <w:r>
        <w:rPr>
          <w:color w:val="222222"/>
          <w:sz w:val="22"/>
          <w:szCs w:val="22"/>
        </w:rPr>
        <w:t xml:space="preserve">Sienta las bases fundamentales para la ingeniería de plataformas, hacia donde se orienta la organización.</w:t>
      </w:r>
    </w:p>
    <w:p>
      <w:pPr>
        <w:spacing w:after="16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Hacia dónde va el Banco</w:t>
            </w:r>
          </w:p>
          <w:p>
            <w:pPr>
              <w:spacing w:after="0" w:line="280"/>
            </w:pPr>
            <w:r>
              <w:rPr>
                <w:color w:val="222222"/>
                <w:sz w:val="21"/>
                <w:szCs w:val="21"/>
              </w:rPr>
              <w:t xml:space="preserve">Bancolombia está hoy en un proceso de transición: combina el modelo Federal-State-Local con aspiraciones hacia el modelo Hub and Spoke, para volverse cada vez más habilitador de capacidades de plataforma.</w:t>
            </w:r>
          </w:p>
        </w:tc>
      </w:tr>
    </w:tbl>
    <w:p>
      <w:pPr>
        <w:pageBreakBefore/>
      </w:pPr>
    </w:p>
    <w:p>
      <w:pPr>
        <w:pStyle w:val="Heading1"/>
        <w:pBdr>
          <w:bottom w:val="single" w:color="1F3864" w:sz="6" w:space="4"/>
        </w:pBdr>
        <w:spacing w:after="200" w:before="400"/>
      </w:pPr>
      <w:r>
        <w:rPr>
          <w:b/>
          <w:bCs/>
          <w:color w:val="1F3864"/>
          <w:sz w:val="30"/>
          <w:szCs w:val="30"/>
        </w:rPr>
        <w:t xml:space="preserve">5. Los tres niveles: Federal, State y Local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250"/>
      </w:tblGrid>
      <w:tr>
        <w:trPr>
          <w:tblHeader/>
        </w:trPr>
        <w:tc>
          <w:tcPr>
            <w:tcW w:type="dxa" w:w="1500"/>
            <w:shd w:fill="1F3864" w:val="clear"/>
            <w:tcMar>
              <w:top w:type="dxa" w:w="100"/>
              <w:left w:type="dxa" w:w="120"/>
              <w:bottom w:type="dxa" w:w="100"/>
              <w:right w:type="dxa" w:w="120"/>
            </w:tcMar>
            <w:vAlign w:val="center"/>
          </w:tcPr>
          <w:p>
            <w:r>
              <w:rPr>
                <w:b/>
                <w:bCs/>
                <w:color w:val="FFFFFF"/>
                <w:sz w:val="20"/>
                <w:szCs w:val="20"/>
              </w:rPr>
              <w:t xml:space="preserve">Nivel</w:t>
            </w:r>
          </w:p>
        </w:tc>
        <w:tc>
          <w:tcPr>
            <w:tcW w:type="dxa" w:w="2600"/>
            <w:shd w:fill="1F3864" w:val="clear"/>
            <w:tcMar>
              <w:top w:type="dxa" w:w="100"/>
              <w:left w:type="dxa" w:w="120"/>
              <w:bottom w:type="dxa" w:w="100"/>
              <w:right w:type="dxa" w:w="120"/>
            </w:tcMar>
            <w:vAlign w:val="center"/>
          </w:tcPr>
          <w:p>
            <w:r>
              <w:rPr>
                <w:b/>
                <w:bCs/>
                <w:color w:val="FFFFFF"/>
                <w:sz w:val="20"/>
                <w:szCs w:val="20"/>
              </w:rPr>
              <w:t xml:space="preserve">Función principal</w:t>
            </w:r>
          </w:p>
        </w:tc>
        <w:tc>
          <w:tcPr>
            <w:tcW w:type="dxa" w:w="5250"/>
            <w:shd w:fill="1F3864" w:val="clear"/>
            <w:tcMar>
              <w:top w:type="dxa" w:w="100"/>
              <w:left w:type="dxa" w:w="120"/>
              <w:bottom w:type="dxa" w:w="100"/>
              <w:right w:type="dxa" w:w="120"/>
            </w:tcMar>
            <w:vAlign w:val="center"/>
          </w:tcPr>
          <w:p>
            <w:r>
              <w:rPr>
                <w:b/>
                <w:bCs/>
                <w:color w:val="FFFFFF"/>
                <w:sz w:val="20"/>
                <w:szCs w:val="20"/>
              </w:rPr>
              <w:t xml:space="preserve">Detalle</w:t>
            </w:r>
          </w:p>
        </w:tc>
      </w:tr>
      <w:tr>
        <w:tc>
          <w:tcPr>
            <w:tcW w:type="dxa" w:w="1500"/>
            <w:shd w:fill="F2F2F2" w:val="clear"/>
            <w:tcMar>
              <w:top w:type="dxa" w:w="90"/>
              <w:left w:type="dxa" w:w="120"/>
              <w:bottom w:type="dxa" w:w="90"/>
              <w:right w:type="dxa" w:w="120"/>
            </w:tcMar>
            <w:vAlign w:val="center"/>
          </w:tcPr>
          <w:p>
            <w:pPr>
              <w:spacing w:line="260"/>
            </w:pPr>
            <w:r>
              <w:rPr>
                <w:color w:val="222222"/>
                <w:sz w:val="20"/>
                <w:szCs w:val="20"/>
              </w:rPr>
              <w:t xml:space="preserve">Federal</w:t>
            </w:r>
          </w:p>
        </w:tc>
        <w:tc>
          <w:tcPr>
            <w:tcW w:type="dxa" w:w="2600"/>
            <w:shd w:fill="F2F2F2" w:val="clear"/>
            <w:tcMar>
              <w:top w:type="dxa" w:w="90"/>
              <w:left w:type="dxa" w:w="120"/>
              <w:bottom w:type="dxa" w:w="90"/>
              <w:right w:type="dxa" w:w="120"/>
            </w:tcMar>
            <w:vAlign w:val="center"/>
          </w:tcPr>
          <w:p>
            <w:pPr>
              <w:spacing w:line="260"/>
            </w:pPr>
            <w:r>
              <w:rPr>
                <w:color w:val="222222"/>
                <w:sz w:val="20"/>
                <w:szCs w:val="20"/>
              </w:rPr>
              <w:t xml:space="preserve">Gobierno y normatividad</w:t>
            </w:r>
          </w:p>
        </w:tc>
        <w:tc>
          <w:tcPr>
            <w:tcW w:type="dxa" w:w="5250"/>
            <w:shd w:fill="F2F2F2" w:val="clear"/>
            <w:tcMar>
              <w:top w:type="dxa" w:w="90"/>
              <w:left w:type="dxa" w:w="120"/>
              <w:bottom w:type="dxa" w:w="90"/>
              <w:right w:type="dxa" w:w="120"/>
            </w:tcMar>
            <w:vAlign w:val="center"/>
          </w:tcPr>
          <w:p>
            <w:pPr>
              <w:spacing w:line="260"/>
            </w:pPr>
            <w:r>
              <w:rPr>
                <w:color w:val="222222"/>
                <w:sz w:val="20"/>
                <w:szCs w:val="20"/>
              </w:rPr>
              <w:t xml:space="preserve">Provee lineamientos, prácticas, capacidades y procesos. Son los Centros de Excelencia.</w:t>
            </w:r>
          </w:p>
        </w:tc>
      </w:tr>
      <w:tr>
        <w:tc>
          <w:tcPr>
            <w:tcW w:type="dxa" w:w="1500"/>
            <w:shd w:fill="FFFFFF" w:val="clear"/>
            <w:tcMar>
              <w:top w:type="dxa" w:w="90"/>
              <w:left w:type="dxa" w:w="120"/>
              <w:bottom w:type="dxa" w:w="90"/>
              <w:right w:type="dxa" w:w="120"/>
            </w:tcMar>
            <w:vAlign w:val="center"/>
          </w:tcPr>
          <w:p>
            <w:pPr>
              <w:spacing w:line="260"/>
            </w:pPr>
            <w:r>
              <w:rPr>
                <w:color w:val="222222"/>
                <w:sz w:val="20"/>
                <w:szCs w:val="20"/>
              </w:rPr>
              <w:t xml:space="preserve">State</w:t>
            </w:r>
          </w:p>
        </w:tc>
        <w:tc>
          <w:tcPr>
            <w:tcW w:type="dxa" w:w="2600"/>
            <w:shd w:fill="FFFFFF" w:val="clear"/>
            <w:tcMar>
              <w:top w:type="dxa" w:w="90"/>
              <w:left w:type="dxa" w:w="120"/>
              <w:bottom w:type="dxa" w:w="90"/>
              <w:right w:type="dxa" w:w="120"/>
            </w:tcMar>
            <w:vAlign w:val="center"/>
          </w:tcPr>
          <w:p>
            <w:pPr>
              <w:spacing w:line="260"/>
            </w:pPr>
            <w:r>
              <w:rPr>
                <w:color w:val="222222"/>
                <w:sz w:val="20"/>
                <w:szCs w:val="20"/>
              </w:rPr>
              <w:t xml:space="preserve">Habilitación y estandarización</w:t>
            </w:r>
          </w:p>
        </w:tc>
        <w:tc>
          <w:tcPr>
            <w:tcW w:type="dxa" w:w="5250"/>
            <w:shd w:fill="FFFFFF" w:val="clear"/>
            <w:tcMar>
              <w:top w:type="dxa" w:w="90"/>
              <w:left w:type="dxa" w:w="120"/>
              <w:bottom w:type="dxa" w:w="90"/>
              <w:right w:type="dxa" w:w="120"/>
            </w:tcMar>
            <w:vAlign w:val="center"/>
          </w:tcPr>
          <w:p>
            <w:pPr>
              <w:spacing w:line="260"/>
            </w:pPr>
            <w:r>
              <w:rPr>
                <w:color w:val="222222"/>
                <w:sz w:val="20"/>
                <w:szCs w:val="20"/>
              </w:rPr>
              <w:t xml:space="preserve">Habilita productos, estandariza la operación, apoya adopción de lineamientos y garantiza cumplimiento. Entrega capacidades listas para consumir.</w:t>
            </w:r>
          </w:p>
        </w:tc>
      </w:tr>
      <w:tr>
        <w:tc>
          <w:tcPr>
            <w:tcW w:type="dxa" w:w="1500"/>
            <w:shd w:fill="F2F2F2" w:val="clear"/>
            <w:tcMar>
              <w:top w:type="dxa" w:w="90"/>
              <w:left w:type="dxa" w:w="120"/>
              <w:bottom w:type="dxa" w:w="90"/>
              <w:right w:type="dxa" w:w="120"/>
            </w:tcMar>
            <w:vAlign w:val="center"/>
          </w:tcPr>
          <w:p>
            <w:pPr>
              <w:spacing w:line="260"/>
            </w:pPr>
            <w:r>
              <w:rPr>
                <w:color w:val="222222"/>
                <w:sz w:val="20"/>
                <w:szCs w:val="20"/>
              </w:rPr>
              <w:t xml:space="preserve">Local</w:t>
            </w:r>
          </w:p>
        </w:tc>
        <w:tc>
          <w:tcPr>
            <w:tcW w:type="dxa" w:w="2600"/>
            <w:shd w:fill="F2F2F2" w:val="clear"/>
            <w:tcMar>
              <w:top w:type="dxa" w:w="90"/>
              <w:left w:type="dxa" w:w="120"/>
              <w:bottom w:type="dxa" w:w="90"/>
              <w:right w:type="dxa" w:w="120"/>
            </w:tcMar>
            <w:vAlign w:val="center"/>
          </w:tcPr>
          <w:p>
            <w:pPr>
              <w:spacing w:line="260"/>
            </w:pPr>
            <w:r>
              <w:rPr>
                <w:color w:val="222222"/>
                <w:sz w:val="20"/>
                <w:szCs w:val="20"/>
              </w:rPr>
              <w:t xml:space="preserve">Ejecución y consumo (BUs)</w:t>
            </w:r>
          </w:p>
        </w:tc>
        <w:tc>
          <w:tcPr>
            <w:tcW w:type="dxa" w:w="5250"/>
            <w:shd w:fill="F2F2F2" w:val="clear"/>
            <w:tcMar>
              <w:top w:type="dxa" w:w="90"/>
              <w:left w:type="dxa" w:w="120"/>
              <w:bottom w:type="dxa" w:w="90"/>
              <w:right w:type="dxa" w:w="120"/>
            </w:tcMar>
            <w:vAlign w:val="center"/>
          </w:tcPr>
          <w:p>
            <w:pPr>
              <w:spacing w:line="260"/>
            </w:pPr>
            <w:r>
              <w:rPr>
                <w:color w:val="222222"/>
                <w:sz w:val="20"/>
                <w:szCs w:val="20"/>
              </w:rPr>
              <w:t xml:space="preserve">Consume los servicios/lineamientos con alta autonomía; ejecuta las acciones que generan el máximo valor. Incluye soporte, cercano al cliente final.</w:t>
            </w:r>
          </w:p>
        </w:tc>
      </w:tr>
    </w:tbl>
    <w:p>
      <w:pPr>
        <w:spacing w:after="200"/>
      </w:pPr>
    </w:p>
    <w:p>
      <w:pPr>
        <w:spacing w:after="160" w:line="300"/>
      </w:pPr>
      <w:r>
        <w:rPr>
          <w:color w:val="222222"/>
          <w:sz w:val="22"/>
          <w:szCs w:val="22"/>
        </w:rPr>
        <w:t xml:space="preserve">Estos tres elementos se complementan entre sí: el Federal define, el State habilita, y el Local ejecuta y genera valor de cara al cliente.</w:t>
      </w:r>
    </w:p>
    <w:p>
      <w:pPr>
        <w:pageBreakBefore/>
      </w:pPr>
    </w:p>
    <w:p>
      <w:pPr>
        <w:pStyle w:val="Heading1"/>
        <w:pBdr>
          <w:bottom w:val="single" w:color="1F3864" w:sz="6" w:space="4"/>
        </w:pBdr>
        <w:spacing w:after="200" w:before="400"/>
      </w:pPr>
      <w:r>
        <w:rPr>
          <w:b/>
          <w:bCs/>
          <w:color w:val="1F3864"/>
          <w:sz w:val="30"/>
          <w:szCs w:val="30"/>
        </w:rPr>
        <w:t xml:space="preserve">6. Adaptaciones del modelo dentro del Banco</w:t>
      </w:r>
    </w:p>
    <w:p>
      <w:pPr>
        <w:spacing w:after="160" w:line="300"/>
      </w:pPr>
      <w:r>
        <w:rPr>
          <w:color w:val="222222"/>
          <w:sz w:val="22"/>
          <w:szCs w:val="22"/>
        </w:rPr>
        <w:t xml:space="preserve">El modelo Federal-State-Local no es una "camisa de fuerza": existen tres variaciones dentro del Banco, todas basadas en el mismo concepto general pero adaptadas según las aplicaciones y soluciones específicas.</w:t>
      </w:r>
    </w:p>
    <w:p>
      <w:pPr>
        <w:pStyle w:val="ListParagraph"/>
        <w:numPr>
          <w:ilvl w:val="0"/>
          <w:numId w:val="2"/>
        </w:numPr>
        <w:spacing w:after="90" w:line="280"/>
      </w:pPr>
      <w:r>
        <w:rPr>
          <w:color w:val="222222"/>
          <w:sz w:val="22"/>
          <w:szCs w:val="22"/>
        </w:rPr>
        <w:t xml:space="preserve">En algunos casos, el equipo de plataforma (State) también participa en parte de la operación de la aplicación, cuando esto mejora la disponibilidad o libera al equipo Local para enfocarse en generación de valor.</w:t>
      </w:r>
    </w:p>
    <w:p>
      <w:pPr>
        <w:pStyle w:val="ListParagraph"/>
        <w:numPr>
          <w:ilvl w:val="0"/>
          <w:numId w:val="2"/>
        </w:numPr>
        <w:spacing w:after="90" w:line="280"/>
      </w:pPr>
      <w:r>
        <w:rPr>
          <w:color w:val="222222"/>
          <w:sz w:val="22"/>
          <w:szCs w:val="22"/>
        </w:rPr>
        <w:t xml:space="preserve">En otros modelos, las capacidades están más distribuidas: el equipo Local gestiona su aplicación de principio a fin, con una línea más clara frente a plataforma.</w:t>
      </w:r>
    </w:p>
    <w:p>
      <w:pPr>
        <w:pStyle w:val="ListParagraph"/>
        <w:numPr>
          <w:ilvl w:val="0"/>
          <w:numId w:val="2"/>
        </w:numPr>
        <w:spacing w:after="90" w:line="280"/>
      </w:pPr>
      <w:r>
        <w:rPr>
          <w:color w:val="222222"/>
          <w:sz w:val="22"/>
          <w:szCs w:val="22"/>
        </w:rPr>
        <w:t xml:space="preserve">Hay casos donde el equipo de plataforma también realiza labores administrativas y de ingeniería sobre algunos productos de la misma plataforma.</w:t>
      </w:r>
    </w:p>
    <w:p>
      <w:pPr>
        <w:spacing w:after="160"/>
      </w:pPr>
    </w:p>
    <w:tbl>
      <w:tblPr>
        <w:tblW w:type="pct" w:w="100%"/>
        <w:tblBorders>
          <w:top w:val="single" w:color="C55A11" w:sz="4"/>
          <w:left w:val="single" w:color="C55A11" w:sz="24"/>
          <w:bottom w:val="single" w:color="C55A11" w:sz="4"/>
          <w:right w:val="single" w:color="C55A11" w:sz="4"/>
          <w:insideH w:val="single" w:color="auto" w:sz="4"/>
          <w:insideV w:val="single" w:color="auto" w:sz="4"/>
        </w:tblBorders>
      </w:tblPr>
      <w:tblGrid>
        <w:gridCol w:w="100"/>
      </w:tblGrid>
      <w:tr>
        <w:tc>
          <w:tcPr>
            <w:shd w:fill="FCE4D6" w:val="clear"/>
            <w:tcMar>
              <w:top w:type="dxa" w:w="150"/>
              <w:left w:type="dxa" w:w="200"/>
              <w:bottom w:type="dxa" w:w="150"/>
              <w:right w:type="dxa" w:w="200"/>
            </w:tcMar>
          </w:tcPr>
          <w:p>
            <w:pPr>
              <w:spacing w:after="60"/>
            </w:pPr>
            <w:r>
              <w:rPr>
                <w:b/>
                <w:bCs/>
                <w:color w:val="1F3864"/>
                <w:sz w:val="21"/>
                <w:szCs w:val="21"/>
              </w:rPr>
              <w:t xml:space="preserve">⚠️ Punto de atención para el examen</w:t>
            </w:r>
          </w:p>
          <w:p>
            <w:pPr>
              <w:spacing w:after="0" w:line="280"/>
            </w:pPr>
            <w:r>
              <w:rPr>
                <w:color w:val="222222"/>
                <w:sz w:val="21"/>
                <w:szCs w:val="21"/>
              </w:rPr>
              <w:t xml:space="preserve">Un modelo operativo que NO se adapta a la condición del negocio deja de ser un modelo evolucionado y se vuelve rígido — más centrado en cumplir normas que en alinearse con el negocio. La palabra clave sigue siendo coordinación, con capacidad de adaptación dentro de una misma estructura general.</w:t>
            </w:r>
          </w:p>
        </w:tc>
      </w:tr>
    </w:tbl>
    <w:p>
      <w:pPr>
        <w:spacing w:after="16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No confundir</w:t>
            </w:r>
          </w:p>
          <w:p>
            <w:pPr>
              <w:spacing w:after="0" w:line="280"/>
            </w:pPr>
            <w:r>
              <w:rPr>
                <w:color w:val="222222"/>
                <w:sz w:val="21"/>
                <w:szCs w:val="21"/>
              </w:rPr>
              <w:t xml:space="preserve">El modelo operativo NO es lo mismo que la estructura organizacional. La estructura tiene mucho que ver con el modelo, pero no es el modelo operativo en sí mismo.</w:t>
            </w:r>
          </w:p>
        </w:tc>
      </w:tr>
    </w:tbl>
    <w:p>
      <w:pPr>
        <w:pageBreakBefore/>
      </w:pPr>
    </w:p>
    <w:p>
      <w:pPr>
        <w:pStyle w:val="Heading1"/>
        <w:pBdr>
          <w:bottom w:val="single" w:color="1F3864" w:sz="6" w:space="4"/>
        </w:pBdr>
        <w:spacing w:after="200" w:before="400"/>
      </w:pPr>
      <w:r>
        <w:rPr>
          <w:b/>
          <w:bCs/>
          <w:color w:val="1F3864"/>
          <w:sz w:val="30"/>
          <w:szCs w:val="30"/>
        </w:rPr>
        <w:t xml:space="preserve">7. Estructura organizacional aplicada</w:t>
      </w:r>
    </w:p>
    <w:p>
      <w:pPr>
        <w:spacing w:after="160" w:line="300"/>
      </w:pPr>
      <w:r>
        <w:rPr>
          <w:color w:val="222222"/>
          <w:sz w:val="22"/>
          <w:szCs w:val="22"/>
        </w:rPr>
        <w:t xml:space="preserve">Así se mapea la estructura actual de Bancolombia sobre el modelo Federal-State-Local (explicación de Erika):</w:t>
      </w:r>
    </w:p>
    <w:p>
      <w:pPr>
        <w:pStyle w:val="Heading2"/>
        <w:spacing w:after="120" w:before="300"/>
      </w:pPr>
      <w:r>
        <w:rPr>
          <w:b/>
          <w:bCs/>
          <w:color w:val="2E5395"/>
          <w:sz w:val="24"/>
          <w:szCs w:val="24"/>
        </w:rPr>
        <w:t xml:space="preserve">Equipos 100% Federal</w:t>
      </w:r>
    </w:p>
    <w:p>
      <w:pPr>
        <w:pStyle w:val="ListParagraph"/>
        <w:numPr>
          <w:ilvl w:val="0"/>
          <w:numId w:val="2"/>
        </w:numPr>
        <w:spacing w:after="90" w:line="280"/>
      </w:pPr>
      <w:r>
        <w:rPr>
          <w:color w:val="222222"/>
          <w:sz w:val="22"/>
          <w:szCs w:val="22"/>
        </w:rPr>
        <w:t xml:space="preserve">Modernización y Gobierno</w:t>
      </w:r>
    </w:p>
    <w:p>
      <w:pPr>
        <w:pStyle w:val="ListParagraph"/>
        <w:numPr>
          <w:ilvl w:val="0"/>
          <w:numId w:val="2"/>
        </w:numPr>
        <w:spacing w:after="90" w:line="280"/>
      </w:pPr>
      <w:r>
        <w:rPr>
          <w:color w:val="222222"/>
          <w:sz w:val="22"/>
          <w:szCs w:val="22"/>
        </w:rPr>
        <w:t xml:space="preserve">Evolución del Modelo Operativo</w:t>
      </w:r>
    </w:p>
    <w:p>
      <w:pPr>
        <w:pStyle w:val="ListParagraph"/>
        <w:numPr>
          <w:ilvl w:val="0"/>
          <w:numId w:val="2"/>
        </w:numPr>
        <w:spacing w:after="90" w:line="280"/>
      </w:pPr>
      <w:r>
        <w:rPr>
          <w:color w:val="222222"/>
          <w:sz w:val="22"/>
          <w:szCs w:val="22"/>
        </w:rPr>
        <w:t xml:space="preserve">Administración Integral (financiero, conocimiento, gestión de terceros, capacidad, comunicación)</w:t>
      </w:r>
    </w:p>
    <w:p>
      <w:pPr>
        <w:spacing w:after="140"/>
      </w:pPr>
    </w:p>
    <w:p>
      <w:pPr>
        <w:pStyle w:val="Heading2"/>
        <w:spacing w:after="120" w:before="300"/>
      </w:pPr>
      <w:r>
        <w:rPr>
          <w:b/>
          <w:bCs/>
          <w:color w:val="2E5395"/>
          <w:sz w:val="24"/>
          <w:szCs w:val="24"/>
        </w:rPr>
        <w:t xml:space="preserve">Equipos Federal + State (Centros de Excelencia)</w:t>
      </w:r>
    </w:p>
    <w:p>
      <w:pPr>
        <w:pStyle w:val="ListParagraph"/>
        <w:numPr>
          <w:ilvl w:val="0"/>
          <w:numId w:val="2"/>
        </w:numPr>
        <w:spacing w:after="90" w:line="280"/>
      </w:pPr>
      <w:r>
        <w:rPr>
          <w:color w:val="222222"/>
          <w:sz w:val="22"/>
          <w:szCs w:val="22"/>
        </w:rPr>
        <w:t xml:space="preserve">Centro de Excelencia de Infraestructura y Operación</w:t>
      </w:r>
    </w:p>
    <w:p>
      <w:pPr>
        <w:pStyle w:val="ListParagraph"/>
        <w:numPr>
          <w:ilvl w:val="0"/>
          <w:numId w:val="2"/>
        </w:numPr>
        <w:spacing w:after="90" w:line="280"/>
      </w:pPr>
      <w:r>
        <w:rPr>
          <w:color w:val="222222"/>
          <w:sz w:val="22"/>
          <w:szCs w:val="22"/>
        </w:rPr>
        <w:t xml:space="preserve">Centro de Excelencia de DevEx</w:t>
      </w:r>
    </w:p>
    <w:p>
      <w:pPr>
        <w:pStyle w:val="ListParagraph"/>
        <w:numPr>
          <w:ilvl w:val="0"/>
          <w:numId w:val="2"/>
        </w:numPr>
        <w:spacing w:after="90" w:line="280"/>
      </w:pPr>
      <w:r>
        <w:rPr>
          <w:color w:val="222222"/>
          <w:sz w:val="22"/>
          <w:szCs w:val="22"/>
        </w:rPr>
        <w:t xml:space="preserve">Centro de Excelencia de Arquitectura Empresarial</w:t>
      </w:r>
    </w:p>
    <w:p>
      <w:pPr>
        <w:spacing w:after="160" w:line="300"/>
      </w:pPr>
      <w:r>
        <w:rPr>
          <w:color w:val="222222"/>
          <w:sz w:val="22"/>
          <w:szCs w:val="22"/>
        </w:rPr>
        <w:t xml:space="preserve">Estos equipos entregan lineamientos, buenas prácticas y estándares — tienen incidencia tanto en Federal como en State.</w:t>
      </w:r>
    </w:p>
    <w:p>
      <w:pPr>
        <w:spacing w:after="140"/>
      </w:pPr>
    </w:p>
    <w:p>
      <w:pPr>
        <w:pStyle w:val="Heading2"/>
        <w:spacing w:after="120" w:before="300"/>
      </w:pPr>
      <w:r>
        <w:rPr>
          <w:b/>
          <w:bCs/>
          <w:color w:val="2E5395"/>
          <w:sz w:val="24"/>
          <w:szCs w:val="24"/>
        </w:rPr>
        <w:t xml:space="preserve">Equipos puramente State</w:t>
      </w:r>
    </w:p>
    <w:p>
      <w:pPr>
        <w:pStyle w:val="ListParagraph"/>
        <w:numPr>
          <w:ilvl w:val="0"/>
          <w:numId w:val="2"/>
        </w:numPr>
        <w:spacing w:after="90" w:line="280"/>
      </w:pPr>
      <w:r>
        <w:rPr>
          <w:color w:val="222222"/>
          <w:sz w:val="22"/>
          <w:szCs w:val="22"/>
        </w:rPr>
        <w:t xml:space="preserve">Entornos de habilitación de productos y operación (3 CBs)</w:t>
      </w:r>
    </w:p>
    <w:p>
      <w:pPr>
        <w:pStyle w:val="ListParagraph"/>
        <w:numPr>
          <w:ilvl w:val="0"/>
          <w:numId w:val="2"/>
        </w:numPr>
        <w:spacing w:after="90" w:line="280"/>
      </w:pPr>
      <w:r>
        <w:rPr>
          <w:color w:val="222222"/>
          <w:sz w:val="22"/>
          <w:szCs w:val="22"/>
        </w:rPr>
        <w:t xml:space="preserve">Datos e Integración</w:t>
      </w:r>
    </w:p>
    <w:p>
      <w:pPr>
        <w:pStyle w:val="ListParagraph"/>
        <w:numPr>
          <w:ilvl w:val="0"/>
          <w:numId w:val="2"/>
        </w:numPr>
        <w:spacing w:after="90" w:line="280"/>
      </w:pPr>
      <w:r>
        <w:rPr>
          <w:color w:val="222222"/>
          <w:sz w:val="22"/>
          <w:szCs w:val="22"/>
        </w:rPr>
        <w:t xml:space="preserve">Plataformas de Desarrollo</w:t>
      </w:r>
    </w:p>
    <w:p>
      <w:pPr>
        <w:pStyle w:val="ListParagraph"/>
        <w:numPr>
          <w:ilvl w:val="0"/>
          <w:numId w:val="2"/>
        </w:numPr>
        <w:spacing w:after="90" w:line="280"/>
      </w:pPr>
      <w:r>
        <w:rPr>
          <w:color w:val="222222"/>
          <w:sz w:val="22"/>
          <w:szCs w:val="22"/>
        </w:rPr>
        <w:t xml:space="preserve">Ingeniería de Plataformas, Fraude y Ciberseguridad</w:t>
      </w:r>
    </w:p>
    <w:p>
      <w:pPr>
        <w:spacing w:after="160" w:line="300"/>
      </w:pPr>
      <w:r>
        <w:rPr>
          <w:color w:val="222222"/>
          <w:sz w:val="22"/>
          <w:szCs w:val="22"/>
        </w:rPr>
        <w:t xml:space="preserve">Su propósito: habilitar productos, artefactos y automatizaciones de forma fácil para que el equipo Local pueda consumirlos.</w:t>
      </w:r>
    </w:p>
    <w:p>
      <w:pPr>
        <w:spacing w:after="14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Vicepresidencias</w:t>
            </w:r>
          </w:p>
          <w:p>
            <w:pPr>
              <w:spacing w:after="0" w:line="280"/>
            </w:pPr>
            <w:r>
              <w:rPr>
                <w:color w:val="222222"/>
                <w:sz w:val="21"/>
                <w:szCs w:val="21"/>
              </w:rPr>
              <w:t xml:space="preserve">Federal + State conforman la Vicepresidencia de Servicios de Tecnología e Información (liderada por Álvaro). El nivel Local corresponde a la Vicepresidencia de Tecnología para el Negocio (liderada por Fidel): entornos, clientes, canales, productos, negocios especializados, ecosistemas, Payment Service Hub y equipos Offshore.</w:t>
            </w:r>
          </w:p>
        </w:tc>
      </w:tr>
    </w:tbl>
    <w:p>
      <w:pPr>
        <w:pageBreakBefore/>
      </w:pPr>
    </w:p>
    <w:p>
      <w:pPr>
        <w:pStyle w:val="Heading1"/>
        <w:pBdr>
          <w:bottom w:val="single" w:color="1F3864" w:sz="6" w:space="4"/>
        </w:pBdr>
        <w:spacing w:after="200" w:before="400"/>
      </w:pPr>
      <w:r>
        <w:rPr>
          <w:b/>
          <w:bCs/>
          <w:color w:val="1F3864"/>
          <w:sz w:val="30"/>
          <w:szCs w:val="30"/>
        </w:rPr>
        <w:t xml:space="preserve">8. Los procesos como base del modelo operativo</w:t>
      </w:r>
    </w:p>
    <w:p>
      <w:pPr>
        <w:spacing w:after="160" w:line="300"/>
      </w:pPr>
      <w:r>
        <w:rPr>
          <w:color w:val="222222"/>
          <w:sz w:val="22"/>
          <w:szCs w:val="22"/>
        </w:rPr>
        <w:t xml:space="preserve">Todo el modelo se apalanca en los procesos de la Vicepresidencia de Tecnología, que:</w:t>
      </w:r>
    </w:p>
    <w:p>
      <w:pPr>
        <w:pStyle w:val="ListParagraph"/>
        <w:numPr>
          <w:ilvl w:val="0"/>
          <w:numId w:val="2"/>
        </w:numPr>
        <w:spacing w:after="90" w:line="280"/>
      </w:pPr>
      <w:r>
        <w:rPr>
          <w:color w:val="222222"/>
          <w:sz w:val="22"/>
          <w:szCs w:val="22"/>
        </w:rPr>
        <w:t xml:space="preserve">Aseguran que las acciones no se hagan una sola vez, sino de forma iterativa (ciclo PHVA).</w:t>
      </w:r>
    </w:p>
    <w:p>
      <w:pPr>
        <w:pStyle w:val="ListParagraph"/>
        <w:numPr>
          <w:ilvl w:val="0"/>
          <w:numId w:val="2"/>
        </w:numPr>
        <w:spacing w:after="90" w:line="280"/>
      </w:pPr>
      <w:r>
        <w:rPr>
          <w:color w:val="222222"/>
          <w:sz w:val="22"/>
          <w:szCs w:val="22"/>
        </w:rPr>
        <w:t xml:space="preserve">Dan soporte para que la operación sea confiable, segura y cumplida.</w:t>
      </w:r>
    </w:p>
    <w:p>
      <w:pPr>
        <w:pStyle w:val="ListParagraph"/>
        <w:numPr>
          <w:ilvl w:val="0"/>
          <w:numId w:val="2"/>
        </w:numPr>
        <w:spacing w:after="90" w:line="280"/>
      </w:pPr>
      <w:r>
        <w:rPr>
          <w:color w:val="222222"/>
          <w:sz w:val="22"/>
          <w:szCs w:val="22"/>
        </w:rPr>
        <w:t xml:space="preserve">Se miden mediante métricas que permiten saber si la operación funciona o si hay que actuar para mejorar.</w:t>
      </w:r>
    </w:p>
    <w:p>
      <w:pPr>
        <w:spacing w:after="160"/>
      </w:pPr>
    </w:p>
    <w:p>
      <w:pPr>
        <w:spacing w:after="160" w:line="300"/>
      </w:pPr>
      <w:r>
        <w:rPr>
          <w:color w:val="222222"/>
          <w:sz w:val="22"/>
          <w:szCs w:val="22"/>
        </w:rPr>
        <w:t xml:space="preserve">Los procesos son una guía, no están "escritos en piedra": pueden evolucionar y cambiar, pero de manera controlada y conversada, nunca unilateral.</w:t>
      </w: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Marco de referencia</w:t>
            </w:r>
          </w:p>
          <w:p>
            <w:pPr>
              <w:spacing w:after="0" w:line="280"/>
            </w:pPr>
            <w:r>
              <w:rPr>
                <w:color w:val="222222"/>
                <w:sz w:val="21"/>
                <w:szCs w:val="21"/>
              </w:rPr>
              <w:t xml:space="preserve">Los procesos cubren actividades como: habilitar y mantener soluciones, gestión de incidentes, gestión de cambios, monitoreo y operación. Están diseñados siguiendo marcos de trabajo como COBIT/ITIL — no solo por buenas prácticas, sino porque Bancolombia es una empresa altamente regulada (elemento regulatorio, no opcional).</w:t>
            </w:r>
          </w:p>
        </w:tc>
      </w:tr>
    </w:tbl>
    <w:p>
      <w:pPr>
        <w:pageBreakBefore/>
      </w:pPr>
    </w:p>
    <w:p>
      <w:pPr>
        <w:pStyle w:val="Heading1"/>
        <w:pBdr>
          <w:bottom w:val="single" w:color="1F3864" w:sz="6" w:space="4"/>
        </w:pBdr>
        <w:spacing w:after="200" w:before="400"/>
      </w:pPr>
      <w:r>
        <w:rPr>
          <w:b/>
          <w:bCs/>
          <w:color w:val="1F3864"/>
          <w:sz w:val="30"/>
          <w:szCs w:val="30"/>
        </w:rPr>
        <w:t xml:space="preserve">9. Modelo operativo e ingeniería de plataformas</w:t>
      </w:r>
    </w:p>
    <w:p>
      <w:pPr>
        <w:spacing w:after="160" w:line="300"/>
      </w:pPr>
      <w:r>
        <w:rPr>
          <w:color w:val="222222"/>
          <w:sz w:val="22"/>
          <w:szCs w:val="22"/>
        </w:rPr>
        <w:t xml:space="preserve">El modelo operativo se conecta con la ingeniería de plataformas de la siguiente manera:</w:t>
      </w:r>
    </w:p>
    <w:p>
      <w:pPr>
        <w:pStyle w:val="ListParagraph"/>
        <w:numPr>
          <w:ilvl w:val="0"/>
          <w:numId w:val="2"/>
        </w:numPr>
        <w:spacing w:after="90" w:line="280"/>
      </w:pPr>
      <w:r>
        <w:rPr>
          <w:color w:val="222222"/>
          <w:sz w:val="22"/>
          <w:szCs w:val="22"/>
        </w:rPr>
        <w:t xml:space="preserve">Negocio → conectado con procesos de negocio + tecnología.</w:t>
      </w:r>
    </w:p>
    <w:p>
      <w:pPr>
        <w:pStyle w:val="ListParagraph"/>
        <w:numPr>
          <w:ilvl w:val="0"/>
          <w:numId w:val="2"/>
        </w:numPr>
        <w:spacing w:after="90" w:line="280"/>
      </w:pPr>
      <w:r>
        <w:rPr>
          <w:color w:val="222222"/>
          <w:sz w:val="22"/>
          <w:szCs w:val="22"/>
        </w:rPr>
        <w:t xml:space="preserve">Tecnología → parte desde las plataformas, fortalecidas a través de los equipos State.</w:t>
      </w:r>
    </w:p>
    <w:p>
      <w:pPr>
        <w:pStyle w:val="ListParagraph"/>
        <w:numPr>
          <w:ilvl w:val="0"/>
          <w:numId w:val="2"/>
        </w:numPr>
        <w:spacing w:after="90" w:line="280"/>
      </w:pPr>
      <w:r>
        <w:rPr>
          <w:color w:val="222222"/>
          <w:sz w:val="22"/>
          <w:szCs w:val="22"/>
        </w:rPr>
        <w:t xml:space="preserve">Las plataformas se vuelven más digitales, estandarizadas, gobernadas y reutilizables.</w:t>
      </w:r>
    </w:p>
    <w:p>
      <w:pPr>
        <w:pStyle w:val="ListParagraph"/>
        <w:numPr>
          <w:ilvl w:val="0"/>
          <w:numId w:val="2"/>
        </w:numPr>
        <w:spacing w:after="90" w:line="280"/>
      </w:pPr>
      <w:r>
        <w:rPr>
          <w:color w:val="222222"/>
          <w:sz w:val="22"/>
          <w:szCs w:val="22"/>
        </w:rPr>
        <w:t xml:space="preserve">Los equipos Local consumen esas plataformas mediante servicios de aplicaciones, generando servicios de negocio y nuevos productos para los clientes.</w:t>
      </w:r>
    </w:p>
    <w:p>
      <w:pPr>
        <w:spacing w:after="160"/>
      </w:pP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Objetivo final</w:t>
            </w:r>
          </w:p>
          <w:p>
            <w:pPr>
              <w:spacing w:after="0" w:line="280"/>
            </w:pPr>
            <w:r>
              <w:rPr>
                <w:color w:val="222222"/>
                <w:sz w:val="21"/>
                <w:szCs w:val="21"/>
              </w:rPr>
              <w:t xml:space="preserve">Esto permite escalabilidad y una operación limpia en constante evolución. El modelo Hub and Spoke es el habilitador completo al que se aspira para consolidar la ingeniería de plataformas.</w:t>
            </w:r>
          </w:p>
        </w:tc>
      </w:tr>
    </w:tbl>
    <w:p>
      <w:pPr>
        <w:pageBreakBefore/>
      </w:pPr>
    </w:p>
    <w:p>
      <w:pPr>
        <w:pStyle w:val="Heading1"/>
        <w:pBdr>
          <w:bottom w:val="single" w:color="1F3864" w:sz="6" w:space="4"/>
        </w:pBdr>
        <w:spacing w:after="200" w:before="400"/>
      </w:pPr>
      <w:r>
        <w:rPr>
          <w:b/>
          <w:bCs/>
          <w:color w:val="1F3864"/>
          <w:sz w:val="30"/>
          <w:szCs w:val="30"/>
        </w:rPr>
        <w:t xml:space="preserve">10. Caso práctico: encuesta de aplicación</w:t>
      </w:r>
    </w:p>
    <w:p>
      <w:pPr>
        <w:spacing w:after="160" w:line="300"/>
      </w:pPr>
      <w:r>
        <w:rPr>
          <w:color w:val="222222"/>
          <w:sz w:val="22"/>
          <w:szCs w:val="22"/>
        </w:rPr>
        <w:t xml:space="preserve">Durante la sesión se resolvieron 5 preguntas de aplicación práctica del modelo operativo. Este es el mejor material de estudio para la certificación, ya que evalúa la aplicación — no la memorización — del modelo.</w:t>
      </w:r>
    </w:p>
    <w:p>
      <w:pPr>
        <w:spacing w:after="80" w:before="260"/>
      </w:pPr>
      <w:r>
        <w:rPr>
          <w:b/>
          <w:bCs/>
          <w:color w:val="1F3864"/>
          <w:sz w:val="22"/>
          <w:szCs w:val="22"/>
        </w:rPr>
        <w:t xml:space="preserve">Pregunta 1</w:t>
      </w:r>
    </w:p>
    <w:p>
      <w:pPr>
        <w:spacing w:after="160" w:line="300"/>
      </w:pPr>
      <w:r>
        <w:rPr>
          <w:color w:val="222222"/>
          <w:sz w:val="22"/>
          <w:szCs w:val="22"/>
        </w:rPr>
        <w:t xml:space="preserve">Un equipo local está experimentando retrasos en la entrega de un producto digital para el negocio porque configura manualmente la infraestructura en la nube. El nivel State ya ha publicado una automatización que resuelve esto en minutos. ¿Qué acción refleja la opción correcta del modelo operativo?</w:t>
      </w:r>
    </w:p>
    <w:tbl>
      <w:tblPr>
        <w:tblW w:type="pct" w:w="100%"/>
        <w:tblBorders>
          <w:top w:val="single" w:color="70AD47" w:sz="4"/>
          <w:left w:val="single" w:color="70AD47" w:sz="24"/>
          <w:bottom w:val="single" w:color="70AD47" w:sz="4"/>
          <w:right w:val="single" w:color="70AD47" w:sz="4"/>
          <w:insideH w:val="single" w:color="auto" w:sz="4"/>
          <w:insideV w:val="single" w:color="auto" w:sz="4"/>
        </w:tblBorders>
      </w:tblPr>
      <w:tblGrid>
        <w:gridCol w:w="100"/>
      </w:tblGrid>
      <w:tr>
        <w:tc>
          <w:tcPr>
            <w:shd w:fill="E2EFDA" w:val="clear"/>
            <w:tcMar>
              <w:top w:type="dxa" w:w="130"/>
              <w:left w:type="dxa" w:w="200"/>
              <w:bottom w:type="dxa" w:w="130"/>
              <w:right w:type="dxa" w:w="200"/>
            </w:tcMar>
          </w:tcPr>
          <w:p>
            <w:pPr>
              <w:spacing w:after="60"/>
            </w:pPr>
            <w:r>
              <w:rPr>
                <w:b/>
                <w:bCs/>
                <w:color w:val="375623"/>
                <w:sz w:val="21"/>
                <w:szCs w:val="21"/>
              </w:rPr>
              <w:t xml:space="preserve">✔ Respuesta correcta: C. </w:t>
            </w:r>
            <w:r>
              <w:rPr>
                <w:b/>
                <w:bCs/>
                <w:color w:val="375623"/>
                <w:sz w:val="21"/>
                <w:szCs w:val="21"/>
              </w:rPr>
              <w:t xml:space="preserve">Usar la automatización ya publicada por el equipo State.</w:t>
            </w:r>
          </w:p>
          <w:p>
            <w:pPr>
              <w:spacing w:after="0" w:line="270"/>
            </w:pPr>
            <w:r>
              <w:rPr>
                <w:color w:val="333333"/>
                <w:sz w:val="20"/>
                <w:szCs w:val="20"/>
              </w:rPr>
              <w:t xml:space="preserve">El gran propósito del State es estandarizar y automatizar artefactos para que el equipo Local consuma de forma más rápida. Esto mejora velocidad, calidad y alineación con los estándares.</w:t>
            </w:r>
          </w:p>
        </w:tc>
      </w:tr>
    </w:tbl>
    <w:p>
      <w:pPr>
        <w:spacing w:after="160"/>
      </w:pPr>
    </w:p>
    <w:p>
      <w:pPr>
        <w:spacing w:after="80" w:before="260"/>
      </w:pPr>
      <w:r>
        <w:rPr>
          <w:b/>
          <w:bCs/>
          <w:color w:val="1F3864"/>
          <w:sz w:val="22"/>
          <w:szCs w:val="22"/>
        </w:rPr>
        <w:t xml:space="preserve">Pregunta 2</w:t>
      </w:r>
    </w:p>
    <w:p>
      <w:pPr>
        <w:spacing w:after="160" w:line="300"/>
      </w:pPr>
      <w:r>
        <w:rPr>
          <w:color w:val="222222"/>
          <w:sz w:val="22"/>
          <w:szCs w:val="22"/>
        </w:rPr>
        <w:t xml:space="preserve">¿Cuál debe ser la prioridad diaria de un equipo de tecnología bajo este modelo operativo?</w:t>
      </w:r>
    </w:p>
    <w:tbl>
      <w:tblPr>
        <w:tblW w:type="pct" w:w="100%"/>
        <w:tblBorders>
          <w:top w:val="single" w:color="70AD47" w:sz="4"/>
          <w:left w:val="single" w:color="70AD47" w:sz="24"/>
          <w:bottom w:val="single" w:color="70AD47" w:sz="4"/>
          <w:right w:val="single" w:color="70AD47" w:sz="4"/>
          <w:insideH w:val="single" w:color="auto" w:sz="4"/>
          <w:insideV w:val="single" w:color="auto" w:sz="4"/>
        </w:tblBorders>
      </w:tblPr>
      <w:tblGrid>
        <w:gridCol w:w="100"/>
      </w:tblGrid>
      <w:tr>
        <w:tc>
          <w:tcPr>
            <w:shd w:fill="E2EFDA" w:val="clear"/>
            <w:tcMar>
              <w:top w:type="dxa" w:w="130"/>
              <w:left w:type="dxa" w:w="200"/>
              <w:bottom w:type="dxa" w:w="130"/>
              <w:right w:type="dxa" w:w="200"/>
            </w:tcMar>
          </w:tcPr>
          <w:p>
            <w:pPr>
              <w:spacing w:after="60"/>
            </w:pPr>
            <w:r>
              <w:rPr>
                <w:b/>
                <w:bCs/>
                <w:color w:val="375623"/>
                <w:sz w:val="21"/>
                <w:szCs w:val="21"/>
              </w:rPr>
              <w:t xml:space="preserve">✔ Respuesta correcta: B. </w:t>
            </w:r>
            <w:r>
              <w:rPr>
                <w:b/>
                <w:bCs/>
                <w:color w:val="375623"/>
                <w:sz w:val="21"/>
                <w:szCs w:val="21"/>
              </w:rPr>
              <w:t xml:space="preserve">Asegurar que la tecnología sirva como una plataforma robusta expuesta como servicio, para que otros equipos internos construyan sobre ella de forma ágil.</w:t>
            </w:r>
          </w:p>
          <w:p>
            <w:pPr>
              <w:spacing w:after="0" w:line="270"/>
            </w:pPr>
            <w:r>
              <w:rPr>
                <w:color w:val="333333"/>
                <w:sz w:val="20"/>
                <w:szCs w:val="20"/>
              </w:rPr>
              <w:t xml:space="preserve">El "core" del equipo de tecnología es habilitar una plataforma reutilizable. Diseñar interfaces o atender soporte son actividades válidas, pero dependen de tener esa base sólida primero.</w:t>
            </w:r>
          </w:p>
        </w:tc>
      </w:tr>
    </w:tbl>
    <w:p>
      <w:pPr>
        <w:spacing w:after="160"/>
      </w:pPr>
    </w:p>
    <w:p>
      <w:pPr>
        <w:spacing w:after="80" w:before="260"/>
      </w:pPr>
      <w:r>
        <w:rPr>
          <w:b/>
          <w:bCs/>
          <w:color w:val="1F3864"/>
          <w:sz w:val="22"/>
          <w:szCs w:val="22"/>
        </w:rPr>
        <w:t xml:space="preserve">Pregunta 3</w:t>
      </w:r>
    </w:p>
    <w:p>
      <w:pPr>
        <w:spacing w:after="160" w:line="300"/>
      </w:pPr>
      <w:r>
        <w:rPr>
          <w:color w:val="222222"/>
          <w:sz w:val="22"/>
          <w:szCs w:val="22"/>
        </w:rPr>
        <w:t xml:space="preserve">Un analista del equipo Local necesita habilitar un nuevo componente tecnológico, pero nota que el equipo State aún no ha desarrollado la automatización necesaria para su despliegue. ¿Qué se debe hacer?</w:t>
      </w:r>
    </w:p>
    <w:tbl>
      <w:tblPr>
        <w:tblW w:type="pct" w:w="100%"/>
        <w:tblBorders>
          <w:top w:val="single" w:color="70AD47" w:sz="4"/>
          <w:left w:val="single" w:color="70AD47" w:sz="24"/>
          <w:bottom w:val="single" w:color="70AD47" w:sz="4"/>
          <w:right w:val="single" w:color="70AD47" w:sz="4"/>
          <w:insideH w:val="single" w:color="auto" w:sz="4"/>
          <w:insideV w:val="single" w:color="auto" w:sz="4"/>
        </w:tblBorders>
      </w:tblPr>
      <w:tblGrid>
        <w:gridCol w:w="100"/>
      </w:tblGrid>
      <w:tr>
        <w:tc>
          <w:tcPr>
            <w:shd w:fill="E2EFDA" w:val="clear"/>
            <w:tcMar>
              <w:top w:type="dxa" w:w="130"/>
              <w:left w:type="dxa" w:w="200"/>
              <w:bottom w:type="dxa" w:w="130"/>
              <w:right w:type="dxa" w:w="200"/>
            </w:tcMar>
          </w:tcPr>
          <w:p>
            <w:pPr>
              <w:spacing w:after="60"/>
            </w:pPr>
            <w:r>
              <w:rPr>
                <w:b/>
                <w:bCs/>
                <w:color w:val="375623"/>
                <w:sz w:val="21"/>
                <w:szCs w:val="21"/>
              </w:rPr>
              <w:t xml:space="preserve">✔ Respuesta correcta: C. </w:t>
            </w:r>
            <w:r>
              <w:rPr>
                <w:b/>
                <w:bCs/>
                <w:color w:val="375623"/>
                <w:sz w:val="21"/>
                <w:szCs w:val="21"/>
              </w:rPr>
              <w:t xml:space="preserve">Coordinar con el equipo State un despliegue manual controlado y documentado, abriendo de inmediato una solicitud de mejora para automatizar esta capacidad a futuro.</w:t>
            </w:r>
          </w:p>
          <w:p>
            <w:pPr>
              <w:spacing w:after="0" w:line="270"/>
            </w:pPr>
            <w:r>
              <w:rPr>
                <w:color w:val="333333"/>
                <w:sz w:val="20"/>
                <w:szCs w:val="20"/>
              </w:rPr>
              <w:t xml:space="preserve">No se puede detener el negocio, pero tampoco se puede actuar de forma unilateral o secreta. La coordinación y la trazabilidad (solicitud de mejora) son claves — y garantizan que a futuro quede automatizado.</w:t>
            </w:r>
          </w:p>
        </w:tc>
      </w:tr>
    </w:tbl>
    <w:p>
      <w:pPr>
        <w:spacing w:after="160"/>
      </w:pPr>
    </w:p>
    <w:p>
      <w:pPr>
        <w:spacing w:after="80" w:before="260"/>
      </w:pPr>
      <w:r>
        <w:rPr>
          <w:b/>
          <w:bCs/>
          <w:color w:val="1F3864"/>
          <w:sz w:val="22"/>
          <w:szCs w:val="22"/>
        </w:rPr>
        <w:t xml:space="preserve">Pregunta 4</w:t>
      </w:r>
    </w:p>
    <w:p>
      <w:pPr>
        <w:spacing w:after="160" w:line="300"/>
      </w:pPr>
      <w:r>
        <w:rPr>
          <w:color w:val="222222"/>
          <w:sz w:val="22"/>
          <w:szCs w:val="22"/>
        </w:rPr>
        <w:t xml:space="preserve">El negocio solicita un cambio urgente en una aplicación que requiere modificar una regla de arquitectura definida por el equipo Federal. El líder técnico local dice: "como el modelo operativo no es una camisa de fuerza, podemos saltarnos la regla y hacer el cambio hoy mismo". ¿Es correcta esta interpretación?</w:t>
      </w:r>
    </w:p>
    <w:tbl>
      <w:tblPr>
        <w:tblW w:type="pct" w:w="100%"/>
        <w:tblBorders>
          <w:top w:val="single" w:color="70AD47" w:sz="4"/>
          <w:left w:val="single" w:color="70AD47" w:sz="24"/>
          <w:bottom w:val="single" w:color="70AD47" w:sz="4"/>
          <w:right w:val="single" w:color="70AD47" w:sz="4"/>
          <w:insideH w:val="single" w:color="auto" w:sz="4"/>
          <w:insideV w:val="single" w:color="auto" w:sz="4"/>
        </w:tblBorders>
      </w:tblPr>
      <w:tblGrid>
        <w:gridCol w:w="100"/>
      </w:tblGrid>
      <w:tr>
        <w:tc>
          <w:tcPr>
            <w:shd w:fill="E2EFDA" w:val="clear"/>
            <w:tcMar>
              <w:top w:type="dxa" w:w="130"/>
              <w:left w:type="dxa" w:w="200"/>
              <w:bottom w:type="dxa" w:w="130"/>
              <w:right w:type="dxa" w:w="200"/>
            </w:tcMar>
          </w:tcPr>
          <w:p>
            <w:pPr>
              <w:spacing w:after="60"/>
            </w:pPr>
            <w:r>
              <w:rPr>
                <w:b/>
                <w:bCs/>
                <w:color w:val="375623"/>
                <w:sz w:val="21"/>
                <w:szCs w:val="21"/>
              </w:rPr>
              <w:t xml:space="preserve">✔ Respuesta correcta: B. </w:t>
            </w:r>
            <w:r>
              <w:rPr>
                <w:b/>
                <w:bCs/>
                <w:color w:val="375623"/>
                <w:sz w:val="21"/>
                <w:szCs w:val="21"/>
              </w:rPr>
              <w:t xml:space="preserve">No. Que el modelo no sea una camisa de fuerza significa que es adaptable y evolutivo — pero cualquier excepción o cambio a un lineamiento Federal debe ser coordinado, evaluado bajo el ciclo PHVA y aprobado, nunca decidido de forma unilateral.</w:t>
            </w:r>
          </w:p>
          <w:p>
            <w:pPr>
              <w:spacing w:after="0" w:line="270"/>
            </w:pPr>
            <w:r>
              <w:rPr>
                <w:color w:val="333333"/>
                <w:sz w:val="20"/>
                <w:szCs w:val="20"/>
              </w:rPr>
              <w:t xml:space="preserve">Este fue el punto más disputado de la encuesta (97% acertó la B). El nivel Local NO tiene jerarquía absoluta sobre el Federal, y las reglas tampoco son "inmutables": el equilibrio está en coordinar el cambio, no en imponerlo ni congelarlo.</w:t>
            </w:r>
          </w:p>
        </w:tc>
      </w:tr>
    </w:tbl>
    <w:p>
      <w:pPr>
        <w:spacing w:after="160"/>
      </w:pPr>
    </w:p>
    <w:p>
      <w:pPr>
        <w:spacing w:after="80" w:before="260"/>
      </w:pPr>
      <w:r>
        <w:rPr>
          <w:b/>
          <w:bCs/>
          <w:color w:val="1F3864"/>
          <w:sz w:val="22"/>
          <w:szCs w:val="22"/>
        </w:rPr>
        <w:t xml:space="preserve">Pregunta 5</w:t>
      </w:r>
    </w:p>
    <w:p>
      <w:pPr>
        <w:spacing w:after="160" w:line="300"/>
      </w:pPr>
      <w:r>
        <w:rPr>
          <w:color w:val="222222"/>
          <w:sz w:val="22"/>
          <w:szCs w:val="22"/>
        </w:rPr>
        <w:t xml:space="preserve">(Pregunta bonus) Un equipo State identifica que 3 equipos Local distintos están construyendo, cada uno por su cuenta, la misma solución de reportería para el negocio. Bajo el enfoque Federal-State-Local, ¿cuál es la acción correcta del equipo State?</w:t>
      </w:r>
    </w:p>
    <w:tbl>
      <w:tblPr>
        <w:tblW w:type="pct" w:w="100%"/>
        <w:tblBorders>
          <w:top w:val="single" w:color="70AD47" w:sz="4"/>
          <w:left w:val="single" w:color="70AD47" w:sz="24"/>
          <w:bottom w:val="single" w:color="70AD47" w:sz="4"/>
          <w:right w:val="single" w:color="70AD47" w:sz="4"/>
          <w:insideH w:val="single" w:color="auto" w:sz="4"/>
          <w:insideV w:val="single" w:color="auto" w:sz="4"/>
        </w:tblBorders>
      </w:tblPr>
      <w:tblGrid>
        <w:gridCol w:w="100"/>
      </w:tblGrid>
      <w:tr>
        <w:tc>
          <w:tcPr>
            <w:shd w:fill="E2EFDA" w:val="clear"/>
            <w:tcMar>
              <w:top w:type="dxa" w:w="130"/>
              <w:left w:type="dxa" w:w="200"/>
              <w:bottom w:type="dxa" w:w="130"/>
              <w:right w:type="dxa" w:w="200"/>
            </w:tcMar>
          </w:tcPr>
          <w:p>
            <w:pPr>
              <w:spacing w:after="60"/>
            </w:pPr>
            <w:r>
              <w:rPr>
                <w:b/>
                <w:bCs/>
                <w:color w:val="375623"/>
                <w:sz w:val="21"/>
                <w:szCs w:val="21"/>
              </w:rPr>
              <w:t xml:space="preserve">✔ Respuesta correcta: B. </w:t>
            </w:r>
            <w:r>
              <w:rPr>
                <w:b/>
                <w:bCs/>
                <w:color w:val="375623"/>
                <w:sz w:val="21"/>
                <w:szCs w:val="21"/>
              </w:rPr>
              <w:t xml:space="preserve">Intervenir para centralizar, estandarizar y exponer esa capacidad de reportería como un servicio de plataforma automatizado, evitando el desorden y el retrabajo.</w:t>
            </w:r>
          </w:p>
          <w:p>
            <w:pPr>
              <w:spacing w:after="0" w:line="270"/>
            </w:pPr>
            <w:r>
              <w:rPr>
                <w:color w:val="333333"/>
                <w:sz w:val="20"/>
                <w:szCs w:val="20"/>
              </w:rPr>
              <w:t xml:space="preserve">Este es exactamente el propósito del nivel State: evitar que cada equipo Local reinvente la rueda por separado, centralizando la construcción para que todos consuman desde un mismo servicio.</w:t>
            </w:r>
          </w:p>
        </w:tc>
      </w:tr>
    </w:tbl>
    <w:p>
      <w:pPr>
        <w:spacing w:after="160"/>
      </w:pPr>
    </w:p>
    <w:p>
      <w:pPr>
        <w:pageBreakBefore/>
      </w:pPr>
    </w:p>
    <w:p>
      <w:pPr>
        <w:pStyle w:val="Heading1"/>
        <w:pBdr>
          <w:bottom w:val="single" w:color="1F3864" w:sz="6" w:space="4"/>
        </w:pBdr>
        <w:spacing w:after="200" w:before="400"/>
      </w:pPr>
      <w:r>
        <w:rPr>
          <w:b/>
          <w:bCs/>
          <w:color w:val="1F3864"/>
          <w:sz w:val="30"/>
          <w:szCs w:val="30"/>
        </w:rPr>
        <w:t xml:space="preserve">11. Preguntas frecuentes de la sesión</w:t>
      </w:r>
    </w:p>
    <w:p>
      <w:pPr>
        <w:pStyle w:val="Heading2"/>
        <w:spacing w:after="120" w:before="300"/>
      </w:pPr>
      <w:r>
        <w:rPr>
          <w:b/>
          <w:bCs/>
          <w:color w:val="2E5395"/>
          <w:sz w:val="24"/>
          <w:szCs w:val="24"/>
        </w:rPr>
        <w:t xml:space="preserve">¿Existe algún mapa para identificar todos los equipos y su clasificación entre Federal, State y Local?</w:t>
      </w:r>
    </w:p>
    <w:p>
      <w:pPr>
        <w:spacing w:after="160" w:line="300"/>
      </w:pPr>
      <w:r>
        <w:rPr>
          <w:color w:val="222222"/>
          <w:sz w:val="22"/>
          <w:szCs w:val="22"/>
        </w:rPr>
        <w:t xml:space="preserve">Sí. La gráfica del modelo de operación mostrada en la sesión sirve como guía y será actualizada próximamente, ya que algunos equipos se movieron recientemente. Hay equipos (por ejemplo, dentro de la Vicepresidencia de Fidel) que, aunque pertenecen al nivel Local, por sus características a veces se comportan como equipo State.</w:t>
      </w:r>
    </w:p>
    <w:p>
      <w:pPr>
        <w:pStyle w:val="Heading2"/>
        <w:spacing w:after="120" w:before="300"/>
      </w:pPr>
      <w:r>
        <w:rPr>
          <w:b/>
          <w:bCs/>
          <w:color w:val="2E5395"/>
          <w:sz w:val="24"/>
          <w:szCs w:val="24"/>
        </w:rPr>
        <w:t xml:space="preserve">¿Cuál es la fecha para las certificaciones? ¿Qué pasa si estoy de vacaciones? ¿Dónde queda la documentación?</w:t>
      </w:r>
    </w:p>
    <w:p>
      <w:pPr>
        <w:pStyle w:val="ListParagraph"/>
        <w:numPr>
          <w:ilvl w:val="0"/>
          <w:numId w:val="2"/>
        </w:numPr>
        <w:spacing w:after="90" w:line="280"/>
      </w:pPr>
      <w:r>
        <w:rPr>
          <w:color w:val="222222"/>
          <w:sz w:val="22"/>
          <w:szCs w:val="22"/>
        </w:rPr>
        <w:t xml:space="preserve">El examen se lanza el 17 de julio y queda abierto durante 1 mes.</w:t>
      </w:r>
    </w:p>
    <w:p>
      <w:pPr>
        <w:pStyle w:val="ListParagraph"/>
        <w:numPr>
          <w:ilvl w:val="0"/>
          <w:numId w:val="2"/>
        </w:numPr>
        <w:spacing w:after="90" w:line="280"/>
      </w:pPr>
      <w:r>
        <w:rPr>
          <w:color w:val="222222"/>
          <w:sz w:val="22"/>
          <w:szCs w:val="22"/>
        </w:rPr>
        <w:t xml:space="preserve">Se asigna directamente al usuario de cada persona.</w:t>
      </w:r>
    </w:p>
    <w:p>
      <w:pPr>
        <w:pStyle w:val="ListParagraph"/>
        <w:numPr>
          <w:ilvl w:val="0"/>
          <w:numId w:val="2"/>
        </w:numPr>
        <w:spacing w:after="90" w:line="280"/>
      </w:pPr>
      <w:r>
        <w:rPr>
          <w:color w:val="222222"/>
          <w:sz w:val="22"/>
          <w:szCs w:val="22"/>
        </w:rPr>
        <w:t xml:space="preserve">En el sitio que se lanzará próximamente quedarán las memorias de cada sesión semanal.</w:t>
      </w:r>
    </w:p>
    <w:p>
      <w:pPr>
        <w:pStyle w:val="ListParagraph"/>
        <w:numPr>
          <w:ilvl w:val="0"/>
          <w:numId w:val="2"/>
        </w:numPr>
        <w:spacing w:after="90" w:line="280"/>
      </w:pPr>
      <w:r>
        <w:rPr>
          <w:color w:val="222222"/>
          <w:sz w:val="22"/>
          <w:szCs w:val="22"/>
        </w:rPr>
        <w:t xml:space="preserve">Si alguien está fuera todo el mes por vacaciones, el caso se revisa puntualmente.</w:t>
      </w:r>
    </w:p>
    <w:p>
      <w:pPr>
        <w:pStyle w:val="Heading2"/>
        <w:spacing w:after="120" w:before="300"/>
      </w:pPr>
      <w:r>
        <w:rPr>
          <w:b/>
          <w:bCs/>
          <w:color w:val="2E5395"/>
          <w:sz w:val="24"/>
          <w:szCs w:val="24"/>
        </w:rPr>
        <w:t xml:space="preserve">¿Quiénes se deben certificar en el modelo operativo?</w:t>
      </w: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Alcance</w:t>
            </w:r>
          </w:p>
          <w:p>
            <w:pPr>
              <w:spacing w:after="0" w:line="280"/>
            </w:pPr>
            <w:r>
              <w:rPr>
                <w:color w:val="222222"/>
                <w:sz w:val="21"/>
                <w:szCs w:val="21"/>
              </w:rPr>
              <w:t xml:space="preserve">Todos los empleados internos de planta de tecnología — aproximadamente 2,534 personas entre las dos vicepresidencias (Tecnología y Tecnología para el Negocio). Aplica a todos los roles: ingenieros, arquitectos, líderes de línea, líderes técnicos, hasta vicepresidentes.</w:t>
            </w:r>
          </w:p>
        </w:tc>
      </w:tr>
    </w:tbl>
    <w:p>
      <w:pPr>
        <w:pageBreakBefore/>
      </w:pPr>
    </w:p>
    <w:p>
      <w:pPr>
        <w:pStyle w:val="Heading1"/>
        <w:pBdr>
          <w:bottom w:val="single" w:color="1F3864" w:sz="6" w:space="4"/>
        </w:pBdr>
        <w:spacing w:after="200" w:before="400"/>
      </w:pPr>
      <w:r>
        <w:rPr>
          <w:b/>
          <w:bCs/>
          <w:color w:val="1F3864"/>
          <w:sz w:val="30"/>
          <w:szCs w:val="30"/>
        </w:rPr>
        <w:t xml:space="preserve">12. Resumen y puntos clave para el examen</w:t>
      </w:r>
    </w:p>
    <w:tbl>
      <w:tblPr>
        <w:tblW w:type="pct" w:w="100%"/>
        <w:tblBorders>
          <w:top w:val="single" w:color="2E5395" w:sz="4"/>
          <w:left w:val="single" w:color="2E5395" w:sz="24"/>
          <w:bottom w:val="single" w:color="2E5395" w:sz="4"/>
          <w:right w:val="single" w:color="2E5395" w:sz="4"/>
          <w:insideH w:val="single" w:color="auto" w:sz="4"/>
          <w:insideV w:val="single" w:color="auto" w:sz="4"/>
        </w:tblBorders>
      </w:tblPr>
      <w:tblGrid>
        <w:gridCol w:w="100"/>
      </w:tblGrid>
      <w:tr>
        <w:tc>
          <w:tcPr>
            <w:shd w:fill="DCE6F1" w:val="clear"/>
            <w:tcMar>
              <w:top w:type="dxa" w:w="150"/>
              <w:left w:type="dxa" w:w="200"/>
              <w:bottom w:type="dxa" w:w="150"/>
              <w:right w:type="dxa" w:w="200"/>
            </w:tcMar>
          </w:tcPr>
          <w:p>
            <w:pPr>
              <w:spacing w:after="60"/>
            </w:pPr>
            <w:r>
              <w:rPr>
                <w:b/>
                <w:bCs/>
                <w:color w:val="1F3864"/>
                <w:sz w:val="21"/>
                <w:szCs w:val="21"/>
              </w:rPr>
              <w:t xml:space="preserve">✅ Ideas centrales que no debes olvidar</w:t>
            </w:r>
          </w:p>
          <w:p>
            <w:pPr>
              <w:spacing w:after="0" w:line="280"/>
            </w:pPr>
            <w:r>
              <w:rPr>
                <w:color w:val="222222"/>
                <w:sz w:val="21"/>
                <w:szCs w:val="21"/>
              </w:rPr>
              <w:t xml:space="preserve">1) El modelo operativo coordina personas, procesos, servicios y tecnología para generar valor. 2) No es rígido: evoluciona bajo el ciclo PHVA. 3) Bancolombia usa el modelo Federal–State–Local, transicionando hacia Hub and Spoke. 4) Federal define, State habilita, Local ejecuta y genera valor. 5) La estructura organizacional NO es lo mismo que el modelo operativo. 6) Cualquier excepción a un lineamiento Federal debe coordinarse y aprobarse — nunca decidirse unilateralmente. 7) El propósito del State es evitar retrabajo, centralizando y estandarizando.</w:t>
            </w:r>
          </w:p>
        </w:tc>
      </w:tr>
    </w:tbl>
    <w:p>
      <w:pPr>
        <w:spacing w:after="200"/>
      </w:pPr>
    </w:p>
    <w:p>
      <w:pPr>
        <w:pStyle w:val="Heading2"/>
        <w:spacing w:after="120" w:before="300"/>
      </w:pPr>
      <w:r>
        <w:rPr>
          <w:b/>
          <w:bCs/>
          <w:color w:val="2E5395"/>
          <w:sz w:val="24"/>
          <w:szCs w:val="24"/>
        </w:rPr>
        <w:t xml:space="preserve">Glosario rápido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100"/>
              <w:left w:type="dxa" w:w="120"/>
              <w:bottom w:type="dxa" w:w="100"/>
              <w:right w:type="dxa" w:w="120"/>
            </w:tcMar>
            <w:vAlign w:val="center"/>
          </w:tcPr>
          <w:p>
            <w:r>
              <w:rPr>
                <w:b/>
                <w:bCs/>
                <w:color w:val="FFFFFF"/>
                <w:sz w:val="20"/>
                <w:szCs w:val="20"/>
              </w:rPr>
              <w:t xml:space="preserve">Término</w:t>
            </w:r>
          </w:p>
        </w:tc>
        <w:tc>
          <w:tcPr>
            <w:tcW w:type="dxa" w:w="6750"/>
            <w:shd w:fill="1F3864" w:val="clear"/>
            <w:tcMar>
              <w:top w:type="dxa" w:w="100"/>
              <w:left w:type="dxa" w:w="120"/>
              <w:bottom w:type="dxa" w:w="100"/>
              <w:right w:type="dxa" w:w="120"/>
            </w:tcMar>
            <w:vAlign w:val="center"/>
          </w:tcPr>
          <w:p>
            <w:r>
              <w:rPr>
                <w:b/>
                <w:bCs/>
                <w:color w:val="FFFFFF"/>
                <w:sz w:val="20"/>
                <w:szCs w:val="20"/>
              </w:rPr>
              <w:t xml:space="preserve">Significado</w:t>
            </w:r>
          </w:p>
        </w:tc>
      </w:tr>
      <w:tr>
        <w:tc>
          <w:tcPr>
            <w:tcW w:type="dxa" w:w="2600"/>
            <w:shd w:fill="F2F2F2" w:val="clear"/>
            <w:tcMar>
              <w:top w:type="dxa" w:w="90"/>
              <w:left w:type="dxa" w:w="120"/>
              <w:bottom w:type="dxa" w:w="90"/>
              <w:right w:type="dxa" w:w="120"/>
            </w:tcMar>
            <w:vAlign w:val="center"/>
          </w:tcPr>
          <w:p>
            <w:pPr>
              <w:spacing w:line="260"/>
            </w:pPr>
            <w:r>
              <w:rPr>
                <w:color w:val="222222"/>
                <w:sz w:val="20"/>
                <w:szCs w:val="20"/>
              </w:rPr>
              <w:t xml:space="preserve">PHVA</w:t>
            </w:r>
          </w:p>
        </w:tc>
        <w:tc>
          <w:tcPr>
            <w:tcW w:type="dxa" w:w="6750"/>
            <w:shd w:fill="F2F2F2" w:val="clear"/>
            <w:tcMar>
              <w:top w:type="dxa" w:w="90"/>
              <w:left w:type="dxa" w:w="120"/>
              <w:bottom w:type="dxa" w:w="90"/>
              <w:right w:type="dxa" w:w="120"/>
            </w:tcMar>
            <w:vAlign w:val="center"/>
          </w:tcPr>
          <w:p>
            <w:pPr>
              <w:spacing w:line="260"/>
            </w:pPr>
            <w:r>
              <w:rPr>
                <w:color w:val="222222"/>
                <w:sz w:val="20"/>
                <w:szCs w:val="20"/>
              </w:rPr>
              <w:t xml:space="preserve">Planear, Hacer, Verificar, Actuar — ciclo de mejora continua del modelo operativo.</w:t>
            </w:r>
          </w:p>
        </w:tc>
      </w:tr>
      <w:tr>
        <w:tc>
          <w:tcPr>
            <w:tcW w:type="dxa" w:w="2600"/>
            <w:shd w:fill="FFFFFF" w:val="clear"/>
            <w:tcMar>
              <w:top w:type="dxa" w:w="90"/>
              <w:left w:type="dxa" w:w="120"/>
              <w:bottom w:type="dxa" w:w="90"/>
              <w:right w:type="dxa" w:w="120"/>
            </w:tcMar>
            <w:vAlign w:val="center"/>
          </w:tcPr>
          <w:p>
            <w:pPr>
              <w:spacing w:line="260"/>
            </w:pPr>
            <w:r>
              <w:rPr>
                <w:color w:val="222222"/>
                <w:sz w:val="20"/>
                <w:szCs w:val="20"/>
              </w:rPr>
              <w:t xml:space="preserve">Federal</w:t>
            </w:r>
          </w:p>
        </w:tc>
        <w:tc>
          <w:tcPr>
            <w:tcW w:type="dxa" w:w="6750"/>
            <w:shd w:fill="FFFFFF" w:val="clear"/>
            <w:tcMar>
              <w:top w:type="dxa" w:w="90"/>
              <w:left w:type="dxa" w:w="120"/>
              <w:bottom w:type="dxa" w:w="90"/>
              <w:right w:type="dxa" w:w="120"/>
            </w:tcMar>
            <w:vAlign w:val="center"/>
          </w:tcPr>
          <w:p>
            <w:pPr>
              <w:spacing w:line="260"/>
            </w:pPr>
            <w:r>
              <w:rPr>
                <w:color w:val="222222"/>
                <w:sz w:val="20"/>
                <w:szCs w:val="20"/>
              </w:rPr>
              <w:t xml:space="preserve">Nivel normativo: gobierno, lineamientos y centros de excelencia.</w:t>
            </w:r>
          </w:p>
        </w:tc>
      </w:tr>
      <w:tr>
        <w:tc>
          <w:tcPr>
            <w:tcW w:type="dxa" w:w="2600"/>
            <w:shd w:fill="F2F2F2" w:val="clear"/>
            <w:tcMar>
              <w:top w:type="dxa" w:w="90"/>
              <w:left w:type="dxa" w:w="120"/>
              <w:bottom w:type="dxa" w:w="90"/>
              <w:right w:type="dxa" w:w="120"/>
            </w:tcMar>
            <w:vAlign w:val="center"/>
          </w:tcPr>
          <w:p>
            <w:pPr>
              <w:spacing w:line="260"/>
            </w:pPr>
            <w:r>
              <w:rPr>
                <w:color w:val="222222"/>
                <w:sz w:val="20"/>
                <w:szCs w:val="20"/>
              </w:rPr>
              <w:t xml:space="preserve">State</w:t>
            </w:r>
          </w:p>
        </w:tc>
        <w:tc>
          <w:tcPr>
            <w:tcW w:type="dxa" w:w="6750"/>
            <w:shd w:fill="F2F2F2" w:val="clear"/>
            <w:tcMar>
              <w:top w:type="dxa" w:w="90"/>
              <w:left w:type="dxa" w:w="120"/>
              <w:bottom w:type="dxa" w:w="90"/>
              <w:right w:type="dxa" w:w="120"/>
            </w:tcMar>
            <w:vAlign w:val="center"/>
          </w:tcPr>
          <w:p>
            <w:pPr>
              <w:spacing w:line="260"/>
            </w:pPr>
            <w:r>
              <w:rPr>
                <w:color w:val="222222"/>
                <w:sz w:val="20"/>
                <w:szCs w:val="20"/>
              </w:rPr>
              <w:t xml:space="preserve">Nivel habilitador: estandariza y automatiza para que Local consuma.</w:t>
            </w:r>
          </w:p>
        </w:tc>
      </w:tr>
      <w:tr>
        <w:tc>
          <w:tcPr>
            <w:tcW w:type="dxa" w:w="2600"/>
            <w:shd w:fill="FFFFFF" w:val="clear"/>
            <w:tcMar>
              <w:top w:type="dxa" w:w="90"/>
              <w:left w:type="dxa" w:w="120"/>
              <w:bottom w:type="dxa" w:w="90"/>
              <w:right w:type="dxa" w:w="120"/>
            </w:tcMar>
            <w:vAlign w:val="center"/>
          </w:tcPr>
          <w:p>
            <w:pPr>
              <w:spacing w:line="260"/>
            </w:pPr>
            <w:r>
              <w:rPr>
                <w:color w:val="222222"/>
                <w:sz w:val="20"/>
                <w:szCs w:val="20"/>
              </w:rPr>
              <w:t xml:space="preserve">Local</w:t>
            </w:r>
          </w:p>
        </w:tc>
        <w:tc>
          <w:tcPr>
            <w:tcW w:type="dxa" w:w="6750"/>
            <w:shd w:fill="FFFFFF" w:val="clear"/>
            <w:tcMar>
              <w:top w:type="dxa" w:w="90"/>
              <w:left w:type="dxa" w:w="120"/>
              <w:bottom w:type="dxa" w:w="90"/>
              <w:right w:type="dxa" w:w="120"/>
            </w:tcMar>
            <w:vAlign w:val="center"/>
          </w:tcPr>
          <w:p>
            <w:pPr>
              <w:spacing w:line="260"/>
            </w:pPr>
            <w:r>
              <w:rPr>
                <w:color w:val="222222"/>
                <w:sz w:val="20"/>
                <w:szCs w:val="20"/>
              </w:rPr>
              <w:t xml:space="preserve">Nivel ejecutor (BUs): consume servicios y genera valor de cara al cliente.</w:t>
            </w:r>
          </w:p>
        </w:tc>
      </w:tr>
      <w:tr>
        <w:tc>
          <w:tcPr>
            <w:tcW w:type="dxa" w:w="2600"/>
            <w:shd w:fill="F2F2F2" w:val="clear"/>
            <w:tcMar>
              <w:top w:type="dxa" w:w="90"/>
              <w:left w:type="dxa" w:w="120"/>
              <w:bottom w:type="dxa" w:w="90"/>
              <w:right w:type="dxa" w:w="120"/>
            </w:tcMar>
            <w:vAlign w:val="center"/>
          </w:tcPr>
          <w:p>
            <w:pPr>
              <w:spacing w:line="260"/>
            </w:pPr>
            <w:r>
              <w:rPr>
                <w:color w:val="222222"/>
                <w:sz w:val="20"/>
                <w:szCs w:val="20"/>
              </w:rPr>
              <w:t xml:space="preserve">Hub and Spoke</w:t>
            </w:r>
          </w:p>
        </w:tc>
        <w:tc>
          <w:tcPr>
            <w:tcW w:type="dxa" w:w="6750"/>
            <w:shd w:fill="F2F2F2" w:val="clear"/>
            <w:tcMar>
              <w:top w:type="dxa" w:w="90"/>
              <w:left w:type="dxa" w:w="120"/>
              <w:bottom w:type="dxa" w:w="90"/>
              <w:right w:type="dxa" w:w="120"/>
            </w:tcMar>
            <w:vAlign w:val="center"/>
          </w:tcPr>
          <w:p>
            <w:pPr>
              <w:spacing w:line="260"/>
            </w:pPr>
            <w:r>
              <w:rPr>
                <w:color w:val="222222"/>
                <w:sz w:val="20"/>
                <w:szCs w:val="20"/>
              </w:rPr>
              <w:t xml:space="preserve">Modelo centrado en plataforma/producto; visión futura del Banco.</w:t>
            </w:r>
          </w:p>
        </w:tc>
      </w:tr>
      <w:tr>
        <w:tc>
          <w:tcPr>
            <w:tcW w:type="dxa" w:w="2600"/>
            <w:shd w:fill="FFFFFF" w:val="clear"/>
            <w:tcMar>
              <w:top w:type="dxa" w:w="90"/>
              <w:left w:type="dxa" w:w="120"/>
              <w:bottom w:type="dxa" w:w="90"/>
              <w:right w:type="dxa" w:w="120"/>
            </w:tcMar>
            <w:vAlign w:val="center"/>
          </w:tcPr>
          <w:p>
            <w:pPr>
              <w:spacing w:line="260"/>
            </w:pPr>
            <w:r>
              <w:rPr>
                <w:color w:val="222222"/>
                <w:sz w:val="20"/>
                <w:szCs w:val="20"/>
              </w:rPr>
              <w:t xml:space="preserve">Ingeniería de plataformas</w:t>
            </w:r>
          </w:p>
        </w:tc>
        <w:tc>
          <w:tcPr>
            <w:tcW w:type="dxa" w:w="6750"/>
            <w:shd w:fill="FFFFFF" w:val="clear"/>
            <w:tcMar>
              <w:top w:type="dxa" w:w="90"/>
              <w:left w:type="dxa" w:w="120"/>
              <w:bottom w:type="dxa" w:w="90"/>
              <w:right w:type="dxa" w:w="120"/>
            </w:tcMar>
            <w:vAlign w:val="center"/>
          </w:tcPr>
          <w:p>
            <w:pPr>
              <w:spacing w:line="260"/>
            </w:pPr>
            <w:r>
              <w:rPr>
                <w:color w:val="222222"/>
                <w:sz w:val="20"/>
                <w:szCs w:val="20"/>
              </w:rPr>
              <w:t xml:space="preserve">Disciplina que conecta negocio, procesos y tecnología a través de plataformas reutilizables.</w:t>
            </w:r>
          </w:p>
        </w:tc>
      </w:tr>
    </w:tbl>
    <w:p>
      <w:pPr>
        <w:spacing w:after="300"/>
      </w:pPr>
    </w:p>
    <w:p>
      <w:pPr>
        <w:spacing w:after="160"/>
      </w:pPr>
      <w:r>
        <w:rPr>
          <w:i/>
          <w:iCs/>
          <w:color w:val="595959"/>
          <w:sz w:val="18"/>
          <w:szCs w:val="18"/>
        </w:rPr>
        <w:t xml:space="preserve">Documento generado a partir de la transcripción de la sesión de difusión "Modelo Operativo y su importancia" — VSTI, Bancolombia.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Certificación VSTI · Módulo 1 · Modelo Operativo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2026-09-03T22:17:50.109Z</dcterms:created>
  <dcterms:modified xsi:type="dcterms:W3CDTF">2026-09-03T22:17:50.123Z</dcterms:modified>
</cp:coreProperties>
</file>

<file path=docProps/custom.xml><?xml version="1.0" encoding="utf-8"?>
<Properties xmlns="http://schemas.openxmlformats.org/officeDocument/2006/custom-properties" xmlns:vt="http://schemas.openxmlformats.org/officeDocument/2006/docPropsVTypes"/>
</file>