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rPr>
          <w:sz w:val="72"/>
          <w:szCs w:val="72"/>
        </w:rPr>
        <w:t xml:space="preserve">⚙</w:t>
      </w:r>
    </w:p>
    <w:p>
      <w:pPr>
        <w:spacing w:after="200"/>
      </w:pPr>
    </w:p>
    <w:p>
      <w:pPr>
        <w:jc w:val="center"/>
      </w:pPr>
      <w:r>
        <w:rPr>
          <w:b/>
          <w:bCs/>
          <w:color w:val="BF8F00"/>
          <w:sz w:val="26"/>
          <w:szCs w:val="26"/>
        </w:rPr>
        <w:t xml:space="preserve">MÓDULO 2</w:t>
      </w:r>
    </w:p>
    <w:p>
      <w:pPr>
        <w:spacing w:after="200"/>
        <w:jc w:val="center"/>
      </w:pPr>
      <w:r>
        <w:rPr>
          <w:b/>
          <w:bCs/>
          <w:color w:val="1F3864"/>
          <w:sz w:val="52"/>
          <w:szCs w:val="52"/>
        </w:rPr>
        <w:t xml:space="preserve">Gestión de la Configuración</w:t>
      </w:r>
    </w:p>
    <w:p>
      <w:pPr>
        <w:spacing w:after="60"/>
        <w:jc w:val="center"/>
      </w:pPr>
      <w:r>
        <w:rPr>
          <w:i/>
          <w:iCs/>
          <w:color w:val="595959"/>
          <w:sz w:val="26"/>
          <w:szCs w:val="26"/>
        </w:rPr>
        <w:t xml:space="preserve">Aprende la gestión de la configuración y la CMDB</w:t>
      </w:r>
    </w:p>
    <w:p>
      <w:pPr>
        <w:spacing w:after="500"/>
        <w:jc w:val="center"/>
      </w:pPr>
      <w:r>
        <w:rPr>
          <w:color w:val="595959"/>
          <w:sz w:val="20"/>
          <w:szCs w:val="20"/>
        </w:rPr>
        <w:t xml:space="preserve">Vicepresidencia de Servicios de Tecnología e Información — Bancolombia</w:t>
      </w: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Guía de estudio</w:t>
            </w:r>
          </w:p>
          <w:p>
            <w:pPr>
              <w:spacing w:after="0" w:line="280"/>
            </w:pPr>
            <w:r>
              <w:rPr>
                <w:color w:val="222222"/>
                <w:sz w:val="21"/>
                <w:szCs w:val="21"/>
              </w:rPr>
              <w:t xml:space="preserve">Documento elaborado a partir de la tercera sesión de difusión de procesos críticos de tecnología, presentada por Maribel Oquendo, administradora del proceso de Gestión de la Configuración TI (CMDB). Incluye conceptos clave, relación con otros procesos, herramientas, errores comunes y el Q&amp;A de la sesión.</w:t>
            </w:r>
          </w:p>
        </w:tc>
      </w:tr>
    </w:tbl>
    <w:p>
      <w:pPr>
        <w:spacing w:after="300"/>
      </w:pPr>
    </w:p>
    <w:p>
      <w:pPr>
        <w:jc w:val="center"/>
      </w:pPr>
      <w:r>
        <w:rPr>
          <w:i/>
          <w:iCs/>
          <w:color w:val="595959"/>
          <w:sz w:val="20"/>
          <w:szCs w:val="20"/>
        </w:rPr>
        <w:t xml:space="preserve">🗓  Examen de certificación: se habilita el 17 de julio</w:t>
      </w:r>
    </w:p>
    <w:p>
      <w:pPr>
        <w:pageBreakBefore/>
      </w:pPr>
    </w:p>
    <w:p>
      <w:pPr>
        <w:pStyle w:val="Heading1"/>
        <w:pBdr>
          <w:bottom w:val="single" w:color="1F3864" w:sz="6" w:space="4"/>
        </w:pBdr>
        <w:spacing w:after="200" w:before="400"/>
      </w:pPr>
      <w:r>
        <w:rPr>
          <w:b/>
          <w:bCs/>
          <w:color w:val="1F3864"/>
          <w:sz w:val="30"/>
          <w:szCs w:val="30"/>
        </w:rPr>
        <w:t xml:space="preserve">Índice de contenidos</w:t>
      </w:r>
    </w:p>
    <w:p>
      <w:pPr>
        <w:pStyle w:val="ListParagraph"/>
        <w:numPr>
          <w:ilvl w:val="0"/>
          <w:numId w:val="2"/>
        </w:numPr>
        <w:spacing w:after="90" w:line="280"/>
      </w:pPr>
      <w:r>
        <w:rPr>
          <w:color w:val="222222"/>
          <w:sz w:val="22"/>
          <w:szCs w:val="22"/>
        </w:rPr>
        <w:t xml:space="preserve">1. ¿Qué es el proceso de Gestión de la Configuración?</w:t>
      </w:r>
    </w:p>
    <w:p>
      <w:pPr>
        <w:pStyle w:val="ListParagraph"/>
        <w:numPr>
          <w:ilvl w:val="0"/>
          <w:numId w:val="2"/>
        </w:numPr>
        <w:spacing w:after="90" w:line="280"/>
      </w:pPr>
      <w:r>
        <w:rPr>
          <w:color w:val="222222"/>
          <w:sz w:val="22"/>
          <w:szCs w:val="22"/>
        </w:rPr>
        <w:t xml:space="preserve">2. Ciclo de vida del proceso</w:t>
      </w:r>
    </w:p>
    <w:p>
      <w:pPr>
        <w:pStyle w:val="ListParagraph"/>
        <w:numPr>
          <w:ilvl w:val="0"/>
          <w:numId w:val="2"/>
        </w:numPr>
        <w:spacing w:after="90" w:line="280"/>
      </w:pPr>
      <w:r>
        <w:rPr>
          <w:color w:val="222222"/>
          <w:sz w:val="22"/>
          <w:szCs w:val="22"/>
        </w:rPr>
        <w:t xml:space="preserve">3. Los tres pilares: CI, CMDB y herramienta</w:t>
      </w:r>
    </w:p>
    <w:p>
      <w:pPr>
        <w:pStyle w:val="ListParagraph"/>
        <w:numPr>
          <w:ilvl w:val="0"/>
          <w:numId w:val="2"/>
        </w:numPr>
        <w:spacing w:after="90" w:line="280"/>
      </w:pPr>
      <w:r>
        <w:rPr>
          <w:color w:val="222222"/>
          <w:sz w:val="22"/>
          <w:szCs w:val="22"/>
        </w:rPr>
        <w:t xml:space="preserve">4. Estructura jerárquica de la CMDB</w:t>
      </w:r>
    </w:p>
    <w:p>
      <w:pPr>
        <w:pStyle w:val="ListParagraph"/>
        <w:numPr>
          <w:ilvl w:val="0"/>
          <w:numId w:val="2"/>
        </w:numPr>
        <w:spacing w:after="90" w:line="280"/>
      </w:pPr>
      <w:r>
        <w:rPr>
          <w:color w:val="222222"/>
          <w:sz w:val="22"/>
          <w:szCs w:val="22"/>
        </w:rPr>
        <w:t xml:space="preserve">5. Relación con otros procesos de tecnología</w:t>
      </w:r>
    </w:p>
    <w:p>
      <w:pPr>
        <w:pStyle w:val="ListParagraph"/>
        <w:numPr>
          <w:ilvl w:val="0"/>
          <w:numId w:val="2"/>
        </w:numPr>
        <w:spacing w:after="90" w:line="280"/>
      </w:pPr>
      <w:r>
        <w:rPr>
          <w:color w:val="222222"/>
          <w:sz w:val="22"/>
          <w:szCs w:val="22"/>
        </w:rPr>
        <w:t xml:space="preserve">6. Políticas y lineamientos clave</w:t>
      </w:r>
    </w:p>
    <w:p>
      <w:pPr>
        <w:pStyle w:val="ListParagraph"/>
        <w:numPr>
          <w:ilvl w:val="0"/>
          <w:numId w:val="2"/>
        </w:numPr>
        <w:spacing w:after="90" w:line="280"/>
      </w:pPr>
      <w:r>
        <w:rPr>
          <w:color w:val="222222"/>
          <w:sz w:val="22"/>
          <w:szCs w:val="22"/>
        </w:rPr>
        <w:t xml:space="preserve">7. Certificación periódica de la información</w:t>
      </w:r>
    </w:p>
    <w:p>
      <w:pPr>
        <w:pStyle w:val="ListParagraph"/>
        <w:numPr>
          <w:ilvl w:val="0"/>
          <w:numId w:val="2"/>
        </w:numPr>
        <w:spacing w:after="90" w:line="280"/>
      </w:pPr>
      <w:r>
        <w:rPr>
          <w:color w:val="222222"/>
          <w:sz w:val="22"/>
          <w:szCs w:val="22"/>
        </w:rPr>
        <w:t xml:space="preserve">8. Herramientas para gestionar la CMDB</w:t>
      </w:r>
    </w:p>
    <w:p>
      <w:pPr>
        <w:pStyle w:val="ListParagraph"/>
        <w:numPr>
          <w:ilvl w:val="0"/>
          <w:numId w:val="2"/>
        </w:numPr>
        <w:spacing w:after="90" w:line="280"/>
      </w:pPr>
      <w:r>
        <w:rPr>
          <w:color w:val="222222"/>
          <w:sz w:val="22"/>
          <w:szCs w:val="22"/>
        </w:rPr>
        <w:t xml:space="preserve">9. Consecuencias de una mala gestión y errores comunes</w:t>
      </w:r>
    </w:p>
    <w:p>
      <w:pPr>
        <w:pStyle w:val="ListParagraph"/>
        <w:numPr>
          <w:ilvl w:val="0"/>
          <w:numId w:val="2"/>
        </w:numPr>
        <w:spacing w:after="90" w:line="280"/>
      </w:pPr>
      <w:r>
        <w:rPr>
          <w:color w:val="222222"/>
          <w:sz w:val="22"/>
          <w:szCs w:val="22"/>
        </w:rPr>
        <w:t xml:space="preserve">10. Preguntas y respuestas de la sesión</w:t>
      </w:r>
    </w:p>
    <w:p>
      <w:pPr>
        <w:pStyle w:val="ListParagraph"/>
        <w:numPr>
          <w:ilvl w:val="0"/>
          <w:numId w:val="2"/>
        </w:numPr>
        <w:spacing w:after="90" w:line="280"/>
      </w:pPr>
      <w:r>
        <w:rPr>
          <w:color w:val="222222"/>
          <w:sz w:val="22"/>
          <w:szCs w:val="22"/>
        </w:rPr>
        <w:t xml:space="preserve">11. Resumen y puntos clave para el examen</w:t>
      </w:r>
    </w:p>
    <w:p>
      <w:pPr>
        <w:pageBreakBefore/>
      </w:pPr>
    </w:p>
    <w:p>
      <w:pPr>
        <w:pStyle w:val="Heading1"/>
        <w:pBdr>
          <w:bottom w:val="single" w:color="1F3864" w:sz="6" w:space="4"/>
        </w:pBdr>
        <w:spacing w:after="200" w:before="400"/>
      </w:pPr>
      <w:r>
        <w:rPr>
          <w:b/>
          <w:bCs/>
          <w:color w:val="1F3864"/>
          <w:sz w:val="30"/>
          <w:szCs w:val="30"/>
        </w:rPr>
        <w:t xml:space="preserve">1. ¿Qué es el proceso de Gestión de la Configuración?</w:t>
      </w:r>
    </w:p>
    <w:p>
      <w:pPr>
        <w:spacing w:after="160" w:line="300"/>
      </w:pPr>
      <w:r>
        <w:rPr>
          <w:color w:val="222222"/>
          <w:sz w:val="22"/>
          <w:szCs w:val="22"/>
        </w:rPr>
        <w:t xml:space="preserve">Es el proceso que gestiona —es decir, identifica, registra y controla— todos los componentes de infraestructura tecnológica del Banco. También se conoce como ITCM (IT Configuration Management) o, de forma más común, como la CMDB.</w:t>
      </w: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Objetivo del proceso</w:t>
            </w:r>
          </w:p>
          <w:p>
            <w:pPr>
              <w:spacing w:after="0" w:line="280"/>
            </w:pPr>
            <w:r>
              <w:rPr>
                <w:color w:val="222222"/>
                <w:sz w:val="21"/>
                <w:szCs w:val="21"/>
              </w:rPr>
              <w:t xml:space="preserve">Entender qué es el proceso y para qué sirve, conocer las actividades y el rol de cada persona dentro de él, e identificar controles, riesgos e impactos. No se trata solo de teoría: lo importante es entender qué pasa si el proceso NO se ejecuta correctamente.</w:t>
            </w:r>
          </w:p>
        </w:tc>
      </w:tr>
    </w:tbl>
    <w:p>
      <w:pPr>
        <w:spacing w:after="160"/>
      </w:pPr>
    </w:p>
    <w:p>
      <w:pPr>
        <w:spacing w:after="160" w:line="300"/>
      </w:pPr>
      <w:r>
        <w:rPr>
          <w:color w:val="222222"/>
          <w:sz w:val="22"/>
          <w:szCs w:val="22"/>
        </w:rPr>
        <w:t xml:space="preserve">A cada componente gestionado se le llama Elemento de Configuración (CI, por sus siglas en inglés: Configuration Item). El proceso no solo mantiene un inventario, sino también los atributos (información relevante de cada componente, que varía según su naturaleza) y las relaciones entre los distintos elementos.</w:t>
      </w:r>
    </w:p>
    <w:p>
      <w:pPr>
        <w:pStyle w:val="Heading2"/>
        <w:spacing w:after="120" w:before="300"/>
      </w:pPr>
      <w:r>
        <w:rPr>
          <w:b/>
          <w:bCs/>
          <w:color w:val="2E5395"/>
          <w:sz w:val="24"/>
          <w:szCs w:val="24"/>
        </w:rPr>
        <w:t xml:space="preserve">¿Qué cubre el proceso?</w:t>
      </w:r>
    </w:p>
    <w:p>
      <w:pPr>
        <w:pStyle w:val="ListParagraph"/>
        <w:numPr>
          <w:ilvl w:val="0"/>
          <w:numId w:val="2"/>
        </w:numPr>
        <w:spacing w:after="90" w:line="280"/>
      </w:pPr>
      <w:r>
        <w:rPr>
          <w:color w:val="222222"/>
          <w:sz w:val="22"/>
          <w:szCs w:val="22"/>
        </w:rPr>
        <w:t xml:space="preserve">Todos los componentes que soportan servicios de TI.</w:t>
      </w:r>
    </w:p>
    <w:p>
      <w:pPr>
        <w:pStyle w:val="ListParagraph"/>
        <w:numPr>
          <w:ilvl w:val="0"/>
          <w:numId w:val="2"/>
        </w:numPr>
        <w:spacing w:after="90" w:line="280"/>
      </w:pPr>
      <w:r>
        <w:rPr>
          <w:color w:val="222222"/>
          <w:sz w:val="22"/>
          <w:szCs w:val="22"/>
        </w:rPr>
        <w:t xml:space="preserve">Un inventario completo, claro, confiable y relacionado entre sí.</w:t>
      </w:r>
    </w:p>
    <w:p>
      <w:pPr>
        <w:pStyle w:val="ListParagraph"/>
        <w:numPr>
          <w:ilvl w:val="0"/>
          <w:numId w:val="2"/>
        </w:numPr>
        <w:spacing w:after="90" w:line="280"/>
      </w:pPr>
      <w:r>
        <w:rPr>
          <w:color w:val="222222"/>
          <w:sz w:val="22"/>
          <w:szCs w:val="22"/>
        </w:rPr>
        <w:t xml:space="preserve">Soporte a la operación de TI y a la toma de decisiones.</w:t>
      </w:r>
    </w:p>
    <w:p>
      <w:pPr>
        <w:spacing w:after="160"/>
      </w:pPr>
    </w:p>
    <w:tbl>
      <w:tblPr>
        <w:tblW w:type="pct" w:w="100%"/>
        <w:tblBorders>
          <w:top w:val="single" w:color="C55A11" w:sz="4"/>
          <w:left w:val="single" w:color="C55A11" w:sz="24"/>
          <w:bottom w:val="single" w:color="C55A11" w:sz="4"/>
          <w:right w:val="single" w:color="C55A11" w:sz="4"/>
          <w:insideH w:val="single" w:color="auto" w:sz="4"/>
          <w:insideV w:val="single" w:color="auto" w:sz="4"/>
        </w:tblBorders>
      </w:tblPr>
      <w:tblGrid>
        <w:gridCol w:w="100"/>
      </w:tblGrid>
      <w:tr>
        <w:tc>
          <w:tcPr>
            <w:shd w:fill="FCE4D6" w:val="clear"/>
            <w:tcMar>
              <w:top w:type="dxa" w:w="150"/>
              <w:left w:type="dxa" w:w="200"/>
              <w:bottom w:type="dxa" w:w="150"/>
              <w:right w:type="dxa" w:w="200"/>
            </w:tcMar>
          </w:tcPr>
          <w:p>
            <w:pPr>
              <w:spacing w:after="60"/>
            </w:pPr>
            <w:r>
              <w:rPr>
                <w:b/>
                <w:bCs/>
                <w:color w:val="1F3864"/>
                <w:sz w:val="21"/>
                <w:szCs w:val="21"/>
              </w:rPr>
              <w:t xml:space="preserve">⚠️ ¿Qué pasa si no se cumple el proceso?</w:t>
            </w:r>
          </w:p>
          <w:p>
            <w:pPr>
              <w:spacing w:after="0" w:line="280"/>
            </w:pPr>
            <w:r>
              <w:rPr>
                <w:color w:val="222222"/>
                <w:sz w:val="21"/>
                <w:szCs w:val="21"/>
              </w:rPr>
              <w:t xml:space="preserve">Inventarios incompletos, decisiones basadas en información errónea, y riesgos de disponibilidad y seguridad en los servicios.</w:t>
            </w:r>
          </w:p>
        </w:tc>
      </w:tr>
    </w:tbl>
    <w:p>
      <w:pPr>
        <w:pageBreakBefore/>
      </w:pPr>
    </w:p>
    <w:p>
      <w:pPr>
        <w:pStyle w:val="Heading1"/>
        <w:pBdr>
          <w:bottom w:val="single" w:color="1F3864" w:sz="6" w:space="4"/>
        </w:pBdr>
        <w:spacing w:after="200" w:before="400"/>
      </w:pPr>
      <w:r>
        <w:rPr>
          <w:b/>
          <w:bCs/>
          <w:color w:val="1F3864"/>
          <w:sz w:val="30"/>
          <w:szCs w:val="30"/>
        </w:rPr>
        <w:t xml:space="preserve">2. Ciclo de vida del proceso</w:t>
      </w:r>
    </w:p>
    <w:p>
      <w:pPr>
        <w:spacing w:after="160" w:line="300"/>
      </w:pPr>
      <w:r>
        <w:rPr>
          <w:color w:val="222222"/>
          <w:sz w:val="22"/>
          <w:szCs w:val="22"/>
        </w:rPr>
        <w:t xml:space="preserve">El proceso de Gestión de la Configuración tiene cuatro actividades fundamentales: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864" w:val="clear"/>
            <w:tcMar>
              <w:top w:type="dxa" w:w="100"/>
              <w:left w:type="dxa" w:w="120"/>
              <w:bottom w:type="dxa" w:w="100"/>
              <w:right w:type="dxa" w:w="120"/>
            </w:tcMar>
            <w:vAlign w:val="center"/>
          </w:tcPr>
          <w:p>
            <w:r>
              <w:rPr>
                <w:b/>
                <w:bCs/>
                <w:color w:val="FFFFFF"/>
                <w:sz w:val="20"/>
                <w:szCs w:val="20"/>
              </w:rPr>
              <w:t xml:space="preserve">Etapa</w:t>
            </w:r>
          </w:p>
        </w:tc>
        <w:tc>
          <w:tcPr>
            <w:tcW w:type="dxa" w:w="6950"/>
            <w:shd w:fill="1F3864" w:val="clear"/>
            <w:tcMar>
              <w:top w:type="dxa" w:w="100"/>
              <w:left w:type="dxa" w:w="120"/>
              <w:bottom w:type="dxa" w:w="100"/>
              <w:right w:type="dxa" w:w="120"/>
            </w:tcMar>
            <w:vAlign w:val="center"/>
          </w:tcPr>
          <w:p>
            <w:r>
              <w:rPr>
                <w:b/>
                <w:bCs/>
                <w:color w:val="FFFFFF"/>
                <w:sz w:val="20"/>
                <w:szCs w:val="20"/>
              </w:rPr>
              <w:t xml:space="preserve">Qué incluye</w:t>
            </w:r>
          </w:p>
        </w:tc>
      </w:tr>
      <w:tr>
        <w:tc>
          <w:tcPr>
            <w:tcW w:type="dxa" w:w="2400"/>
            <w:shd w:fill="F2F2F2" w:val="clear"/>
            <w:tcMar>
              <w:top w:type="dxa" w:w="90"/>
              <w:left w:type="dxa" w:w="120"/>
              <w:bottom w:type="dxa" w:w="90"/>
              <w:right w:type="dxa" w:w="120"/>
            </w:tcMar>
            <w:vAlign w:val="center"/>
          </w:tcPr>
          <w:p>
            <w:pPr>
              <w:spacing w:line="260"/>
            </w:pPr>
            <w:r>
              <w:rPr>
                <w:color w:val="222222"/>
                <w:sz w:val="20"/>
                <w:szCs w:val="20"/>
              </w:rPr>
              <w:t xml:space="preserve">1. Gestión y planificación</w:t>
            </w:r>
          </w:p>
        </w:tc>
        <w:tc>
          <w:tcPr>
            <w:tcW w:type="dxa" w:w="6950"/>
            <w:shd w:fill="F2F2F2" w:val="clear"/>
            <w:tcMar>
              <w:top w:type="dxa" w:w="90"/>
              <w:left w:type="dxa" w:w="120"/>
              <w:bottom w:type="dxa" w:w="90"/>
              <w:right w:type="dxa" w:w="120"/>
            </w:tcMar>
            <w:vAlign w:val="center"/>
          </w:tcPr>
          <w:p>
            <w:pPr>
              <w:spacing w:line="260"/>
            </w:pPr>
            <w:r>
              <w:rPr>
                <w:color w:val="222222"/>
                <w:sz w:val="20"/>
                <w:szCs w:val="20"/>
              </w:rPr>
              <w:t xml:space="preserve">Define la estrategia (la "sombrilla" del proceso): la herramienta ITCM, evaluación de riesgos (Riesgo Operacional y Comité de Riesgo Operacional y Cibernético), lineamientos de ciberseguridad, estándares de arquitectura para la CMDB, y su articulación con el proceso de Habilitar y Mantener Soluciones.</w:t>
            </w:r>
          </w:p>
        </w:tc>
      </w:tr>
      <w:tr>
        <w:tc>
          <w:tcPr>
            <w:tcW w:type="dxa" w:w="2400"/>
            <w:shd w:fill="FFFFFF" w:val="clear"/>
            <w:tcMar>
              <w:top w:type="dxa" w:w="90"/>
              <w:left w:type="dxa" w:w="120"/>
              <w:bottom w:type="dxa" w:w="90"/>
              <w:right w:type="dxa" w:w="120"/>
            </w:tcMar>
            <w:vAlign w:val="center"/>
          </w:tcPr>
          <w:p>
            <w:pPr>
              <w:spacing w:line="260"/>
            </w:pPr>
            <w:r>
              <w:rPr>
                <w:color w:val="222222"/>
                <w:sz w:val="20"/>
                <w:szCs w:val="20"/>
              </w:rPr>
              <w:t xml:space="preserve">2. Implementación</w:t>
            </w:r>
          </w:p>
        </w:tc>
        <w:tc>
          <w:tcPr>
            <w:tcW w:type="dxa" w:w="6950"/>
            <w:shd w:fill="FFFFFF" w:val="clear"/>
            <w:tcMar>
              <w:top w:type="dxa" w:w="90"/>
              <w:left w:type="dxa" w:w="120"/>
              <w:bottom w:type="dxa" w:w="90"/>
              <w:right w:type="dxa" w:w="120"/>
            </w:tcMar>
            <w:vAlign w:val="center"/>
          </w:tcPr>
          <w:p>
            <w:pPr>
              <w:spacing w:line="260"/>
            </w:pPr>
            <w:r>
              <w:rPr>
                <w:color w:val="222222"/>
                <w:sz w:val="20"/>
                <w:szCs w:val="20"/>
              </w:rPr>
              <w:t xml:space="preserve">Definición de dueños de clase (por tipología de componente) y levantamiento de actas de clase: quién es el dueño, con qué periodicidad se actualiza la información, tipo de actualización (manual o automática) y atributos clave.</w:t>
            </w:r>
          </w:p>
        </w:tc>
      </w:tr>
      <w:tr>
        <w:tc>
          <w:tcPr>
            <w:tcW w:type="dxa" w:w="2400"/>
            <w:shd w:fill="F2F2F2" w:val="clear"/>
            <w:tcMar>
              <w:top w:type="dxa" w:w="90"/>
              <w:left w:type="dxa" w:w="120"/>
              <w:bottom w:type="dxa" w:w="90"/>
              <w:right w:type="dxa" w:w="120"/>
            </w:tcMar>
            <w:vAlign w:val="center"/>
          </w:tcPr>
          <w:p>
            <w:pPr>
              <w:spacing w:line="260"/>
            </w:pPr>
            <w:r>
              <w:rPr>
                <w:color w:val="222222"/>
                <w:sz w:val="20"/>
                <w:szCs w:val="20"/>
              </w:rPr>
              <w:t xml:space="preserve">3. Lineamientos y políticas</w:t>
            </w:r>
          </w:p>
        </w:tc>
        <w:tc>
          <w:tcPr>
            <w:tcW w:type="dxa" w:w="6950"/>
            <w:shd w:fill="F2F2F2" w:val="clear"/>
            <w:tcMar>
              <w:top w:type="dxa" w:w="90"/>
              <w:left w:type="dxa" w:w="120"/>
              <w:bottom w:type="dxa" w:w="90"/>
              <w:right w:type="dxa" w:w="120"/>
            </w:tcMar>
            <w:vAlign w:val="center"/>
          </w:tcPr>
          <w:p>
            <w:pPr>
              <w:spacing w:line="260"/>
            </w:pPr>
            <w:r>
              <w:rPr>
                <w:color w:val="222222"/>
                <w:sz w:val="20"/>
                <w:szCs w:val="20"/>
              </w:rPr>
              <w:t xml:space="preserve">Definición de roles y responsabilidades: quién interviene en el proceso, cómo lo hace y qué responsabilidad tiene.</w:t>
            </w:r>
          </w:p>
        </w:tc>
      </w:tr>
      <w:tr>
        <w:tc>
          <w:tcPr>
            <w:tcW w:type="dxa" w:w="2400"/>
            <w:shd w:fill="FFFFFF" w:val="clear"/>
            <w:tcMar>
              <w:top w:type="dxa" w:w="90"/>
              <w:left w:type="dxa" w:w="120"/>
              <w:bottom w:type="dxa" w:w="90"/>
              <w:right w:type="dxa" w:w="120"/>
            </w:tcMar>
            <w:vAlign w:val="center"/>
          </w:tcPr>
          <w:p>
            <w:pPr>
              <w:spacing w:line="260"/>
            </w:pPr>
            <w:r>
              <w:rPr>
                <w:color w:val="222222"/>
                <w:sz w:val="20"/>
                <w:szCs w:val="20"/>
              </w:rPr>
              <w:t xml:space="preserve">4. Mejora continua</w:t>
            </w:r>
          </w:p>
        </w:tc>
        <w:tc>
          <w:tcPr>
            <w:tcW w:type="dxa" w:w="6950"/>
            <w:shd w:fill="FFFFFF" w:val="clear"/>
            <w:tcMar>
              <w:top w:type="dxa" w:w="90"/>
              <w:left w:type="dxa" w:w="120"/>
              <w:bottom w:type="dxa" w:w="90"/>
              <w:right w:type="dxa" w:w="120"/>
            </w:tcMar>
            <w:vAlign w:val="center"/>
          </w:tcPr>
          <w:p>
            <w:pPr>
              <w:spacing w:line="260"/>
            </w:pPr>
            <w:r>
              <w:rPr>
                <w:color w:val="222222"/>
                <w:sz w:val="20"/>
                <w:szCs w:val="20"/>
              </w:rPr>
              <w:t xml:space="preserve">Generación de controles, aseguramiento de la configuración, identificación de desviaciones, planes de acción de corrección, medición y monitoreo continuo — todo alineado con el modelo operativo TI.</w:t>
            </w:r>
          </w:p>
        </w:tc>
      </w:tr>
    </w:tbl>
    <w:p>
      <w:pPr>
        <w:pageBreakBefore/>
      </w:pPr>
    </w:p>
    <w:p>
      <w:pPr>
        <w:pStyle w:val="Heading1"/>
        <w:pBdr>
          <w:bottom w:val="single" w:color="1F3864" w:sz="6" w:space="4"/>
        </w:pBdr>
        <w:spacing w:after="200" w:before="400"/>
      </w:pPr>
      <w:r>
        <w:rPr>
          <w:b/>
          <w:bCs/>
          <w:color w:val="1F3864"/>
          <w:sz w:val="30"/>
          <w:szCs w:val="30"/>
        </w:rPr>
        <w:t xml:space="preserve">3. Los tres pilares: CI, CMDB y herramienta</w:t>
      </w:r>
    </w:p>
    <w:p>
      <w:pPr>
        <w:pStyle w:val="Heading2"/>
        <w:spacing w:after="120" w:before="300"/>
      </w:pPr>
      <w:r>
        <w:rPr>
          <w:b/>
          <w:bCs/>
          <w:color w:val="2E5395"/>
          <w:sz w:val="24"/>
          <w:szCs w:val="24"/>
        </w:rPr>
        <w:t xml:space="preserve">Pilar 1 — El Elemento de Configuración (CI)</w:t>
      </w:r>
    </w:p>
    <w:p>
      <w:pPr>
        <w:spacing w:after="160" w:line="300"/>
      </w:pPr>
      <w:r>
        <w:rPr>
          <w:color w:val="222222"/>
          <w:sz w:val="22"/>
          <w:szCs w:val="22"/>
        </w:rPr>
        <w:t xml:space="preserve">Un CI es cualquier componente que requiera ser gestionado para habilitar un servicio de TI. Es el identificador base de todos los componentes que participan en los procesos de TI: prácticamente todos los procesos de tecnología parten de un elemento de configuración.</w:t>
      </w: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Dato clave</w:t>
            </w:r>
          </w:p>
          <w:p>
            <w:pPr>
              <w:spacing w:after="0" w:line="280"/>
            </w:pPr>
            <w:r>
              <w:rPr>
                <w:color w:val="222222"/>
                <w:sz w:val="21"/>
                <w:szCs w:val="21"/>
              </w:rPr>
              <w:t xml:space="preserve">La CMDB tiene actualmente alrededor de 250,000 elementos de configuración de diferentes tipologías: servicios, aplicaciones, servidores, bases de datos, componentes de red, componentes de capa aplicativa, estaciones de trabajo y cajeros electrónicos, entre otros.</w:t>
            </w:r>
          </w:p>
        </w:tc>
      </w:tr>
    </w:tbl>
    <w:p>
      <w:pPr>
        <w:spacing w:after="160"/>
      </w:pPr>
    </w:p>
    <w:p>
      <w:pPr>
        <w:pStyle w:val="Heading2"/>
        <w:spacing w:after="120" w:before="300"/>
      </w:pPr>
      <w:r>
        <w:rPr>
          <w:b/>
          <w:bCs/>
          <w:color w:val="2E5395"/>
          <w:sz w:val="24"/>
          <w:szCs w:val="24"/>
        </w:rPr>
        <w:t xml:space="preserve">Pilar 2 — La CMDB (Configuration Management Data Base)</w:t>
      </w:r>
    </w:p>
    <w:p>
      <w:pPr>
        <w:spacing w:after="160" w:line="300"/>
      </w:pPr>
      <w:r>
        <w:rPr>
          <w:color w:val="222222"/>
          <w:sz w:val="22"/>
          <w:szCs w:val="22"/>
        </w:rPr>
        <w:t xml:space="preserve">Es el repositorio central y autoritativo donde se registran todos los elementos de configuración, sus atributos y sus relaciones entre sí. Lo más valioso de la CMDB no es solo listar componentes, sino mapear las relaciones y dependencias entre ellos.</w:t>
      </w: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Ejemplo práctico</w:t>
            </w:r>
          </w:p>
          <w:p>
            <w:pPr>
              <w:spacing w:after="0" w:line="280"/>
            </w:pPr>
            <w:r>
              <w:rPr>
                <w:color w:val="222222"/>
                <w:sz w:val="21"/>
                <w:szCs w:val="21"/>
              </w:rPr>
              <w:t xml:space="preserve">La CMDB no solo dice "existe el servidor X" y "existe la base de datos Y": también muestra que la base de datos corre dentro del servidor X, y que ese servidor soporta la aplicación Z.</w:t>
            </w:r>
          </w:p>
        </w:tc>
      </w:tr>
    </w:tbl>
    <w:p>
      <w:pPr>
        <w:spacing w:after="160"/>
      </w:pPr>
    </w:p>
    <w:p>
      <w:pPr>
        <w:pStyle w:val="Heading2"/>
        <w:spacing w:after="120" w:before="300"/>
      </w:pPr>
      <w:r>
        <w:rPr>
          <w:b/>
          <w:bCs/>
          <w:color w:val="2E5395"/>
          <w:sz w:val="24"/>
          <w:szCs w:val="24"/>
        </w:rPr>
        <w:t xml:space="preserve">Pilar 3 — La herramienta (ecosistema ITCM)</w:t>
      </w:r>
    </w:p>
    <w:p>
      <w:pPr>
        <w:spacing w:after="160" w:line="300"/>
      </w:pPr>
      <w:r>
        <w:rPr>
          <w:color w:val="222222"/>
          <w:sz w:val="22"/>
          <w:szCs w:val="22"/>
        </w:rPr>
        <w:t xml:space="preserve">Es el orquestador que le da vida y utilidad a la información de la CMDB. Sin una herramienta con distintos módulos, la CMDB sería solo un inventario estático. La herramienta también integra otros procesos de tecnología (cambios, incidentes, eventos, problemas) y procesos de ciberseguridad y regulatorios.</w:t>
      </w:r>
    </w:p>
    <w:p>
      <w:pPr>
        <w:pageBreakBefore/>
      </w:pPr>
    </w:p>
    <w:p>
      <w:pPr>
        <w:pStyle w:val="Heading1"/>
        <w:pBdr>
          <w:bottom w:val="single" w:color="1F3864" w:sz="6" w:space="4"/>
        </w:pBdr>
        <w:spacing w:after="200" w:before="400"/>
      </w:pPr>
      <w:r>
        <w:rPr>
          <w:b/>
          <w:bCs/>
          <w:color w:val="1F3864"/>
          <w:sz w:val="30"/>
          <w:szCs w:val="30"/>
        </w:rPr>
        <w:t xml:space="preserve">4. Estructura jerárquica de la CMDB</w:t>
      </w:r>
    </w:p>
    <w:p>
      <w:pPr>
        <w:spacing w:after="160" w:line="300"/>
      </w:pPr>
      <w:r>
        <w:rPr>
          <w:color w:val="222222"/>
          <w:sz w:val="22"/>
          <w:szCs w:val="22"/>
        </w:rPr>
        <w:t xml:space="preserve">La CMDB sigue una estructura jerárquica de arriba hacia abajo: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100"/>
              <w:left w:type="dxa" w:w="120"/>
              <w:bottom w:type="dxa" w:w="100"/>
              <w:right w:type="dxa" w:w="120"/>
            </w:tcMar>
            <w:vAlign w:val="center"/>
          </w:tcPr>
          <w:p>
            <w:r>
              <w:rPr>
                <w:b/>
                <w:bCs/>
                <w:color w:val="FFFFFF"/>
                <w:sz w:val="20"/>
                <w:szCs w:val="20"/>
              </w:rPr>
              <w:t xml:space="preserve">Nivel</w:t>
            </w:r>
          </w:p>
        </w:tc>
        <w:tc>
          <w:tcPr>
            <w:tcW w:type="dxa" w:w="7150"/>
            <w:shd w:fill="1F3864" w:val="clear"/>
            <w:tcMar>
              <w:top w:type="dxa" w:w="100"/>
              <w:left w:type="dxa" w:w="120"/>
              <w:bottom w:type="dxa" w:w="100"/>
              <w:right w:type="dxa" w:w="120"/>
            </w:tcMar>
            <w:vAlign w:val="center"/>
          </w:tcPr>
          <w:p>
            <w:r>
              <w:rPr>
                <w:b/>
                <w:bCs/>
                <w:color w:val="FFFFFF"/>
                <w:sz w:val="20"/>
                <w:szCs w:val="20"/>
              </w:rPr>
              <w:t xml:space="preserve">Descripción</w:t>
            </w:r>
          </w:p>
        </w:tc>
      </w:tr>
      <w:tr>
        <w:tc>
          <w:tcPr>
            <w:tcW w:type="dxa" w:w="2200"/>
            <w:shd w:fill="F2F2F2" w:val="clear"/>
            <w:tcMar>
              <w:top w:type="dxa" w:w="90"/>
              <w:left w:type="dxa" w:w="120"/>
              <w:bottom w:type="dxa" w:w="90"/>
              <w:right w:type="dxa" w:w="120"/>
            </w:tcMar>
            <w:vAlign w:val="center"/>
          </w:tcPr>
          <w:p>
            <w:pPr>
              <w:spacing w:line="260"/>
            </w:pPr>
            <w:r>
              <w:rPr>
                <w:color w:val="222222"/>
                <w:sz w:val="20"/>
                <w:szCs w:val="20"/>
              </w:rPr>
              <w:t xml:space="preserve">Servicio</w:t>
            </w:r>
          </w:p>
        </w:tc>
        <w:tc>
          <w:tcPr>
            <w:tcW w:type="dxa" w:w="7150"/>
            <w:shd w:fill="F2F2F2" w:val="clear"/>
            <w:tcMar>
              <w:top w:type="dxa" w:w="90"/>
              <w:left w:type="dxa" w:w="120"/>
              <w:bottom w:type="dxa" w:w="90"/>
              <w:right w:type="dxa" w:w="120"/>
            </w:tcMar>
            <w:vAlign w:val="center"/>
          </w:tcPr>
          <w:p>
            <w:pPr>
              <w:spacing w:line="260"/>
            </w:pPr>
            <w:r>
              <w:rPr>
                <w:color w:val="222222"/>
                <w:sz w:val="20"/>
                <w:szCs w:val="20"/>
              </w:rPr>
              <w:t xml:space="preserve">En la cabeza de la jerarquía. Un servicio puede relacionarse con una o varias aplicaciones.</w:t>
            </w:r>
          </w:p>
        </w:tc>
      </w:tr>
      <w:tr>
        <w:tc>
          <w:tcPr>
            <w:tcW w:type="dxa" w:w="2200"/>
            <w:shd w:fill="FFFFFF" w:val="clear"/>
            <w:tcMar>
              <w:top w:type="dxa" w:w="90"/>
              <w:left w:type="dxa" w:w="120"/>
              <w:bottom w:type="dxa" w:w="90"/>
              <w:right w:type="dxa" w:w="120"/>
            </w:tcMar>
            <w:vAlign w:val="center"/>
          </w:tcPr>
          <w:p>
            <w:pPr>
              <w:spacing w:line="260"/>
            </w:pPr>
            <w:r>
              <w:rPr>
                <w:color w:val="222222"/>
                <w:sz w:val="20"/>
                <w:szCs w:val="20"/>
              </w:rPr>
              <w:t xml:space="preserve">Aplicaciones</w:t>
            </w:r>
          </w:p>
        </w:tc>
        <w:tc>
          <w:tcPr>
            <w:tcW w:type="dxa" w:w="7150"/>
            <w:shd w:fill="FFFFFF" w:val="clear"/>
            <w:tcMar>
              <w:top w:type="dxa" w:w="90"/>
              <w:left w:type="dxa" w:w="120"/>
              <w:bottom w:type="dxa" w:w="90"/>
              <w:right w:type="dxa" w:w="120"/>
            </w:tcMar>
            <w:vAlign w:val="center"/>
          </w:tcPr>
          <w:p>
            <w:pPr>
              <w:spacing w:line="260"/>
            </w:pPr>
            <w:r>
              <w:rPr>
                <w:color w:val="222222"/>
                <w:sz w:val="20"/>
                <w:szCs w:val="20"/>
              </w:rPr>
              <w:t xml:space="preserve">Se relacionan con el servicio que soportan.</w:t>
            </w:r>
          </w:p>
        </w:tc>
      </w:tr>
      <w:tr>
        <w:tc>
          <w:tcPr>
            <w:tcW w:type="dxa" w:w="2200"/>
            <w:shd w:fill="F2F2F2" w:val="clear"/>
            <w:tcMar>
              <w:top w:type="dxa" w:w="90"/>
              <w:left w:type="dxa" w:w="120"/>
              <w:bottom w:type="dxa" w:w="90"/>
              <w:right w:type="dxa" w:w="120"/>
            </w:tcMar>
            <w:vAlign w:val="center"/>
          </w:tcPr>
          <w:p>
            <w:pPr>
              <w:spacing w:line="260"/>
            </w:pPr>
            <w:r>
              <w:rPr>
                <w:color w:val="222222"/>
                <w:sz w:val="20"/>
                <w:szCs w:val="20"/>
              </w:rPr>
              <w:t xml:space="preserve">Transacciones</w:t>
            </w:r>
          </w:p>
        </w:tc>
        <w:tc>
          <w:tcPr>
            <w:tcW w:type="dxa" w:w="7150"/>
            <w:shd w:fill="F2F2F2" w:val="clear"/>
            <w:tcMar>
              <w:top w:type="dxa" w:w="90"/>
              <w:left w:type="dxa" w:w="120"/>
              <w:bottom w:type="dxa" w:w="90"/>
              <w:right w:type="dxa" w:w="120"/>
            </w:tcMar>
            <w:vAlign w:val="center"/>
          </w:tcPr>
          <w:p>
            <w:pPr>
              <w:spacing w:line="260"/>
            </w:pPr>
            <w:r>
              <w:rPr>
                <w:color w:val="222222"/>
                <w:sz w:val="20"/>
                <w:szCs w:val="20"/>
              </w:rPr>
              <w:t xml:space="preserve">Modelamiento en curso de las transacciones críticas del Banco (aún no aplica a todas las aplicaciones).</w:t>
            </w:r>
          </w:p>
        </w:tc>
      </w:tr>
      <w:tr>
        <w:tc>
          <w:tcPr>
            <w:tcW w:type="dxa" w:w="2200"/>
            <w:shd w:fill="FFFFFF" w:val="clear"/>
            <w:tcMar>
              <w:top w:type="dxa" w:w="90"/>
              <w:left w:type="dxa" w:w="120"/>
              <w:bottom w:type="dxa" w:w="90"/>
              <w:right w:type="dxa" w:w="120"/>
            </w:tcMar>
            <w:vAlign w:val="center"/>
          </w:tcPr>
          <w:p>
            <w:pPr>
              <w:spacing w:line="260"/>
            </w:pPr>
            <w:r>
              <w:rPr>
                <w:color w:val="222222"/>
                <w:sz w:val="20"/>
                <w:szCs w:val="20"/>
              </w:rPr>
              <w:t xml:space="preserve">Componentes técnicos</w:t>
            </w:r>
          </w:p>
        </w:tc>
        <w:tc>
          <w:tcPr>
            <w:tcW w:type="dxa" w:w="7150"/>
            <w:shd w:fill="FFFFFF" w:val="clear"/>
            <w:tcMar>
              <w:top w:type="dxa" w:w="90"/>
              <w:left w:type="dxa" w:w="120"/>
              <w:bottom w:type="dxa" w:w="90"/>
              <w:right w:type="dxa" w:w="120"/>
            </w:tcMar>
            <w:vAlign w:val="center"/>
          </w:tcPr>
          <w:p>
            <w:pPr>
              <w:spacing w:line="260"/>
            </w:pPr>
            <w:r>
              <w:rPr>
                <w:color w:val="222222"/>
                <w:sz w:val="20"/>
                <w:szCs w:val="20"/>
              </w:rPr>
              <w:t xml:space="preserve">El detalle de qué componentes soportan cada transacción.</w:t>
            </w:r>
          </w:p>
        </w:tc>
      </w:tr>
    </w:tbl>
    <w:p>
      <w:pPr>
        <w:spacing w:after="200"/>
      </w:pPr>
    </w:p>
    <w:p>
      <w:pPr>
        <w:spacing w:after="160" w:line="300"/>
      </w:pPr>
      <w:r>
        <w:rPr>
          <w:color w:val="222222"/>
          <w:sz w:val="22"/>
          <w:szCs w:val="22"/>
        </w:rPr>
        <w:t xml:space="preserve">Actualmente se está trabajando en mapear: qué transacciones consume cada aplicación, y qué componentes técnicos soportan cada transacción — un modelamiento en construcción hacia una CMDB cada vez más completa.</w:t>
      </w:r>
    </w:p>
    <w:p>
      <w:pPr>
        <w:pageBreakBefore/>
      </w:pPr>
    </w:p>
    <w:p>
      <w:pPr>
        <w:pStyle w:val="Heading1"/>
        <w:pBdr>
          <w:bottom w:val="single" w:color="1F3864" w:sz="6" w:space="4"/>
        </w:pBdr>
        <w:spacing w:after="200" w:before="400"/>
      </w:pPr>
      <w:r>
        <w:rPr>
          <w:b/>
          <w:bCs/>
          <w:color w:val="1F3864"/>
          <w:sz w:val="30"/>
          <w:szCs w:val="30"/>
        </w:rPr>
        <w:t xml:space="preserve">5. Relación con otros procesos de tecnología</w:t>
      </w:r>
    </w:p>
    <w:p>
      <w:pPr>
        <w:spacing w:after="160" w:line="300"/>
      </w:pPr>
      <w:r>
        <w:rPr>
          <w:color w:val="222222"/>
          <w:sz w:val="22"/>
          <w:szCs w:val="22"/>
        </w:rPr>
        <w:t xml:space="preserve">La CMDB es la fuente de la que se alimentan múltiples procesos críticos de la organización: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100"/>
              <w:left w:type="dxa" w:w="120"/>
              <w:bottom w:type="dxa" w:w="100"/>
              <w:right w:type="dxa" w:w="120"/>
            </w:tcMar>
            <w:vAlign w:val="center"/>
          </w:tcPr>
          <w:p>
            <w:r>
              <w:rPr>
                <w:b/>
                <w:bCs/>
                <w:color w:val="FFFFFF"/>
                <w:sz w:val="20"/>
                <w:szCs w:val="20"/>
              </w:rPr>
              <w:t xml:space="preserve">Proceso</w:t>
            </w:r>
          </w:p>
        </w:tc>
        <w:tc>
          <w:tcPr>
            <w:tcW w:type="dxa" w:w="6750"/>
            <w:shd w:fill="1F3864" w:val="clear"/>
            <w:tcMar>
              <w:top w:type="dxa" w:w="100"/>
              <w:left w:type="dxa" w:w="120"/>
              <w:bottom w:type="dxa" w:w="100"/>
              <w:right w:type="dxa" w:w="120"/>
            </w:tcMar>
            <w:vAlign w:val="center"/>
          </w:tcPr>
          <w:p>
            <w:r>
              <w:rPr>
                <w:b/>
                <w:bCs/>
                <w:color w:val="FFFFFF"/>
                <w:sz w:val="20"/>
                <w:szCs w:val="20"/>
              </w:rPr>
              <w:t xml:space="preserve">Cómo se relaciona con la CMDB</w:t>
            </w:r>
          </w:p>
        </w:tc>
      </w:tr>
      <w:tr>
        <w:tc>
          <w:tcPr>
            <w:tcW w:type="dxa" w:w="2600"/>
            <w:shd w:fill="F2F2F2" w:val="clear"/>
            <w:tcMar>
              <w:top w:type="dxa" w:w="90"/>
              <w:left w:type="dxa" w:w="120"/>
              <w:bottom w:type="dxa" w:w="90"/>
              <w:right w:type="dxa" w:w="120"/>
            </w:tcMar>
            <w:vAlign w:val="center"/>
          </w:tcPr>
          <w:p>
            <w:pPr>
              <w:spacing w:line="260"/>
            </w:pPr>
            <w:r>
              <w:rPr>
                <w:color w:val="222222"/>
                <w:sz w:val="20"/>
                <w:szCs w:val="20"/>
              </w:rPr>
              <w:t xml:space="preserve">Eventos, incidentes y problemas</w:t>
            </w:r>
          </w:p>
        </w:tc>
        <w:tc>
          <w:tcPr>
            <w:tcW w:type="dxa" w:w="6750"/>
            <w:shd w:fill="F2F2F2" w:val="clear"/>
            <w:tcMar>
              <w:top w:type="dxa" w:w="90"/>
              <w:left w:type="dxa" w:w="120"/>
              <w:bottom w:type="dxa" w:w="90"/>
              <w:right w:type="dxa" w:w="120"/>
            </w:tcMar>
            <w:vAlign w:val="center"/>
          </w:tcPr>
          <w:p>
            <w:pPr>
              <w:spacing w:line="260"/>
            </w:pPr>
            <w:r>
              <w:rPr>
                <w:color w:val="222222"/>
                <w:sz w:val="20"/>
                <w:szCs w:val="20"/>
              </w:rPr>
              <w:t xml:space="preserve">El CI es un campo obligatorio al crear un registro. Permite identificar el impacto real del componente afectado y el equipo responsable de solucionarlo.</w:t>
            </w:r>
          </w:p>
        </w:tc>
      </w:tr>
      <w:tr>
        <w:tc>
          <w:tcPr>
            <w:tcW w:type="dxa" w:w="2600"/>
            <w:shd w:fill="FFFFFF" w:val="clear"/>
            <w:tcMar>
              <w:top w:type="dxa" w:w="90"/>
              <w:left w:type="dxa" w:w="120"/>
              <w:bottom w:type="dxa" w:w="90"/>
              <w:right w:type="dxa" w:w="120"/>
            </w:tcMar>
            <w:vAlign w:val="center"/>
          </w:tcPr>
          <w:p>
            <w:pPr>
              <w:spacing w:line="260"/>
            </w:pPr>
            <w:r>
              <w:rPr>
                <w:color w:val="222222"/>
                <w:sz w:val="20"/>
                <w:szCs w:val="20"/>
              </w:rPr>
              <w:t xml:space="preserve">Habilitar y mantener soluciones</w:t>
            </w:r>
          </w:p>
        </w:tc>
        <w:tc>
          <w:tcPr>
            <w:tcW w:type="dxa" w:w="6750"/>
            <w:shd w:fill="FFFFFF" w:val="clear"/>
            <w:tcMar>
              <w:top w:type="dxa" w:w="90"/>
              <w:left w:type="dxa" w:w="120"/>
              <w:bottom w:type="dxa" w:w="90"/>
              <w:right w:type="dxa" w:w="120"/>
            </w:tcMar>
            <w:vAlign w:val="center"/>
          </w:tcPr>
          <w:p>
            <w:pPr>
              <w:spacing w:line="260"/>
            </w:pPr>
            <w:r>
              <w:rPr>
                <w:color w:val="222222"/>
                <w:sz w:val="20"/>
                <w:szCs w:val="20"/>
              </w:rPr>
              <w:t xml:space="preserve">El código de aplicación (CI) es el primer dato solicitado. La CMDB es una entrada obligatoria para poder ejecutar este proceso.</w:t>
            </w:r>
          </w:p>
        </w:tc>
      </w:tr>
      <w:tr>
        <w:tc>
          <w:tcPr>
            <w:tcW w:type="dxa" w:w="2600"/>
            <w:shd w:fill="F2F2F2" w:val="clear"/>
            <w:tcMar>
              <w:top w:type="dxa" w:w="90"/>
              <w:left w:type="dxa" w:w="120"/>
              <w:bottom w:type="dxa" w:w="90"/>
              <w:right w:type="dxa" w:w="120"/>
            </w:tcMar>
            <w:vAlign w:val="center"/>
          </w:tcPr>
          <w:p>
            <w:pPr>
              <w:spacing w:line="260"/>
            </w:pPr>
            <w:r>
              <w:rPr>
                <w:color w:val="222222"/>
                <w:sz w:val="20"/>
                <w:szCs w:val="20"/>
              </w:rPr>
              <w:t xml:space="preserve">Cambios (CRQ)</w:t>
            </w:r>
          </w:p>
        </w:tc>
        <w:tc>
          <w:tcPr>
            <w:tcW w:type="dxa" w:w="6750"/>
            <w:shd w:fill="F2F2F2" w:val="clear"/>
            <w:tcMar>
              <w:top w:type="dxa" w:w="90"/>
              <w:left w:type="dxa" w:w="120"/>
              <w:bottom w:type="dxa" w:w="90"/>
              <w:right w:type="dxa" w:w="120"/>
            </w:tcMar>
            <w:vAlign w:val="center"/>
          </w:tcPr>
          <w:p>
            <w:pPr>
              <w:spacing w:line="260"/>
            </w:pPr>
            <w:r>
              <w:rPr>
                <w:color w:val="222222"/>
                <w:sz w:val="20"/>
                <w:szCs w:val="20"/>
              </w:rPr>
              <w:t xml:space="preserve">El CI identifica qué se va a afectar con el cambio, qué servicios se impactan, qué riesgos existen y qué conflictos puede haber con otros cambios simultáneos sobre el mismo componente.</w:t>
            </w:r>
          </w:p>
        </w:tc>
      </w:tr>
      <w:tr>
        <w:tc>
          <w:tcPr>
            <w:tcW w:type="dxa" w:w="2600"/>
            <w:shd w:fill="FFFFFF" w:val="clear"/>
            <w:tcMar>
              <w:top w:type="dxa" w:w="90"/>
              <w:left w:type="dxa" w:w="120"/>
              <w:bottom w:type="dxa" w:w="90"/>
              <w:right w:type="dxa" w:w="120"/>
            </w:tcMar>
            <w:vAlign w:val="center"/>
          </w:tcPr>
          <w:p>
            <w:pPr>
              <w:spacing w:line="260"/>
            </w:pPr>
            <w:r>
              <w:rPr>
                <w:color w:val="222222"/>
                <w:sz w:val="20"/>
                <w:szCs w:val="20"/>
              </w:rPr>
              <w:t xml:space="preserve">Escaneo de vulnerabilidades y línea base</w:t>
            </w:r>
          </w:p>
        </w:tc>
        <w:tc>
          <w:tcPr>
            <w:tcW w:type="dxa" w:w="6750"/>
            <w:shd w:fill="FFFFFF" w:val="clear"/>
            <w:tcMar>
              <w:top w:type="dxa" w:w="90"/>
              <w:left w:type="dxa" w:w="120"/>
              <w:bottom w:type="dxa" w:w="90"/>
              <w:right w:type="dxa" w:w="120"/>
            </w:tcMar>
            <w:vAlign w:val="center"/>
          </w:tcPr>
          <w:p>
            <w:pPr>
              <w:spacing w:line="260"/>
            </w:pPr>
            <w:r>
              <w:rPr>
                <w:color w:val="222222"/>
                <w:sz w:val="20"/>
                <w:szCs w:val="20"/>
              </w:rPr>
              <w:t xml:space="preserve">La CMDB es el insumo oficial: ciberseguridad NO escanea ningún componente que no esté en la CMDB. Aporta precisión, alcance, priorización por criticidad y asignación automática de responsables.</w:t>
            </w:r>
          </w:p>
        </w:tc>
      </w:tr>
      <w:tr>
        <w:tc>
          <w:tcPr>
            <w:tcW w:type="dxa" w:w="2600"/>
            <w:shd w:fill="F2F2F2" w:val="clear"/>
            <w:tcMar>
              <w:top w:type="dxa" w:w="90"/>
              <w:left w:type="dxa" w:w="120"/>
              <w:bottom w:type="dxa" w:w="90"/>
              <w:right w:type="dxa" w:w="120"/>
            </w:tcMar>
            <w:vAlign w:val="center"/>
          </w:tcPr>
          <w:p>
            <w:pPr>
              <w:spacing w:line="260"/>
            </w:pPr>
            <w:r>
              <w:rPr>
                <w:color w:val="222222"/>
                <w:sz w:val="20"/>
                <w:szCs w:val="20"/>
              </w:rPr>
              <w:t xml:space="preserve">Obsolescencia tecnológica</w:t>
            </w:r>
          </w:p>
        </w:tc>
        <w:tc>
          <w:tcPr>
            <w:tcW w:type="dxa" w:w="6750"/>
            <w:shd w:fill="F2F2F2" w:val="clear"/>
            <w:tcMar>
              <w:top w:type="dxa" w:w="90"/>
              <w:left w:type="dxa" w:w="120"/>
              <w:bottom w:type="dxa" w:w="90"/>
              <w:right w:type="dxa" w:w="120"/>
            </w:tcMar>
            <w:vAlign w:val="center"/>
          </w:tcPr>
          <w:p>
            <w:pPr>
              <w:spacing w:line="260"/>
            </w:pPr>
            <w:r>
              <w:rPr>
                <w:color w:val="222222"/>
                <w:sz w:val="20"/>
                <w:szCs w:val="20"/>
              </w:rPr>
              <w:t xml:space="preserve">Permite priorizar inversiones en renovación tecnológica, planear actualizaciones y justificar presupuestos con datos.</w:t>
            </w:r>
          </w:p>
        </w:tc>
      </w:tr>
      <w:tr>
        <w:tc>
          <w:tcPr>
            <w:tcW w:type="dxa" w:w="2600"/>
            <w:shd w:fill="FFFFFF" w:val="clear"/>
            <w:tcMar>
              <w:top w:type="dxa" w:w="90"/>
              <w:left w:type="dxa" w:w="120"/>
              <w:bottom w:type="dxa" w:w="90"/>
              <w:right w:type="dxa" w:w="120"/>
            </w:tcMar>
            <w:vAlign w:val="center"/>
          </w:tcPr>
          <w:p>
            <w:pPr>
              <w:spacing w:line="260"/>
            </w:pPr>
            <w:r>
              <w:rPr>
                <w:color w:val="222222"/>
                <w:sz w:val="20"/>
                <w:szCs w:val="20"/>
              </w:rPr>
              <w:t xml:space="preserve">Continuidad de negocio</w:t>
            </w:r>
          </w:p>
        </w:tc>
        <w:tc>
          <w:tcPr>
            <w:tcW w:type="dxa" w:w="6750"/>
            <w:shd w:fill="FFFFFF" w:val="clear"/>
            <w:tcMar>
              <w:top w:type="dxa" w:w="90"/>
              <w:left w:type="dxa" w:w="120"/>
              <w:bottom w:type="dxa" w:w="90"/>
              <w:right w:type="dxa" w:w="120"/>
            </w:tcMar>
            <w:vAlign w:val="center"/>
          </w:tcPr>
          <w:p>
            <w:pPr>
              <w:spacing w:line="260"/>
            </w:pPr>
            <w:r>
              <w:rPr>
                <w:color w:val="222222"/>
                <w:sz w:val="20"/>
                <w:szCs w:val="20"/>
              </w:rPr>
              <w:t xml:space="preserve">Identifica qué componentes hacen parte de las aplicaciones VIA (vitales) y sus servicios y responsables asociados.</w:t>
            </w:r>
          </w:p>
        </w:tc>
      </w:tr>
    </w:tbl>
    <w:p>
      <w:pPr>
        <w:pageBreakBefore/>
      </w:pPr>
    </w:p>
    <w:p>
      <w:pPr>
        <w:pStyle w:val="Heading1"/>
        <w:pBdr>
          <w:bottom w:val="single" w:color="1F3864" w:sz="6" w:space="4"/>
        </w:pBdr>
        <w:spacing w:after="200" w:before="400"/>
      </w:pPr>
      <w:r>
        <w:rPr>
          <w:b/>
          <w:bCs/>
          <w:color w:val="1F3864"/>
          <w:sz w:val="30"/>
          <w:szCs w:val="30"/>
        </w:rPr>
        <w:t xml:space="preserve">6. Políticas y lineamientos clave</w:t>
      </w:r>
    </w:p>
    <w:p>
      <w:pPr>
        <w:pStyle w:val="Heading2"/>
        <w:spacing w:after="120" w:before="300"/>
      </w:pPr>
      <w:r>
        <w:rPr>
          <w:b/>
          <w:bCs/>
          <w:color w:val="2E5395"/>
          <w:sz w:val="24"/>
          <w:szCs w:val="24"/>
        </w:rPr>
        <w:t xml:space="preserve">Responsabilidad compartida e integridad de la información</w:t>
      </w:r>
    </w:p>
    <w:p>
      <w:pPr>
        <w:spacing w:after="160" w:line="300"/>
      </w:pPr>
      <w:r>
        <w:rPr>
          <w:color w:val="222222"/>
          <w:sz w:val="22"/>
          <w:szCs w:val="22"/>
        </w:rPr>
        <w:t xml:space="preserve">Todo elemento de configuración tiene un responsable por naturaleza del activo (ej. el administrador de todos los servidores x86, o los DBA como dueños de clase de bases de datos), pero además cada ítem específico tiene su propio responsable identificado.</w:t>
      </w: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App Code: el atributo obligatorio</w:t>
            </w:r>
          </w:p>
          <w:p>
            <w:pPr>
              <w:spacing w:after="0" w:line="280"/>
            </w:pPr>
            <w:r>
              <w:rPr>
                <w:color w:val="222222"/>
                <w:sz w:val="21"/>
                <w:szCs w:val="21"/>
              </w:rPr>
              <w:t xml:space="preserve">Todo componente en la CMDB tiene un atributo clave y obligatorio: el App Code (código de la aplicación). A través de este código se identifica el responsable de cada componente.</w:t>
            </w:r>
          </w:p>
        </w:tc>
      </w:tr>
    </w:tbl>
    <w:p>
      <w:pPr>
        <w:spacing w:after="16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Mensaje central</w:t>
            </w:r>
          </w:p>
          <w:p>
            <w:pPr>
              <w:spacing w:after="0" w:line="280"/>
            </w:pPr>
            <w:r>
              <w:rPr>
                <w:color w:val="222222"/>
                <w:sz w:val="21"/>
                <w:szCs w:val="21"/>
              </w:rPr>
              <w:t xml:space="preserve">Todos somos responsables de mantener actualizada la CMDB. No es responsabilidad exclusiva del proceso ni del dueño de clase: también los usuarios de los elementos de configuración deben velar por que la información se mantenga correcta.</w:t>
            </w:r>
          </w:p>
        </w:tc>
      </w:tr>
    </w:tbl>
    <w:p>
      <w:pPr>
        <w:spacing w:after="160"/>
      </w:pPr>
    </w:p>
    <w:p>
      <w:pPr>
        <w:pStyle w:val="Heading2"/>
        <w:spacing w:after="120" w:before="300"/>
      </w:pPr>
      <w:r>
        <w:rPr>
          <w:b/>
          <w:bCs/>
          <w:color w:val="2E5395"/>
          <w:sz w:val="24"/>
          <w:szCs w:val="24"/>
        </w:rPr>
        <w:t xml:space="preserve">La CMDB como fuente oficial y autoritativa</w:t>
      </w:r>
    </w:p>
    <w:p>
      <w:pPr>
        <w:spacing w:after="160" w:line="300"/>
      </w:pPr>
      <w:r>
        <w:rPr>
          <w:color w:val="222222"/>
          <w:sz w:val="22"/>
          <w:szCs w:val="22"/>
        </w:rPr>
        <w:t xml:space="preserve">Es el insumo base para procesos de eventos, incidentes, cambios, habilitar y mantener soluciones, escaneos y línea base, obsolescencia tecnológica, y también para procesos regulatorios como la certificación de procesos AIC y los procesos de la gerencia SOX.</w:t>
      </w:r>
    </w:p>
    <w:p>
      <w:pPr>
        <w:spacing w:after="16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Regla de oro</w:t>
            </w:r>
          </w:p>
          <w:p>
            <w:pPr>
              <w:spacing w:after="0" w:line="280"/>
            </w:pPr>
            <w:r>
              <w:rPr>
                <w:color w:val="222222"/>
                <w:sz w:val="21"/>
                <w:szCs w:val="21"/>
              </w:rPr>
              <w:t xml:space="preserve">Todo cambio, evento, incidente o problema creado debe tener relacionado un CI activo en la CMDB. Cada proceso tiene sus propios controles para garantizar este diligenciamiento.</w:t>
            </w:r>
          </w:p>
        </w:tc>
      </w:tr>
    </w:tbl>
    <w:p>
      <w:pPr>
        <w:pageBreakBefore/>
      </w:pPr>
    </w:p>
    <w:p>
      <w:pPr>
        <w:pStyle w:val="Heading1"/>
        <w:pBdr>
          <w:bottom w:val="single" w:color="1F3864" w:sz="6" w:space="4"/>
        </w:pBdr>
        <w:spacing w:after="200" w:before="400"/>
      </w:pPr>
      <w:r>
        <w:rPr>
          <w:b/>
          <w:bCs/>
          <w:color w:val="1F3864"/>
          <w:sz w:val="30"/>
          <w:szCs w:val="30"/>
        </w:rPr>
        <w:t xml:space="preserve">7. Certificación periódica de la información</w:t>
      </w:r>
    </w:p>
    <w:p>
      <w:pPr>
        <w:spacing w:after="160" w:line="300"/>
      </w:pPr>
      <w:r>
        <w:rPr>
          <w:color w:val="222222"/>
          <w:sz w:val="22"/>
          <w:szCs w:val="22"/>
        </w:rPr>
        <w:t xml:space="preserve">Trimestralmente se realiza un seguimiento a la configuración, los componentes y —muy importante— el relacionamiento entre ellos. Esta validación es semiautomática: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rPr>
          <w:tblHeader/>
        </w:trPr>
        <w:tc>
          <w:tcPr>
            <w:tcW w:type="dxa" w:w="2800"/>
            <w:shd w:fill="1F3864" w:val="clear"/>
            <w:tcMar>
              <w:top w:type="dxa" w:w="100"/>
              <w:left w:type="dxa" w:w="120"/>
              <w:bottom w:type="dxa" w:w="100"/>
              <w:right w:type="dxa" w:w="120"/>
            </w:tcMar>
            <w:vAlign w:val="center"/>
          </w:tcPr>
          <w:p>
            <w:r>
              <w:rPr>
                <w:b/>
                <w:bCs/>
                <w:color w:val="FFFFFF"/>
                <w:sz w:val="20"/>
                <w:szCs w:val="20"/>
              </w:rPr>
              <w:t xml:space="preserve">Tipo de validación</w:t>
            </w:r>
          </w:p>
        </w:tc>
        <w:tc>
          <w:tcPr>
            <w:tcW w:type="dxa" w:w="6550"/>
            <w:shd w:fill="1F3864" w:val="clear"/>
            <w:tcMar>
              <w:top w:type="dxa" w:w="100"/>
              <w:left w:type="dxa" w:w="120"/>
              <w:bottom w:type="dxa" w:w="100"/>
              <w:right w:type="dxa" w:w="120"/>
            </w:tcMar>
            <w:vAlign w:val="center"/>
          </w:tcPr>
          <w:p>
            <w:r>
              <w:rPr>
                <w:b/>
                <w:bCs/>
                <w:color w:val="FFFFFF"/>
                <w:sz w:val="20"/>
                <w:szCs w:val="20"/>
              </w:rPr>
              <w:t xml:space="preserve">Cómo funciona</w:t>
            </w:r>
          </w:p>
        </w:tc>
      </w:tr>
      <w:tr>
        <w:tc>
          <w:tcPr>
            <w:tcW w:type="dxa" w:w="2800"/>
            <w:shd w:fill="F2F2F2" w:val="clear"/>
            <w:tcMar>
              <w:top w:type="dxa" w:w="90"/>
              <w:left w:type="dxa" w:w="120"/>
              <w:bottom w:type="dxa" w:w="90"/>
              <w:right w:type="dxa" w:w="120"/>
            </w:tcMar>
            <w:vAlign w:val="center"/>
          </w:tcPr>
          <w:p>
            <w:pPr>
              <w:spacing w:line="260"/>
            </w:pPr>
            <w:r>
              <w:rPr>
                <w:color w:val="222222"/>
                <w:sz w:val="20"/>
                <w:szCs w:val="20"/>
              </w:rPr>
              <w:t xml:space="preserve">Automática (Nube)</w:t>
            </w:r>
          </w:p>
        </w:tc>
        <w:tc>
          <w:tcPr>
            <w:tcW w:type="dxa" w:w="6550"/>
            <w:shd w:fill="F2F2F2" w:val="clear"/>
            <w:tcMar>
              <w:top w:type="dxa" w:w="90"/>
              <w:left w:type="dxa" w:w="120"/>
              <w:bottom w:type="dxa" w:w="90"/>
              <w:right w:type="dxa" w:w="120"/>
            </w:tcMar>
            <w:vAlign w:val="center"/>
          </w:tcPr>
          <w:p>
            <w:pPr>
              <w:spacing w:line="260"/>
            </w:pPr>
            <w:r>
              <w:rPr>
                <w:color w:val="222222"/>
                <w:sz w:val="20"/>
                <w:szCs w:val="20"/>
              </w:rPr>
              <w:t xml:space="preserve">Se garantiza el relacionamiento de la información en nube mediante el tag obligatorio de App Code en todos los despliegues.</w:t>
            </w:r>
          </w:p>
        </w:tc>
      </w:tr>
      <w:tr>
        <w:tc>
          <w:tcPr>
            <w:tcW w:type="dxa" w:w="2800"/>
            <w:shd w:fill="FFFFFF" w:val="clear"/>
            <w:tcMar>
              <w:top w:type="dxa" w:w="90"/>
              <w:left w:type="dxa" w:w="120"/>
              <w:bottom w:type="dxa" w:w="90"/>
              <w:right w:type="dxa" w:w="120"/>
            </w:tcMar>
            <w:vAlign w:val="center"/>
          </w:tcPr>
          <w:p>
            <w:pPr>
              <w:spacing w:line="260"/>
            </w:pPr>
            <w:r>
              <w:rPr>
                <w:color w:val="222222"/>
                <w:sz w:val="20"/>
                <w:szCs w:val="20"/>
              </w:rPr>
              <w:t xml:space="preserve">Manual (On-premise)</w:t>
            </w:r>
          </w:p>
        </w:tc>
        <w:tc>
          <w:tcPr>
            <w:tcW w:type="dxa" w:w="6550"/>
            <w:shd w:fill="FFFFFF" w:val="clear"/>
            <w:tcMar>
              <w:top w:type="dxa" w:w="90"/>
              <w:left w:type="dxa" w:w="120"/>
              <w:bottom w:type="dxa" w:w="90"/>
              <w:right w:type="dxa" w:w="120"/>
            </w:tcMar>
            <w:vAlign w:val="center"/>
          </w:tcPr>
          <w:p>
            <w:pPr>
              <w:spacing w:line="260"/>
            </w:pPr>
            <w:r>
              <w:rPr>
                <w:color w:val="222222"/>
                <w:sz w:val="20"/>
                <w:szCs w:val="20"/>
              </w:rPr>
              <w:t xml:space="preserve">Trimestralmente se realiza una certificación directa con los dueños de las aplicaciones y los dueños de clase / administradores de los componentes.</w:t>
            </w:r>
          </w:p>
        </w:tc>
      </w:tr>
    </w:tbl>
    <w:p>
      <w:pPr>
        <w:pageBreakBefore/>
      </w:pPr>
    </w:p>
    <w:p>
      <w:pPr>
        <w:pStyle w:val="Heading1"/>
        <w:pBdr>
          <w:bottom w:val="single" w:color="1F3864" w:sz="6" w:space="4"/>
        </w:pBdr>
        <w:spacing w:after="200" w:before="400"/>
      </w:pPr>
      <w:r>
        <w:rPr>
          <w:b/>
          <w:bCs/>
          <w:color w:val="1F3864"/>
          <w:sz w:val="30"/>
          <w:szCs w:val="30"/>
        </w:rPr>
        <w:t xml:space="preserve">8. Herramientas para gestionar la CMDB</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100"/>
              <w:left w:type="dxa" w:w="120"/>
              <w:bottom w:type="dxa" w:w="100"/>
              <w:right w:type="dxa" w:w="120"/>
            </w:tcMar>
            <w:vAlign w:val="center"/>
          </w:tcPr>
          <w:p>
            <w:r>
              <w:rPr>
                <w:b/>
                <w:bCs/>
                <w:color w:val="FFFFFF"/>
                <w:sz w:val="20"/>
                <w:szCs w:val="20"/>
              </w:rPr>
              <w:t xml:space="preserve">Herramienta</w:t>
            </w:r>
          </w:p>
        </w:tc>
        <w:tc>
          <w:tcPr>
            <w:tcW w:type="dxa" w:w="7150"/>
            <w:shd w:fill="1F3864" w:val="clear"/>
            <w:tcMar>
              <w:top w:type="dxa" w:w="100"/>
              <w:left w:type="dxa" w:w="120"/>
              <w:bottom w:type="dxa" w:w="100"/>
              <w:right w:type="dxa" w:w="120"/>
            </w:tcMar>
            <w:vAlign w:val="center"/>
          </w:tcPr>
          <w:p>
            <w:r>
              <w:rPr>
                <w:b/>
                <w:bCs/>
                <w:color w:val="FFFFFF"/>
                <w:sz w:val="20"/>
                <w:szCs w:val="20"/>
              </w:rPr>
              <w:t xml:space="preserve">Para qué sirve</w:t>
            </w:r>
          </w:p>
        </w:tc>
      </w:tr>
      <w:tr>
        <w:tc>
          <w:tcPr>
            <w:tcW w:type="dxa" w:w="2200"/>
            <w:shd w:fill="F2F2F2" w:val="clear"/>
            <w:tcMar>
              <w:top w:type="dxa" w:w="90"/>
              <w:left w:type="dxa" w:w="120"/>
              <w:bottom w:type="dxa" w:w="90"/>
              <w:right w:type="dxa" w:w="120"/>
            </w:tcMar>
            <w:vAlign w:val="center"/>
          </w:tcPr>
          <w:p>
            <w:pPr>
              <w:spacing w:line="260"/>
            </w:pPr>
            <w:r>
              <w:rPr>
                <w:color w:val="222222"/>
                <w:sz w:val="20"/>
                <w:szCs w:val="20"/>
              </w:rPr>
              <w:t xml:space="preserve">Automatización nube</w:t>
            </w:r>
          </w:p>
        </w:tc>
        <w:tc>
          <w:tcPr>
            <w:tcW w:type="dxa" w:w="7150"/>
            <w:shd w:fill="F2F2F2" w:val="clear"/>
            <w:tcMar>
              <w:top w:type="dxa" w:w="90"/>
              <w:left w:type="dxa" w:w="120"/>
              <w:bottom w:type="dxa" w:w="90"/>
              <w:right w:type="dxa" w:w="120"/>
            </w:tcMar>
            <w:vAlign w:val="center"/>
          </w:tcPr>
          <w:p>
            <w:pPr>
              <w:spacing w:line="260"/>
            </w:pPr>
            <w:r>
              <w:rPr>
                <w:color w:val="222222"/>
                <w:sz w:val="20"/>
                <w:szCs w:val="20"/>
              </w:rPr>
              <w:t xml:space="preserve">Carga automática de componentes AWS a la CMDB, ejecutada 3 veces al día para mantenerla ajustada a la realidad.</w:t>
            </w:r>
          </w:p>
        </w:tc>
      </w:tr>
      <w:tr>
        <w:tc>
          <w:tcPr>
            <w:tcW w:type="dxa" w:w="2200"/>
            <w:shd w:fill="FFFFFF" w:val="clear"/>
            <w:tcMar>
              <w:top w:type="dxa" w:w="90"/>
              <w:left w:type="dxa" w:w="120"/>
              <w:bottom w:type="dxa" w:w="90"/>
              <w:right w:type="dxa" w:w="120"/>
            </w:tcMar>
            <w:vAlign w:val="center"/>
          </w:tcPr>
          <w:p>
            <w:pPr>
              <w:spacing w:line="260"/>
            </w:pPr>
            <w:r>
              <w:rPr>
                <w:color w:val="222222"/>
                <w:sz w:val="20"/>
                <w:szCs w:val="20"/>
              </w:rPr>
              <w:t xml:space="preserve">Power BI</w:t>
            </w:r>
          </w:p>
        </w:tc>
        <w:tc>
          <w:tcPr>
            <w:tcW w:type="dxa" w:w="7150"/>
            <w:shd w:fill="FFFFFF" w:val="clear"/>
            <w:tcMar>
              <w:top w:type="dxa" w:w="90"/>
              <w:left w:type="dxa" w:w="120"/>
              <w:bottom w:type="dxa" w:w="90"/>
              <w:right w:type="dxa" w:w="120"/>
            </w:tcMar>
            <w:vAlign w:val="center"/>
          </w:tcPr>
          <w:p>
            <w:pPr>
              <w:spacing w:line="260"/>
            </w:pPr>
            <w:r>
              <w:rPr>
                <w:color w:val="222222"/>
                <w:sz w:val="20"/>
                <w:szCs w:val="20"/>
              </w:rPr>
              <w:t xml:space="preserve">Reportes de inventario (aplicaciones, sistemas operativos, servidores, bases de datos) y reportes de métricas del proceso: completitud y exactitud de atributos críticos (motores de BD, IPs, responsables).</w:t>
            </w:r>
          </w:p>
        </w:tc>
      </w:tr>
      <w:tr>
        <w:tc>
          <w:tcPr>
            <w:tcW w:type="dxa" w:w="2200"/>
            <w:shd w:fill="F2F2F2" w:val="clear"/>
            <w:tcMar>
              <w:top w:type="dxa" w:w="90"/>
              <w:left w:type="dxa" w:w="120"/>
              <w:bottom w:type="dxa" w:w="90"/>
              <w:right w:type="dxa" w:w="120"/>
            </w:tcMar>
            <w:vAlign w:val="center"/>
          </w:tcPr>
          <w:p>
            <w:pPr>
              <w:spacing w:line="260"/>
            </w:pPr>
            <w:r>
              <w:rPr>
                <w:color w:val="222222"/>
                <w:sz w:val="20"/>
                <w:szCs w:val="20"/>
              </w:rPr>
              <w:t xml:space="preserve">Portal de configuración</w:t>
            </w:r>
          </w:p>
        </w:tc>
        <w:tc>
          <w:tcPr>
            <w:tcW w:type="dxa" w:w="7150"/>
            <w:shd w:fill="F2F2F2" w:val="clear"/>
            <w:tcMar>
              <w:top w:type="dxa" w:w="90"/>
              <w:left w:type="dxa" w:w="120"/>
              <w:bottom w:type="dxa" w:w="90"/>
              <w:right w:type="dxa" w:w="120"/>
            </w:tcMar>
            <w:vAlign w:val="center"/>
          </w:tcPr>
          <w:p>
            <w:pPr>
              <w:spacing w:line="260"/>
            </w:pPr>
            <w:r>
              <w:rPr>
                <w:color w:val="222222"/>
                <w:sz w:val="20"/>
                <w:szCs w:val="20"/>
              </w:rPr>
              <w:t xml:space="preserve">En construcción. Tendrá módulo de preguntas y respuestas, documentación, reportería, y un módulo de certificación trimestral para que los dueños validen su información.</w:t>
            </w:r>
          </w:p>
        </w:tc>
      </w:tr>
      <w:tr>
        <w:tc>
          <w:tcPr>
            <w:tcW w:type="dxa" w:w="2200"/>
            <w:shd w:fill="FFFFFF" w:val="clear"/>
            <w:tcMar>
              <w:top w:type="dxa" w:w="90"/>
              <w:left w:type="dxa" w:w="120"/>
              <w:bottom w:type="dxa" w:w="90"/>
              <w:right w:type="dxa" w:w="120"/>
            </w:tcMar>
            <w:vAlign w:val="center"/>
          </w:tcPr>
          <w:p>
            <w:pPr>
              <w:spacing w:line="260"/>
            </w:pPr>
            <w:r>
              <w:rPr>
                <w:color w:val="222222"/>
                <w:sz w:val="20"/>
                <w:szCs w:val="20"/>
              </w:rPr>
              <w:t xml:space="preserve">BMC Helix</w:t>
            </w:r>
          </w:p>
        </w:tc>
        <w:tc>
          <w:tcPr>
            <w:tcW w:type="dxa" w:w="7150"/>
            <w:shd w:fill="FFFFFF" w:val="clear"/>
            <w:tcMar>
              <w:top w:type="dxa" w:w="90"/>
              <w:left w:type="dxa" w:w="120"/>
              <w:bottom w:type="dxa" w:w="90"/>
              <w:right w:type="dxa" w:w="120"/>
            </w:tcMar>
            <w:vAlign w:val="center"/>
          </w:tcPr>
          <w:p>
            <w:pPr>
              <w:spacing w:line="260"/>
            </w:pPr>
            <w:r>
              <w:rPr>
                <w:color w:val="222222"/>
                <w:sz w:val="20"/>
                <w:szCs w:val="20"/>
              </w:rPr>
              <w:t xml:space="preserve">La herramienta ITCM oficial del Banco para la gestión de los procesos. Incluye el módulo CMDB (consulta puntual y relacionamiento gráfico), el módulo Dashboard (consulta tipo "sábana de datos" con filtros) y la API de CMDB (actualización, consulta y autogestión para dueños de clase).</w:t>
            </w:r>
          </w:p>
        </w:tc>
      </w:tr>
    </w:tbl>
    <w:p>
      <w:pPr>
        <w:spacing w:after="20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Segregación de funciones</w:t>
            </w:r>
          </w:p>
          <w:p>
            <w:pPr>
              <w:spacing w:after="0" w:line="280"/>
            </w:pPr>
            <w:r>
              <w:rPr>
                <w:color w:val="222222"/>
                <w:sz w:val="21"/>
                <w:szCs w:val="21"/>
              </w:rPr>
              <w:t xml:space="preserve">En Helix, solo los dueños de cada tipo de componente pueden actualizarlo. No cualquiera puede ingresar y modificar la CMDB — existen controles claros de quién puede hacer qué.</w:t>
            </w:r>
          </w:p>
        </w:tc>
      </w:tr>
    </w:tbl>
    <w:p>
      <w:pPr>
        <w:spacing w:after="160"/>
      </w:pPr>
    </w:p>
    <w:p>
      <w:pPr>
        <w:pStyle w:val="Heading2"/>
        <w:spacing w:after="120" w:before="300"/>
      </w:pPr>
      <w:r>
        <w:rPr>
          <w:b/>
          <w:bCs/>
          <w:color w:val="2E5395"/>
          <w:sz w:val="24"/>
          <w:szCs w:val="24"/>
        </w:rPr>
        <w:t xml:space="preserve">Ofertas disponibles en el catálogo de servicios</w:t>
      </w:r>
    </w:p>
    <w:p>
      <w:pPr>
        <w:pStyle w:val="ListParagraph"/>
        <w:numPr>
          <w:ilvl w:val="0"/>
          <w:numId w:val="2"/>
        </w:numPr>
        <w:spacing w:after="90" w:line="280"/>
      </w:pPr>
      <w:r>
        <w:rPr>
          <w:color w:val="222222"/>
          <w:sz w:val="22"/>
          <w:szCs w:val="22"/>
        </w:rPr>
        <w:t xml:space="preserve">Gestión de aplicaciones de negocio (códigos AW / NU): vinculadas al proceso de Habilitar y Mantener Soluciones.</w:t>
      </w:r>
    </w:p>
    <w:p>
      <w:pPr>
        <w:pStyle w:val="ListParagraph"/>
        <w:numPr>
          <w:ilvl w:val="0"/>
          <w:numId w:val="2"/>
        </w:numPr>
        <w:spacing w:after="90" w:line="280"/>
      </w:pPr>
      <w:r>
        <w:rPr>
          <w:color w:val="222222"/>
          <w:sz w:val="22"/>
          <w:szCs w:val="22"/>
        </w:rPr>
        <w:t xml:space="preserve">Gestión de aplicaciones de apoyo: componentes vitales para la operación de tecnología, aunque no manejan datos de negocio.</w:t>
      </w:r>
    </w:p>
    <w:p>
      <w:pPr>
        <w:pStyle w:val="ListParagraph"/>
        <w:numPr>
          <w:ilvl w:val="0"/>
          <w:numId w:val="2"/>
        </w:numPr>
        <w:spacing w:after="90" w:line="280"/>
      </w:pPr>
      <w:r>
        <w:rPr>
          <w:color w:val="222222"/>
          <w:sz w:val="22"/>
          <w:szCs w:val="22"/>
        </w:rPr>
        <w:t xml:space="preserve">Órdenes de trabajo: para actualizaciones masivas y esporádicas, atendidas por el equipo de Procesos TI (Mavericks).</w:t>
      </w:r>
    </w:p>
    <w:p>
      <w:pPr>
        <w:pageBreakBefore/>
      </w:pPr>
    </w:p>
    <w:p>
      <w:pPr>
        <w:pStyle w:val="Heading1"/>
        <w:pBdr>
          <w:bottom w:val="single" w:color="1F3864" w:sz="6" w:space="4"/>
        </w:pBdr>
        <w:spacing w:after="200" w:before="400"/>
      </w:pPr>
      <w:r>
        <w:rPr>
          <w:b/>
          <w:bCs/>
          <w:color w:val="1F3864"/>
          <w:sz w:val="30"/>
          <w:szCs w:val="30"/>
        </w:rPr>
        <w:t xml:space="preserve">9. Consecuencias de una mala gestión y errores comunes</w:t>
      </w:r>
    </w:p>
    <w:tbl>
      <w:tblPr>
        <w:tblW w:type="pct" w:w="100%"/>
        <w:tblBorders>
          <w:top w:val="single" w:color="C55A11" w:sz="4"/>
          <w:left w:val="single" w:color="C55A11" w:sz="24"/>
          <w:bottom w:val="single" w:color="C55A11" w:sz="4"/>
          <w:right w:val="single" w:color="C55A11" w:sz="4"/>
          <w:insideH w:val="single" w:color="auto" w:sz="4"/>
          <w:insideV w:val="single" w:color="auto" w:sz="4"/>
        </w:tblBorders>
      </w:tblPr>
      <w:tblGrid>
        <w:gridCol w:w="100"/>
      </w:tblGrid>
      <w:tr>
        <w:tc>
          <w:tcPr>
            <w:shd w:fill="FCE4D6" w:val="clear"/>
            <w:tcMar>
              <w:top w:type="dxa" w:w="150"/>
              <w:left w:type="dxa" w:w="200"/>
              <w:bottom w:type="dxa" w:w="150"/>
              <w:right w:type="dxa" w:w="200"/>
            </w:tcMar>
          </w:tcPr>
          <w:p>
            <w:pPr>
              <w:spacing w:after="60"/>
            </w:pPr>
            <w:r>
              <w:rPr>
                <w:b/>
                <w:bCs/>
                <w:color w:val="1F3864"/>
                <w:sz w:val="21"/>
                <w:szCs w:val="21"/>
              </w:rPr>
              <w:t xml:space="preserve">🚨 ¿Qué pasa si no gestionamos correctamente la CMDB?</w:t>
            </w:r>
          </w:p>
          <w:p>
            <w:pPr>
              <w:spacing w:after="0" w:line="280"/>
            </w:pPr>
            <w:r>
              <w:rPr>
                <w:color w:val="222222"/>
                <w:sz w:val="21"/>
                <w:szCs w:val="21"/>
              </w:rPr>
              <w:t xml:space="preserve">Inventarios incompletos o incorrectos, decisiones basadas en datos erróneos, vulnerabilidades sin atención o con demoras, e impactos en la disponibilidad de los servicios.</w:t>
            </w:r>
          </w:p>
        </w:tc>
      </w:tr>
    </w:tbl>
    <w:p>
      <w:pPr>
        <w:spacing w:after="200"/>
      </w:pPr>
    </w:p>
    <w:p>
      <w:pPr>
        <w:pStyle w:val="Heading2"/>
        <w:spacing w:after="120" w:before="300"/>
      </w:pPr>
      <w:r>
        <w:rPr>
          <w:b/>
          <w:bCs/>
          <w:color w:val="2E5395"/>
          <w:sz w:val="24"/>
          <w:szCs w:val="24"/>
        </w:rPr>
        <w:t xml:space="preserve">Ejemplos reales del día a día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3864" w:val="clear"/>
            <w:tcMar>
              <w:top w:type="dxa" w:w="100"/>
              <w:left w:type="dxa" w:w="120"/>
              <w:bottom w:type="dxa" w:w="100"/>
              <w:right w:type="dxa" w:w="120"/>
            </w:tcMar>
            <w:vAlign w:val="center"/>
          </w:tcPr>
          <w:p>
            <w:r>
              <w:rPr>
                <w:b/>
                <w:bCs/>
                <w:color w:val="FFFFFF"/>
                <w:sz w:val="20"/>
                <w:szCs w:val="20"/>
              </w:rPr>
              <w:t xml:space="preserve">Situación</w:t>
            </w:r>
          </w:p>
        </w:tc>
        <w:tc>
          <w:tcPr>
            <w:tcW w:type="dxa" w:w="5850"/>
            <w:shd w:fill="1F3864" w:val="clear"/>
            <w:tcMar>
              <w:top w:type="dxa" w:w="100"/>
              <w:left w:type="dxa" w:w="120"/>
              <w:bottom w:type="dxa" w:w="100"/>
              <w:right w:type="dxa" w:w="120"/>
            </w:tcMar>
            <w:vAlign w:val="center"/>
          </w:tcPr>
          <w:p>
            <w:r>
              <w:rPr>
                <w:b/>
                <w:bCs/>
                <w:color w:val="FFFFFF"/>
                <w:sz w:val="20"/>
                <w:szCs w:val="20"/>
              </w:rPr>
              <w:t xml:space="preserve">Consecuencia</w:t>
            </w:r>
          </w:p>
        </w:tc>
      </w:tr>
      <w:tr>
        <w:tc>
          <w:tcPr>
            <w:tcW w:type="dxa" w:w="3500"/>
            <w:shd w:fill="F2F2F2" w:val="clear"/>
            <w:tcMar>
              <w:top w:type="dxa" w:w="90"/>
              <w:left w:type="dxa" w:w="120"/>
              <w:bottom w:type="dxa" w:w="90"/>
              <w:right w:type="dxa" w:w="120"/>
            </w:tcMar>
            <w:vAlign w:val="center"/>
          </w:tcPr>
          <w:p>
            <w:pPr>
              <w:spacing w:line="260"/>
            </w:pPr>
            <w:r>
              <w:rPr>
                <w:color w:val="222222"/>
                <w:sz w:val="20"/>
                <w:szCs w:val="20"/>
              </w:rPr>
              <w:t xml:space="preserve">CRQ creado sin CI asociado o con el CI incorrecto</w:t>
            </w:r>
          </w:p>
        </w:tc>
        <w:tc>
          <w:tcPr>
            <w:tcW w:type="dxa" w:w="5850"/>
            <w:shd w:fill="F2F2F2" w:val="clear"/>
            <w:tcMar>
              <w:top w:type="dxa" w:w="90"/>
              <w:left w:type="dxa" w:w="120"/>
              <w:bottom w:type="dxa" w:w="90"/>
              <w:right w:type="dxa" w:w="120"/>
            </w:tcMar>
            <w:vAlign w:val="center"/>
          </w:tcPr>
          <w:p>
            <w:pPr>
              <w:spacing w:line="260"/>
            </w:pPr>
            <w:r>
              <w:rPr>
                <w:color w:val="222222"/>
                <w:sz w:val="20"/>
                <w:szCs w:val="20"/>
              </w:rPr>
              <w:t xml:space="preserve">No se identifica correctamente el impacto — puede derivar en un incidente en producción.</w:t>
            </w:r>
          </w:p>
        </w:tc>
      </w:tr>
      <w:tr>
        <w:tc>
          <w:tcPr>
            <w:tcW w:type="dxa" w:w="3500"/>
            <w:shd w:fill="FFFFFF" w:val="clear"/>
            <w:tcMar>
              <w:top w:type="dxa" w:w="90"/>
              <w:left w:type="dxa" w:w="120"/>
              <w:bottom w:type="dxa" w:w="90"/>
              <w:right w:type="dxa" w:w="120"/>
            </w:tcMar>
            <w:vAlign w:val="center"/>
          </w:tcPr>
          <w:p>
            <w:pPr>
              <w:spacing w:line="260"/>
            </w:pPr>
            <w:r>
              <w:rPr>
                <w:color w:val="222222"/>
                <w:sz w:val="20"/>
                <w:szCs w:val="20"/>
              </w:rPr>
              <w:t xml:space="preserve">CI sin responsable o con responsable desactualizado</w:t>
            </w:r>
          </w:p>
        </w:tc>
        <w:tc>
          <w:tcPr>
            <w:tcW w:type="dxa" w:w="5850"/>
            <w:shd w:fill="FFFFFF" w:val="clear"/>
            <w:tcMar>
              <w:top w:type="dxa" w:w="90"/>
              <w:left w:type="dxa" w:w="120"/>
              <w:bottom w:type="dxa" w:w="90"/>
              <w:right w:type="dxa" w:w="120"/>
            </w:tcMar>
            <w:vAlign w:val="center"/>
          </w:tcPr>
          <w:p>
            <w:pPr>
              <w:spacing w:line="260"/>
            </w:pPr>
            <w:r>
              <w:rPr>
                <w:color w:val="222222"/>
                <w:sz w:val="20"/>
                <w:szCs w:val="20"/>
              </w:rPr>
              <w:t xml:space="preserve">Demora en atender vulnerabilidades — se amplía la brecha/riesgo de seguridad.</w:t>
            </w:r>
          </w:p>
        </w:tc>
      </w:tr>
      <w:tr>
        <w:tc>
          <w:tcPr>
            <w:tcW w:type="dxa" w:w="3500"/>
            <w:shd w:fill="F2F2F2" w:val="clear"/>
            <w:tcMar>
              <w:top w:type="dxa" w:w="90"/>
              <w:left w:type="dxa" w:w="120"/>
              <w:bottom w:type="dxa" w:w="90"/>
              <w:right w:type="dxa" w:w="120"/>
            </w:tcMar>
            <w:vAlign w:val="center"/>
          </w:tcPr>
          <w:p>
            <w:pPr>
              <w:spacing w:line="260"/>
            </w:pPr>
            <w:r>
              <w:rPr>
                <w:color w:val="222222"/>
                <w:sz w:val="20"/>
                <w:szCs w:val="20"/>
              </w:rPr>
              <w:t xml:space="preserve">Incidente sin CI asociado o incorrecto</w:t>
            </w:r>
          </w:p>
        </w:tc>
        <w:tc>
          <w:tcPr>
            <w:tcW w:type="dxa" w:w="5850"/>
            <w:shd w:fill="F2F2F2" w:val="clear"/>
            <w:tcMar>
              <w:top w:type="dxa" w:w="90"/>
              <w:left w:type="dxa" w:w="120"/>
              <w:bottom w:type="dxa" w:w="90"/>
              <w:right w:type="dxa" w:w="120"/>
            </w:tcMar>
            <w:vAlign w:val="center"/>
          </w:tcPr>
          <w:p>
            <w:pPr>
              <w:spacing w:line="260"/>
            </w:pPr>
            <w:r>
              <w:rPr>
                <w:color w:val="222222"/>
                <w:sz w:val="20"/>
                <w:szCs w:val="20"/>
              </w:rPr>
              <w:t xml:space="preserve">No se identifican las dependencias reales — se subestima el incidente y los servicios afectados.</w:t>
            </w:r>
          </w:p>
        </w:tc>
      </w:tr>
    </w:tbl>
    <w:p>
      <w:pPr>
        <w:spacing w:after="200"/>
      </w:pPr>
    </w:p>
    <w:p>
      <w:pPr>
        <w:pStyle w:val="Heading2"/>
        <w:spacing w:after="120" w:before="300"/>
      </w:pPr>
      <w:r>
        <w:rPr>
          <w:b/>
          <w:bCs/>
          <w:color w:val="2E5395"/>
          <w:sz w:val="24"/>
          <w:szCs w:val="24"/>
        </w:rPr>
        <w:t xml:space="preserve">Errores comunes</w:t>
      </w:r>
    </w:p>
    <w:p>
      <w:pPr>
        <w:pStyle w:val="ListParagraph"/>
        <w:numPr>
          <w:ilvl w:val="0"/>
          <w:numId w:val="2"/>
        </w:numPr>
        <w:spacing w:after="90" w:line="280"/>
      </w:pPr>
      <w:r>
        <w:rPr>
          <w:color w:val="222222"/>
          <w:sz w:val="22"/>
          <w:szCs w:val="22"/>
        </w:rPr>
        <w:t xml:space="preserve">No actualizar la CMDB después de un cambio (ej. cambio de sistema operativo no reflejado).</w:t>
      </w:r>
    </w:p>
    <w:p>
      <w:pPr>
        <w:pStyle w:val="ListParagraph"/>
        <w:numPr>
          <w:ilvl w:val="0"/>
          <w:numId w:val="2"/>
        </w:numPr>
        <w:spacing w:after="90" w:line="280"/>
      </w:pPr>
      <w:r>
        <w:rPr>
          <w:color w:val="222222"/>
          <w:sz w:val="22"/>
          <w:szCs w:val="22"/>
        </w:rPr>
        <w:t xml:space="preserve">No actualizar responsables tras cambios de estructura o de funciones.</w:t>
      </w:r>
    </w:p>
    <w:p>
      <w:pPr>
        <w:pStyle w:val="ListParagraph"/>
        <w:numPr>
          <w:ilvl w:val="0"/>
          <w:numId w:val="2"/>
        </w:numPr>
        <w:spacing w:after="90" w:line="280"/>
      </w:pPr>
      <w:r>
        <w:rPr>
          <w:color w:val="222222"/>
          <w:sz w:val="22"/>
          <w:szCs w:val="22"/>
        </w:rPr>
        <w:t xml:space="preserve">Relacionamiento incorrecto o faltante entre CIs (no vincular correctamente por App Code).</w:t>
      </w:r>
    </w:p>
    <w:p>
      <w:pPr>
        <w:pStyle w:val="ListParagraph"/>
        <w:numPr>
          <w:ilvl w:val="0"/>
          <w:numId w:val="2"/>
        </w:numPr>
        <w:spacing w:after="90" w:line="280"/>
      </w:pPr>
      <w:r>
        <w:rPr>
          <w:color w:val="222222"/>
          <w:sz w:val="22"/>
          <w:szCs w:val="22"/>
        </w:rPr>
        <w:t xml:space="preserve">Información incompleta en atributos críticos.</w:t>
      </w:r>
    </w:p>
    <w:p>
      <w:pPr>
        <w:pStyle w:val="ListParagraph"/>
        <w:numPr>
          <w:ilvl w:val="0"/>
          <w:numId w:val="2"/>
        </w:numPr>
        <w:spacing w:after="90" w:line="280"/>
      </w:pPr>
      <w:r>
        <w:rPr>
          <w:color w:val="222222"/>
          <w:sz w:val="22"/>
          <w:szCs w:val="22"/>
        </w:rPr>
        <w:t xml:space="preserve">Falta de validación periódica: no revisar como dueño qué componentes tengo asociados en la CMDB.</w:t>
      </w:r>
    </w:p>
    <w:p>
      <w:pPr>
        <w:spacing w:after="20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Frase para recordar</w:t>
            </w:r>
          </w:p>
          <w:p>
            <w:pPr>
              <w:spacing w:after="0" w:line="280"/>
            </w:pPr>
            <w:r>
              <w:rPr>
                <w:color w:val="222222"/>
                <w:sz w:val="21"/>
                <w:szCs w:val="21"/>
              </w:rPr>
              <w:t xml:space="preserve">La CMDB es el cerebro de la operación de TI, y mantenerla actualizada es compromiso de todos.</w:t>
            </w:r>
          </w:p>
        </w:tc>
      </w:tr>
    </w:tbl>
    <w:p>
      <w:pPr>
        <w:pageBreakBefore/>
      </w:pPr>
    </w:p>
    <w:p>
      <w:pPr>
        <w:pStyle w:val="Heading1"/>
        <w:pBdr>
          <w:bottom w:val="single" w:color="1F3864" w:sz="6" w:space="4"/>
        </w:pBdr>
        <w:spacing w:after="200" w:before="400"/>
      </w:pPr>
      <w:r>
        <w:rPr>
          <w:b/>
          <w:bCs/>
          <w:color w:val="1F3864"/>
          <w:sz w:val="30"/>
          <w:szCs w:val="30"/>
        </w:rPr>
        <w:t xml:space="preserve">10. Preguntas y respuestas de la sesión</w:t>
      </w:r>
    </w:p>
    <w:p>
      <w:pPr>
        <w:spacing w:after="60" w:before="200"/>
      </w:pPr>
      <w:r>
        <w:rPr>
          <w:b/>
          <w:bCs/>
          <w:color w:val="1F3864"/>
          <w:sz w:val="21"/>
          <w:szCs w:val="21"/>
        </w:rPr>
        <w:t xml:space="preserve">❓ ¿Un microservicio y una API tienen un CI? ¿Cómo se asocian al servicio principal?</w:t>
      </w:r>
    </w:p>
    <w:p>
      <w:pPr>
        <w:spacing w:after="160" w:line="280"/>
      </w:pPr>
      <w:r>
        <w:rPr>
          <w:color w:val="222222"/>
          <w:sz w:val="21"/>
          <w:szCs w:val="21"/>
        </w:rPr>
        <w:t xml:space="preserve">Sí: tanto un microservicio como una aplicación son elementos de configuración. Un microservicio debe tener relacionado un CI de tipo aplicación (esa relación se hace por medio del código de aplicación). A su vez, la relación de las aplicaciones con los servicios de TI la gestiona el equipo de Ingenieros de Confiabilidad, dueños del inventario de servicios, también usando el código de aplicación.</w:t>
      </w:r>
    </w:p>
    <w:p>
      <w:pPr>
        <w:spacing w:after="60" w:before="200"/>
      </w:pPr>
      <w:r>
        <w:rPr>
          <w:b/>
          <w:bCs/>
          <w:color w:val="1F3864"/>
          <w:sz w:val="21"/>
          <w:szCs w:val="21"/>
        </w:rPr>
        <w:t xml:space="preserve">❓ ¿Cuál es la diferencia entre "Business Service" y "Service" normal?</w:t>
      </w:r>
    </w:p>
    <w:p>
      <w:pPr>
        <w:spacing w:after="160" w:line="280"/>
      </w:pPr>
      <w:r>
        <w:rPr>
          <w:color w:val="222222"/>
          <w:sz w:val="21"/>
          <w:szCs w:val="21"/>
        </w:rPr>
        <w:t xml:space="preserve">Es una diferencia de estructura lógica dentro de las clases de la CMDB: existen categorías o tipos dentro de la clase "Service", como Service Transactional o Business Service Administrative — son clasificaciones dentro de la misma clase de servicio.</w:t>
      </w:r>
    </w:p>
    <w:p>
      <w:pPr>
        <w:spacing w:after="60" w:before="200"/>
      </w:pPr>
      <w:r>
        <w:rPr>
          <w:b/>
          <w:bCs/>
          <w:color w:val="1F3864"/>
          <w:sz w:val="21"/>
          <w:szCs w:val="21"/>
        </w:rPr>
        <w:t xml:space="preserve">❓ ¿Todo ítem de configuración debe tener su respectivo monitoreo?</w:t>
      </w:r>
    </w:p>
    <w:p>
      <w:pPr>
        <w:spacing w:after="160" w:line="280"/>
      </w:pPr>
      <w:r>
        <w:rPr>
          <w:color w:val="222222"/>
          <w:sz w:val="21"/>
          <w:szCs w:val="21"/>
        </w:rPr>
        <w:t xml:space="preserve">La CMDB NO es una herramienta de monitoreo. Es un insumo para ver el relacionamiento entre componentes, servicios y aplicaciones. Sí existe un trabajo conjunto con el equipo de monitoreo (por ejemplo, tomando el modelamiento de transacciones desde esa herramienta), pero el monitoreo como tal no se realiza desde la CMDB.</w:t>
      </w:r>
    </w:p>
    <w:p>
      <w:pPr>
        <w:spacing w:after="60" w:before="200"/>
      </w:pPr>
      <w:r>
        <w:rPr>
          <w:b/>
          <w:bCs/>
          <w:color w:val="1F3864"/>
          <w:sz w:val="21"/>
          <w:szCs w:val="21"/>
        </w:rPr>
        <w:t xml:space="preserve">❓ ¿Cómo se relaciona con habilitar y mantener infraestructura, infraestructura como código, y cómo participan arquitectura y observabilidad?</w:t>
      </w:r>
    </w:p>
    <w:p>
      <w:pPr>
        <w:spacing w:after="160" w:line="280"/>
      </w:pPr>
      <w:r>
        <w:rPr>
          <w:color w:val="222222"/>
          <w:sz w:val="21"/>
          <w:szCs w:val="21"/>
        </w:rPr>
        <w:t xml:space="preserve">Hoy el relacionamiento en la CMDB se hace de forma manual en general, pero se está trabajando en integración con herramientas de monitoreo: los componentes SOX y las aplicaciones SOX ya se están tomando directamente desde la herramienta de monitoreo, buscando una integración completa a futuro.</w:t>
      </w:r>
    </w:p>
    <w:p>
      <w:pPr>
        <w:spacing w:after="60" w:before="200"/>
      </w:pPr>
      <w:r>
        <w:rPr>
          <w:b/>
          <w:bCs/>
          <w:color w:val="1F3864"/>
          <w:sz w:val="21"/>
          <w:szCs w:val="21"/>
        </w:rPr>
        <w:t xml:space="preserve">❓ ¿Existe algún mecanismo para que la CMDB se convierta en "fuente de oro" de los dueños de aplicaciones?</w:t>
      </w:r>
    </w:p>
    <w:p>
      <w:pPr>
        <w:spacing w:after="160" w:line="280"/>
      </w:pPr>
      <w:r>
        <w:rPr>
          <w:color w:val="222222"/>
          <w:sz w:val="21"/>
          <w:szCs w:val="21"/>
        </w:rPr>
        <w:t xml:space="preserve">Sí: las ofertas del catálogo (apificadas para los dueños de clase) permiten la autogestión. Si un componente en nube está desactualizado, se recomienda ir directamente a la fuente (hacer el despliegue correcto y actualizar los tags), ya que esa información se trae automáticamente a la CMDB. También se puede reportar información desactualizada directamente al correo del proceso de Configuración TI.</w:t>
      </w:r>
    </w:p>
    <w:p>
      <w:pPr>
        <w:spacing w:after="60" w:before="200"/>
      </w:pPr>
      <w:r>
        <w:rPr>
          <w:b/>
          <w:bCs/>
          <w:color w:val="1F3864"/>
          <w:sz w:val="21"/>
          <w:szCs w:val="21"/>
        </w:rPr>
        <w:t xml:space="preserve">❓ Si tengo dos aplicaciones para el mismo servicio (una en tierra y otra en nube), ¿deben llevar códigos distintos?</w:t>
      </w:r>
    </w:p>
    <w:p>
      <w:pPr>
        <w:spacing w:after="160" w:line="280"/>
      </w:pPr>
      <w:r>
        <w:rPr>
          <w:color w:val="222222"/>
          <w:sz w:val="21"/>
          <w:szCs w:val="21"/>
        </w:rPr>
        <w:t xml:space="preserve">Sí, ese es el deber ser: la aplicación en tierra debe tener su propio código de aplicación, y la aplicación/componentes en nube deben tener otro elemento de configuración diferente, ambos relacionados al mismo servicio. Los componentes en tierra se relacionan por el atributo de código de aplicación, y los componentes en nube se relacionan por el tag de App Code definido en los despliegues.</w:t>
      </w:r>
    </w:p>
    <w:p>
      <w:pPr>
        <w:pageBreakBefore/>
      </w:pPr>
    </w:p>
    <w:p>
      <w:pPr>
        <w:pStyle w:val="Heading1"/>
        <w:pBdr>
          <w:bottom w:val="single" w:color="1F3864" w:sz="6" w:space="4"/>
        </w:pBdr>
        <w:spacing w:after="200" w:before="400"/>
      </w:pPr>
      <w:r>
        <w:rPr>
          <w:b/>
          <w:bCs/>
          <w:color w:val="1F3864"/>
          <w:sz w:val="30"/>
          <w:szCs w:val="30"/>
        </w:rPr>
        <w:t xml:space="preserve">11. Resumen y puntos clave para el examen</w:t>
      </w: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Ideas centrales que no debes olvidar</w:t>
            </w:r>
          </w:p>
          <w:p>
            <w:pPr>
              <w:spacing w:after="0" w:line="280"/>
            </w:pPr>
            <w:r>
              <w:rPr>
                <w:color w:val="222222"/>
                <w:sz w:val="21"/>
                <w:szCs w:val="21"/>
              </w:rPr>
              <w:t xml:space="preserve">1) El proceso gestiona: identifica, registra y controla todos los CIs del Banco (~250,000 hoy). 2) La CMDB no es solo inventario: lo valioso son las relaciones y dependencias entre componentes. 3) El App Code es el atributo obligatorio que conecta cada componente con su responsable. 4) La CMDB es la fuente oficial y autoritativa para eventos, incidentes, cambios, escaneo de vulnerabilidades, obsolescencia y continuidad. 5) Ciberseguridad NO escanea nada que no esté en la CMDB. 6) La validación es trimestral y semiautomática (automática en nube, manual en on-premise). 7) La CMDB NO es una herramienta de monitoreo. 8) Mantener la CMDB actualizada es responsabilidad de todos, no solo del proceso.</w:t>
            </w:r>
          </w:p>
        </w:tc>
      </w:tr>
    </w:tbl>
    <w:p>
      <w:pPr>
        <w:spacing w:after="200"/>
      </w:pPr>
    </w:p>
    <w:p>
      <w:pPr>
        <w:pStyle w:val="Heading2"/>
        <w:spacing w:after="120" w:before="300"/>
      </w:pPr>
      <w:r>
        <w:rPr>
          <w:b/>
          <w:bCs/>
          <w:color w:val="2E5395"/>
          <w:sz w:val="24"/>
          <w:szCs w:val="24"/>
        </w:rPr>
        <w:t xml:space="preserve">Glosario rápido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100"/>
              <w:left w:type="dxa" w:w="120"/>
              <w:bottom w:type="dxa" w:w="100"/>
              <w:right w:type="dxa" w:w="120"/>
            </w:tcMar>
            <w:vAlign w:val="center"/>
          </w:tcPr>
          <w:p>
            <w:r>
              <w:rPr>
                <w:b/>
                <w:bCs/>
                <w:color w:val="FFFFFF"/>
                <w:sz w:val="20"/>
                <w:szCs w:val="20"/>
              </w:rPr>
              <w:t xml:space="preserve">Término</w:t>
            </w:r>
          </w:p>
        </w:tc>
        <w:tc>
          <w:tcPr>
            <w:tcW w:type="dxa" w:w="7150"/>
            <w:shd w:fill="1F3864" w:val="clear"/>
            <w:tcMar>
              <w:top w:type="dxa" w:w="100"/>
              <w:left w:type="dxa" w:w="120"/>
              <w:bottom w:type="dxa" w:w="100"/>
              <w:right w:type="dxa" w:w="120"/>
            </w:tcMar>
            <w:vAlign w:val="center"/>
          </w:tcPr>
          <w:p>
            <w:r>
              <w:rPr>
                <w:b/>
                <w:bCs/>
                <w:color w:val="FFFFFF"/>
                <w:sz w:val="20"/>
                <w:szCs w:val="20"/>
              </w:rPr>
              <w:t xml:space="preserve">Significado</w:t>
            </w:r>
          </w:p>
        </w:tc>
      </w:tr>
      <w:tr>
        <w:tc>
          <w:tcPr>
            <w:tcW w:type="dxa" w:w="2200"/>
            <w:shd w:fill="F2F2F2" w:val="clear"/>
            <w:tcMar>
              <w:top w:type="dxa" w:w="90"/>
              <w:left w:type="dxa" w:w="120"/>
              <w:bottom w:type="dxa" w:w="90"/>
              <w:right w:type="dxa" w:w="120"/>
            </w:tcMar>
            <w:vAlign w:val="center"/>
          </w:tcPr>
          <w:p>
            <w:pPr>
              <w:spacing w:line="260"/>
            </w:pPr>
            <w:r>
              <w:rPr>
                <w:color w:val="222222"/>
                <w:sz w:val="20"/>
                <w:szCs w:val="20"/>
              </w:rPr>
              <w:t xml:space="preserve">CI</w:t>
            </w:r>
          </w:p>
        </w:tc>
        <w:tc>
          <w:tcPr>
            <w:tcW w:type="dxa" w:w="7150"/>
            <w:shd w:fill="F2F2F2" w:val="clear"/>
            <w:tcMar>
              <w:top w:type="dxa" w:w="90"/>
              <w:left w:type="dxa" w:w="120"/>
              <w:bottom w:type="dxa" w:w="90"/>
              <w:right w:type="dxa" w:w="120"/>
            </w:tcMar>
            <w:vAlign w:val="center"/>
          </w:tcPr>
          <w:p>
            <w:pPr>
              <w:spacing w:line="260"/>
            </w:pPr>
            <w:r>
              <w:rPr>
                <w:color w:val="222222"/>
                <w:sz w:val="20"/>
                <w:szCs w:val="20"/>
              </w:rPr>
              <w:t xml:space="preserve">Configuration Item — elemento de configuración; cualquier componente gestionado para habilitar un servicio de TI.</w:t>
            </w:r>
          </w:p>
        </w:tc>
      </w:tr>
      <w:tr>
        <w:tc>
          <w:tcPr>
            <w:tcW w:type="dxa" w:w="2200"/>
            <w:shd w:fill="FFFFFF" w:val="clear"/>
            <w:tcMar>
              <w:top w:type="dxa" w:w="90"/>
              <w:left w:type="dxa" w:w="120"/>
              <w:bottom w:type="dxa" w:w="90"/>
              <w:right w:type="dxa" w:w="120"/>
            </w:tcMar>
            <w:vAlign w:val="center"/>
          </w:tcPr>
          <w:p>
            <w:pPr>
              <w:spacing w:line="260"/>
            </w:pPr>
            <w:r>
              <w:rPr>
                <w:color w:val="222222"/>
                <w:sz w:val="20"/>
                <w:szCs w:val="20"/>
              </w:rPr>
              <w:t xml:space="preserve">CMDB</w:t>
            </w:r>
          </w:p>
        </w:tc>
        <w:tc>
          <w:tcPr>
            <w:tcW w:type="dxa" w:w="7150"/>
            <w:shd w:fill="FFFFFF" w:val="clear"/>
            <w:tcMar>
              <w:top w:type="dxa" w:w="90"/>
              <w:left w:type="dxa" w:w="120"/>
              <w:bottom w:type="dxa" w:w="90"/>
              <w:right w:type="dxa" w:w="120"/>
            </w:tcMar>
            <w:vAlign w:val="center"/>
          </w:tcPr>
          <w:p>
            <w:pPr>
              <w:spacing w:line="260"/>
            </w:pPr>
            <w:r>
              <w:rPr>
                <w:color w:val="222222"/>
                <w:sz w:val="20"/>
                <w:szCs w:val="20"/>
              </w:rPr>
              <w:t xml:space="preserve">Configuration Management Data Base — repositorio central y autoritativo de CIs, atributos y relaciones.</w:t>
            </w:r>
          </w:p>
        </w:tc>
      </w:tr>
      <w:tr>
        <w:tc>
          <w:tcPr>
            <w:tcW w:type="dxa" w:w="2200"/>
            <w:shd w:fill="F2F2F2" w:val="clear"/>
            <w:tcMar>
              <w:top w:type="dxa" w:w="90"/>
              <w:left w:type="dxa" w:w="120"/>
              <w:bottom w:type="dxa" w:w="90"/>
              <w:right w:type="dxa" w:w="120"/>
            </w:tcMar>
            <w:vAlign w:val="center"/>
          </w:tcPr>
          <w:p>
            <w:pPr>
              <w:spacing w:line="260"/>
            </w:pPr>
            <w:r>
              <w:rPr>
                <w:color w:val="222222"/>
                <w:sz w:val="20"/>
                <w:szCs w:val="20"/>
              </w:rPr>
              <w:t xml:space="preserve">ITCM</w:t>
            </w:r>
          </w:p>
        </w:tc>
        <w:tc>
          <w:tcPr>
            <w:tcW w:type="dxa" w:w="7150"/>
            <w:shd w:fill="F2F2F2" w:val="clear"/>
            <w:tcMar>
              <w:top w:type="dxa" w:w="90"/>
              <w:left w:type="dxa" w:w="120"/>
              <w:bottom w:type="dxa" w:w="90"/>
              <w:right w:type="dxa" w:w="120"/>
            </w:tcMar>
            <w:vAlign w:val="center"/>
          </w:tcPr>
          <w:p>
            <w:pPr>
              <w:spacing w:line="260"/>
            </w:pPr>
            <w:r>
              <w:rPr>
                <w:color w:val="222222"/>
                <w:sz w:val="20"/>
                <w:szCs w:val="20"/>
              </w:rPr>
              <w:t xml:space="preserve">IT Configuration Management — nombre del proceso / herramienta de gestión de la configuración.</w:t>
            </w:r>
          </w:p>
        </w:tc>
      </w:tr>
      <w:tr>
        <w:tc>
          <w:tcPr>
            <w:tcW w:type="dxa" w:w="2200"/>
            <w:shd w:fill="FFFFFF" w:val="clear"/>
            <w:tcMar>
              <w:top w:type="dxa" w:w="90"/>
              <w:left w:type="dxa" w:w="120"/>
              <w:bottom w:type="dxa" w:w="90"/>
              <w:right w:type="dxa" w:w="120"/>
            </w:tcMar>
            <w:vAlign w:val="center"/>
          </w:tcPr>
          <w:p>
            <w:pPr>
              <w:spacing w:line="260"/>
            </w:pPr>
            <w:r>
              <w:rPr>
                <w:color w:val="222222"/>
                <w:sz w:val="20"/>
                <w:szCs w:val="20"/>
              </w:rPr>
              <w:t xml:space="preserve">App Code</w:t>
            </w:r>
          </w:p>
        </w:tc>
        <w:tc>
          <w:tcPr>
            <w:tcW w:type="dxa" w:w="7150"/>
            <w:shd w:fill="FFFFFF" w:val="clear"/>
            <w:tcMar>
              <w:top w:type="dxa" w:w="90"/>
              <w:left w:type="dxa" w:w="120"/>
              <w:bottom w:type="dxa" w:w="90"/>
              <w:right w:type="dxa" w:w="120"/>
            </w:tcMar>
            <w:vAlign w:val="center"/>
          </w:tcPr>
          <w:p>
            <w:pPr>
              <w:spacing w:line="260"/>
            </w:pPr>
            <w:r>
              <w:rPr>
                <w:color w:val="222222"/>
                <w:sz w:val="20"/>
                <w:szCs w:val="20"/>
              </w:rPr>
              <w:t xml:space="preserve">Atributo obligatorio que identifica el código de la aplicación y su responsable.</w:t>
            </w:r>
          </w:p>
        </w:tc>
      </w:tr>
      <w:tr>
        <w:tc>
          <w:tcPr>
            <w:tcW w:type="dxa" w:w="2200"/>
            <w:shd w:fill="F2F2F2" w:val="clear"/>
            <w:tcMar>
              <w:top w:type="dxa" w:w="90"/>
              <w:left w:type="dxa" w:w="120"/>
              <w:bottom w:type="dxa" w:w="90"/>
              <w:right w:type="dxa" w:w="120"/>
            </w:tcMar>
            <w:vAlign w:val="center"/>
          </w:tcPr>
          <w:p>
            <w:pPr>
              <w:spacing w:line="260"/>
            </w:pPr>
            <w:r>
              <w:rPr>
                <w:color w:val="222222"/>
                <w:sz w:val="20"/>
                <w:szCs w:val="20"/>
              </w:rPr>
              <w:t xml:space="preserve">Dueño de clase</w:t>
            </w:r>
          </w:p>
        </w:tc>
        <w:tc>
          <w:tcPr>
            <w:tcW w:type="dxa" w:w="7150"/>
            <w:shd w:fill="F2F2F2" w:val="clear"/>
            <w:tcMar>
              <w:top w:type="dxa" w:w="90"/>
              <w:left w:type="dxa" w:w="120"/>
              <w:bottom w:type="dxa" w:w="90"/>
              <w:right w:type="dxa" w:w="120"/>
            </w:tcMar>
            <w:vAlign w:val="center"/>
          </w:tcPr>
          <w:p>
            <w:pPr>
              <w:spacing w:line="260"/>
            </w:pPr>
            <w:r>
              <w:rPr>
                <w:color w:val="222222"/>
                <w:sz w:val="20"/>
                <w:szCs w:val="20"/>
              </w:rPr>
              <w:t xml:space="preserve">Responsable de una tipología completa de componentes (ej. todos los servidores x86).</w:t>
            </w:r>
          </w:p>
        </w:tc>
      </w:tr>
      <w:tr>
        <w:tc>
          <w:tcPr>
            <w:tcW w:type="dxa" w:w="2200"/>
            <w:shd w:fill="FFFFFF" w:val="clear"/>
            <w:tcMar>
              <w:top w:type="dxa" w:w="90"/>
              <w:left w:type="dxa" w:w="120"/>
              <w:bottom w:type="dxa" w:w="90"/>
              <w:right w:type="dxa" w:w="120"/>
            </w:tcMar>
            <w:vAlign w:val="center"/>
          </w:tcPr>
          <w:p>
            <w:pPr>
              <w:spacing w:line="260"/>
            </w:pPr>
            <w:r>
              <w:rPr>
                <w:color w:val="222222"/>
                <w:sz w:val="20"/>
                <w:szCs w:val="20"/>
              </w:rPr>
              <w:t xml:space="preserve">Acta de clase</w:t>
            </w:r>
          </w:p>
        </w:tc>
        <w:tc>
          <w:tcPr>
            <w:tcW w:type="dxa" w:w="7150"/>
            <w:shd w:fill="FFFFFF" w:val="clear"/>
            <w:tcMar>
              <w:top w:type="dxa" w:w="90"/>
              <w:left w:type="dxa" w:w="120"/>
              <w:bottom w:type="dxa" w:w="90"/>
              <w:right w:type="dxa" w:w="120"/>
            </w:tcMar>
            <w:vAlign w:val="center"/>
          </w:tcPr>
          <w:p>
            <w:pPr>
              <w:spacing w:line="260"/>
            </w:pPr>
            <w:r>
              <w:rPr>
                <w:color w:val="222222"/>
                <w:sz w:val="20"/>
                <w:szCs w:val="20"/>
              </w:rPr>
              <w:t xml:space="preserve">Documento donde se define el dueño, periodicidad de actualización, tipo de actualización y atributos clave de una clase de componentes.</w:t>
            </w:r>
          </w:p>
        </w:tc>
      </w:tr>
      <w:tr>
        <w:tc>
          <w:tcPr>
            <w:tcW w:type="dxa" w:w="2200"/>
            <w:shd w:fill="F2F2F2" w:val="clear"/>
            <w:tcMar>
              <w:top w:type="dxa" w:w="90"/>
              <w:left w:type="dxa" w:w="120"/>
              <w:bottom w:type="dxa" w:w="90"/>
              <w:right w:type="dxa" w:w="120"/>
            </w:tcMar>
            <w:vAlign w:val="center"/>
          </w:tcPr>
          <w:p>
            <w:pPr>
              <w:spacing w:line="260"/>
            </w:pPr>
            <w:r>
              <w:rPr>
                <w:color w:val="222222"/>
                <w:sz w:val="20"/>
                <w:szCs w:val="20"/>
              </w:rPr>
              <w:t xml:space="preserve">BMC Helix</w:t>
            </w:r>
          </w:p>
        </w:tc>
        <w:tc>
          <w:tcPr>
            <w:tcW w:type="dxa" w:w="7150"/>
            <w:shd w:fill="F2F2F2" w:val="clear"/>
            <w:tcMar>
              <w:top w:type="dxa" w:w="90"/>
              <w:left w:type="dxa" w:w="120"/>
              <w:bottom w:type="dxa" w:w="90"/>
              <w:right w:type="dxa" w:w="120"/>
            </w:tcMar>
            <w:vAlign w:val="center"/>
          </w:tcPr>
          <w:p>
            <w:pPr>
              <w:spacing w:line="260"/>
            </w:pPr>
            <w:r>
              <w:rPr>
                <w:color w:val="222222"/>
                <w:sz w:val="20"/>
                <w:szCs w:val="20"/>
              </w:rPr>
              <w:t xml:space="preserve">Herramienta ITCM oficial del Banco: módulos de CMDB, Dashboard y API.</w:t>
            </w:r>
          </w:p>
        </w:tc>
      </w:tr>
      <w:tr>
        <w:tc>
          <w:tcPr>
            <w:tcW w:type="dxa" w:w="2200"/>
            <w:shd w:fill="FFFFFF" w:val="clear"/>
            <w:tcMar>
              <w:top w:type="dxa" w:w="90"/>
              <w:left w:type="dxa" w:w="120"/>
              <w:bottom w:type="dxa" w:w="90"/>
              <w:right w:type="dxa" w:w="120"/>
            </w:tcMar>
            <w:vAlign w:val="center"/>
          </w:tcPr>
          <w:p>
            <w:pPr>
              <w:spacing w:line="260"/>
            </w:pPr>
            <w:r>
              <w:rPr>
                <w:color w:val="222222"/>
                <w:sz w:val="20"/>
                <w:szCs w:val="20"/>
              </w:rPr>
              <w:t xml:space="preserve">Aplicaciones VIA</w:t>
            </w:r>
          </w:p>
        </w:tc>
        <w:tc>
          <w:tcPr>
            <w:tcW w:type="dxa" w:w="7150"/>
            <w:shd w:fill="FFFFFF" w:val="clear"/>
            <w:tcMar>
              <w:top w:type="dxa" w:w="90"/>
              <w:left w:type="dxa" w:w="120"/>
              <w:bottom w:type="dxa" w:w="90"/>
              <w:right w:type="dxa" w:w="120"/>
            </w:tcMar>
            <w:vAlign w:val="center"/>
          </w:tcPr>
          <w:p>
            <w:pPr>
              <w:spacing w:line="260"/>
            </w:pPr>
            <w:r>
              <w:rPr>
                <w:color w:val="222222"/>
                <w:sz w:val="20"/>
                <w:szCs w:val="20"/>
              </w:rPr>
              <w:t xml:space="preserve">Aplicaciones vitales para la continuidad del negocio.</w:t>
            </w:r>
          </w:p>
        </w:tc>
      </w:tr>
    </w:tbl>
    <w:p>
      <w:pPr>
        <w:spacing w:after="300"/>
      </w:pPr>
    </w:p>
    <w:p>
      <w:pPr>
        <w:spacing w:after="160"/>
      </w:pPr>
      <w:r>
        <w:rPr>
          <w:i/>
          <w:iCs/>
          <w:color w:val="595959"/>
          <w:sz w:val="18"/>
          <w:szCs w:val="18"/>
        </w:rPr>
        <w:t xml:space="preserve">Documento generado a partir de la transcripción de la tercera sesión de difusión "Gestión de la Configuración y CMDB", presentada por Maribel Oquendo — VSTI, Bancolombia.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Certificación VSTI · Módulo 2 · Gestión de la Configuración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2026-09-03T22:21:10.085Z</dcterms:created>
  <dcterms:modified xsi:type="dcterms:W3CDTF">2026-09-03T22:21:10.085Z</dcterms:modified>
</cp:coreProperties>
</file>

<file path=docProps/custom.xml><?xml version="1.0" encoding="utf-8"?>
<Properties xmlns="http://schemas.openxmlformats.org/officeDocument/2006/custom-properties" xmlns:vt="http://schemas.openxmlformats.org/officeDocument/2006/docPropsVTypes"/>
</file>