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sz w:val="72"/>
          <w:szCs w:val="72"/>
        </w:rPr>
        <w:t xml:space="preserve">🛠️</w:t>
      </w:r>
    </w:p>
    <w:p>
      <w:pPr>
        <w:spacing w:after="200"/>
      </w:pPr>
    </w:p>
    <w:p>
      <w:pPr>
        <w:jc w:val="center"/>
      </w:pPr>
      <w:r>
        <w:rPr>
          <w:b/>
          <w:bCs/>
          <w:color w:val="BF8F00"/>
          <w:sz w:val="26"/>
          <w:szCs w:val="26"/>
        </w:rPr>
        <w:t xml:space="preserve">MÓDULO 6</w:t>
      </w:r>
    </w:p>
    <w:p>
      <w:pPr>
        <w:spacing w:after="200"/>
        <w:jc w:val="center"/>
      </w:pPr>
      <w:r>
        <w:rPr>
          <w:b/>
          <w:bCs/>
          <w:color w:val="1F3864"/>
          <w:sz w:val="44"/>
          <w:szCs w:val="44"/>
        </w:rPr>
        <w:t xml:space="preserve">Habilitar y Mantener Soluciones</w:t>
      </w:r>
    </w:p>
    <w:p>
      <w:pPr>
        <w:spacing w:after="60"/>
        <w:jc w:val="center"/>
      </w:pPr>
      <w:r>
        <w:rPr>
          <w:i/>
          <w:iCs/>
          <w:color w:val="595959"/>
          <w:sz w:val="26"/>
          <w:szCs w:val="26"/>
        </w:rPr>
        <w:t xml:space="preserve">Conoce todas las actividades y controles del proceso</w:t>
      </w:r>
    </w:p>
    <w:p>
      <w:pPr>
        <w:spacing w:after="500"/>
        <w:jc w:val="center"/>
      </w:pPr>
      <w:r>
        <w:rPr>
          <w:color w:val="595959"/>
          <w:sz w:val="20"/>
          <w:szCs w:val="20"/>
        </w:rPr>
        <w:t xml:space="preserve">Vicepresidencia de Servicios de Tecnología e Información — Bancolombia</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Guía de estudio</w:t>
            </w:r>
          </w:p>
          <w:p>
            <w:pPr>
              <w:spacing w:after="0" w:line="280"/>
            </w:pPr>
            <w:r>
              <w:rPr>
                <w:color w:val="222222"/>
                <w:sz w:val="21"/>
                <w:szCs w:val="21"/>
              </w:rPr>
              <w:t xml:space="preserve">Documento elaborado a partir de la sesión de difusión del proceso "Habilitar y Mantener Soluciones" — la columna vertebral del ciclo de vida de desarrollo. Presentada por Cristian junto a Diana (DevOps), Gabo (arquitectura de aplicaciones), Luz (calidad y pruebas) y Carlos (SecOps). Incluye las 5 etapas del proceso, los controles SOX y la encuesta de riesgos unificada.</w:t>
            </w:r>
          </w:p>
        </w:tc>
      </w:tr>
    </w:tbl>
    <w:p>
      <w:pPr>
        <w:spacing w:after="300"/>
      </w:pPr>
    </w:p>
    <w:p>
      <w:pPr>
        <w:jc w:val="center"/>
      </w:pPr>
      <w:r>
        <w:rPr>
          <w:i/>
          <w:iCs/>
          <w:color w:val="595959"/>
          <w:sz w:val="20"/>
          <w:szCs w:val="20"/>
        </w:rPr>
        <w:t xml:space="preserve">🗓  Examen de certificación: se habilita el 17 de julio</w:t>
      </w:r>
    </w:p>
    <w:p>
      <w:pPr>
        <w:pageBreakBefore/>
      </w:pPr>
    </w:p>
    <w:p>
      <w:pPr>
        <w:pStyle w:val="Heading1"/>
        <w:pBdr>
          <w:bottom w:val="single" w:color="1F3864" w:sz="6" w:space="4"/>
        </w:pBdr>
        <w:spacing w:after="200" w:before="400"/>
      </w:pPr>
      <w:r>
        <w:rPr>
          <w:b/>
          <w:bCs/>
          <w:color w:val="1F3864"/>
          <w:sz w:val="30"/>
          <w:szCs w:val="30"/>
        </w:rPr>
        <w:t xml:space="preserve">Índice de contenidos</w:t>
      </w:r>
    </w:p>
    <w:p>
      <w:pPr>
        <w:pStyle w:val="ListParagraph"/>
        <w:numPr>
          <w:ilvl w:val="0"/>
          <w:numId w:val="2"/>
        </w:numPr>
        <w:spacing w:after="90" w:line="280"/>
      </w:pPr>
      <w:r>
        <w:rPr>
          <w:color w:val="222222"/>
          <w:sz w:val="22"/>
          <w:szCs w:val="22"/>
        </w:rPr>
        <w:t xml:space="preserve">1. ¿Qué es y por qué existe el proceso?</w:t>
      </w:r>
    </w:p>
    <w:p>
      <w:pPr>
        <w:pStyle w:val="ListParagraph"/>
        <w:numPr>
          <w:ilvl w:val="0"/>
          <w:numId w:val="2"/>
        </w:numPr>
        <w:spacing w:after="90" w:line="280"/>
      </w:pPr>
      <w:r>
        <w:rPr>
          <w:color w:val="222222"/>
          <w:sz w:val="22"/>
          <w:szCs w:val="22"/>
        </w:rPr>
        <w:t xml:space="preserve">2. Las 5 etapas del proceso</w:t>
      </w:r>
    </w:p>
    <w:p>
      <w:pPr>
        <w:pStyle w:val="ListParagraph"/>
        <w:numPr>
          <w:ilvl w:val="0"/>
          <w:numId w:val="2"/>
        </w:numPr>
        <w:spacing w:after="90" w:line="280"/>
      </w:pPr>
      <w:r>
        <w:rPr>
          <w:color w:val="222222"/>
          <w:sz w:val="22"/>
          <w:szCs w:val="22"/>
        </w:rPr>
        <w:t xml:space="preserve">3. Etapa 1: Analizar y arquitectar la solución</w:t>
      </w:r>
    </w:p>
    <w:p>
      <w:pPr>
        <w:pStyle w:val="ListParagraph"/>
        <w:numPr>
          <w:ilvl w:val="0"/>
          <w:numId w:val="2"/>
        </w:numPr>
        <w:spacing w:after="90" w:line="280"/>
      </w:pPr>
      <w:r>
        <w:rPr>
          <w:color w:val="222222"/>
          <w:sz w:val="22"/>
          <w:szCs w:val="22"/>
        </w:rPr>
        <w:t xml:space="preserve">4. Etapa 2: Preparar la solución</w:t>
      </w:r>
    </w:p>
    <w:p>
      <w:pPr>
        <w:pStyle w:val="ListParagraph"/>
        <w:numPr>
          <w:ilvl w:val="0"/>
          <w:numId w:val="2"/>
        </w:numPr>
        <w:spacing w:after="90" w:line="280"/>
      </w:pPr>
      <w:r>
        <w:rPr>
          <w:color w:val="222222"/>
          <w:sz w:val="22"/>
          <w:szCs w:val="22"/>
        </w:rPr>
        <w:t xml:space="preserve">5. Etapa 3: Implementar la solución — el corazón del proceso</w:t>
      </w:r>
    </w:p>
    <w:p>
      <w:pPr>
        <w:pStyle w:val="ListParagraph"/>
        <w:numPr>
          <w:ilvl w:val="0"/>
          <w:numId w:val="2"/>
        </w:numPr>
        <w:spacing w:after="90" w:line="280"/>
      </w:pPr>
      <w:r>
        <w:rPr>
          <w:color w:val="222222"/>
          <w:sz w:val="22"/>
          <w:szCs w:val="22"/>
        </w:rPr>
        <w:t xml:space="preserve">6. Adopción DevOps: los 5 pilares y sus controles</w:t>
      </w:r>
    </w:p>
    <w:p>
      <w:pPr>
        <w:pStyle w:val="ListParagraph"/>
        <w:numPr>
          <w:ilvl w:val="0"/>
          <w:numId w:val="2"/>
        </w:numPr>
        <w:spacing w:after="90" w:line="280"/>
      </w:pPr>
      <w:r>
        <w:rPr>
          <w:color w:val="222222"/>
          <w:sz w:val="22"/>
          <w:szCs w:val="22"/>
        </w:rPr>
        <w:t xml:space="preserve">7. Prácticas de arquitectura: confiabilidad, responsividad y costo-eficiencia</w:t>
      </w:r>
    </w:p>
    <w:p>
      <w:pPr>
        <w:pStyle w:val="ListParagraph"/>
        <w:numPr>
          <w:ilvl w:val="0"/>
          <w:numId w:val="2"/>
        </w:numPr>
        <w:spacing w:after="90" w:line="280"/>
      </w:pPr>
      <w:r>
        <w:rPr>
          <w:color w:val="222222"/>
          <w:sz w:val="22"/>
          <w:szCs w:val="22"/>
        </w:rPr>
        <w:t xml:space="preserve">8. Prácticas de calidad: testing basado en riesgo</w:t>
      </w:r>
    </w:p>
    <w:p>
      <w:pPr>
        <w:pStyle w:val="ListParagraph"/>
        <w:numPr>
          <w:ilvl w:val="0"/>
          <w:numId w:val="2"/>
        </w:numPr>
        <w:spacing w:after="90" w:line="280"/>
      </w:pPr>
      <w:r>
        <w:rPr>
          <w:color w:val="222222"/>
          <w:sz w:val="22"/>
          <w:szCs w:val="22"/>
        </w:rPr>
        <w:t xml:space="preserve">9. Prácticas de SecOps (DevSecOps)</w:t>
      </w:r>
    </w:p>
    <w:p>
      <w:pPr>
        <w:pStyle w:val="ListParagraph"/>
        <w:numPr>
          <w:ilvl w:val="0"/>
          <w:numId w:val="2"/>
        </w:numPr>
        <w:spacing w:after="90" w:line="280"/>
      </w:pPr>
      <w:r>
        <w:rPr>
          <w:color w:val="222222"/>
          <w:sz w:val="22"/>
          <w:szCs w:val="22"/>
        </w:rPr>
        <w:t xml:space="preserve">10. La encuesta de riesgos unificada</w:t>
      </w:r>
    </w:p>
    <w:p>
      <w:pPr>
        <w:pStyle w:val="ListParagraph"/>
        <w:numPr>
          <w:ilvl w:val="0"/>
          <w:numId w:val="2"/>
        </w:numPr>
        <w:spacing w:after="90" w:line="280"/>
      </w:pPr>
      <w:r>
        <w:rPr>
          <w:color w:val="222222"/>
          <w:sz w:val="22"/>
          <w:szCs w:val="22"/>
        </w:rPr>
        <w:t xml:space="preserve">11. El Definition of Done (DoD)</w:t>
      </w:r>
    </w:p>
    <w:p>
      <w:pPr>
        <w:pStyle w:val="ListParagraph"/>
        <w:numPr>
          <w:ilvl w:val="0"/>
          <w:numId w:val="2"/>
        </w:numPr>
        <w:spacing w:after="90" w:line="280"/>
      </w:pPr>
      <w:r>
        <w:rPr>
          <w:color w:val="222222"/>
          <w:sz w:val="22"/>
          <w:szCs w:val="22"/>
        </w:rPr>
        <w:t xml:space="preserve">12. Etapa 4: Desplegar la solución — los 3 tipos de despliegue</w:t>
      </w:r>
    </w:p>
    <w:p>
      <w:pPr>
        <w:pStyle w:val="ListParagraph"/>
        <w:numPr>
          <w:ilvl w:val="0"/>
          <w:numId w:val="2"/>
        </w:numPr>
        <w:spacing w:after="90" w:line="280"/>
      </w:pPr>
      <w:r>
        <w:rPr>
          <w:color w:val="222222"/>
          <w:sz w:val="22"/>
          <w:szCs w:val="22"/>
        </w:rPr>
        <w:t xml:space="preserve">13. Los controles SOX del proceso</w:t>
      </w:r>
    </w:p>
    <w:p>
      <w:pPr>
        <w:pStyle w:val="ListParagraph"/>
        <w:numPr>
          <w:ilvl w:val="0"/>
          <w:numId w:val="2"/>
        </w:numPr>
        <w:spacing w:after="90" w:line="280"/>
      </w:pPr>
      <w:r>
        <w:rPr>
          <w:color w:val="222222"/>
          <w:sz w:val="22"/>
          <w:szCs w:val="22"/>
        </w:rPr>
        <w:t xml:space="preserve">14. Etapa 5: Estabilizar</w:t>
      </w:r>
    </w:p>
    <w:p>
      <w:pPr>
        <w:pStyle w:val="ListParagraph"/>
        <w:numPr>
          <w:ilvl w:val="0"/>
          <w:numId w:val="2"/>
        </w:numPr>
        <w:spacing w:after="90" w:line="280"/>
      </w:pPr>
      <w:r>
        <w:rPr>
          <w:color w:val="222222"/>
          <w:sz w:val="22"/>
          <w:szCs w:val="22"/>
        </w:rPr>
        <w:t xml:space="preserve">15. Auditoría y entes de control</w:t>
      </w:r>
    </w:p>
    <w:p>
      <w:pPr>
        <w:pStyle w:val="ListParagraph"/>
        <w:numPr>
          <w:ilvl w:val="0"/>
          <w:numId w:val="2"/>
        </w:numPr>
        <w:spacing w:after="90" w:line="280"/>
      </w:pPr>
      <w:r>
        <w:rPr>
          <w:color w:val="222222"/>
          <w:sz w:val="22"/>
          <w:szCs w:val="22"/>
        </w:rPr>
        <w:t xml:space="preserve">16. Relación con Gestión de la Configuración</w:t>
      </w:r>
    </w:p>
    <w:p>
      <w:pPr>
        <w:pStyle w:val="ListParagraph"/>
        <w:numPr>
          <w:ilvl w:val="0"/>
          <w:numId w:val="2"/>
        </w:numPr>
        <w:spacing w:after="90" w:line="280"/>
      </w:pPr>
      <w:r>
        <w:rPr>
          <w:color w:val="222222"/>
          <w:sz w:val="22"/>
          <w:szCs w:val="22"/>
        </w:rPr>
        <w:t xml:space="preserve">17. Resumen y puntos clave para el examen</w:t>
      </w:r>
    </w:p>
    <w:p>
      <w:pPr>
        <w:pageBreakBefore/>
      </w:pPr>
    </w:p>
    <w:p>
      <w:pPr>
        <w:pStyle w:val="Heading1"/>
        <w:pBdr>
          <w:bottom w:val="single" w:color="1F3864" w:sz="6" w:space="4"/>
        </w:pBdr>
        <w:spacing w:after="200" w:before="400"/>
      </w:pPr>
      <w:r>
        <w:rPr>
          <w:b/>
          <w:bCs/>
          <w:color w:val="1F3864"/>
          <w:sz w:val="30"/>
          <w:szCs w:val="30"/>
        </w:rPr>
        <w:t xml:space="preserve">1. ¿Qué es y por qué existe el proceso?</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Definición</w:t>
            </w:r>
          </w:p>
          <w:p>
            <w:pPr>
              <w:spacing w:after="0" w:line="280"/>
            </w:pPr>
            <w:r>
              <w:rPr>
                <w:color w:val="222222"/>
                <w:sz w:val="21"/>
                <w:szCs w:val="21"/>
              </w:rPr>
              <w:t xml:space="preserve">Habilitar y Mantener Soluciones es el conjunto de actividades que define las buenas prácticas para ejecutar el ciclo de vida de desarrollo en la organización. Es la guía del "deber ser" para construir software correcto, de calidad, y con puestas en producción que generen confianza.</w:t>
            </w:r>
          </w:p>
        </w:tc>
      </w:tr>
    </w:tbl>
    <w:p>
      <w:pPr>
        <w:spacing w:after="160"/>
      </w:pPr>
    </w:p>
    <w:p>
      <w:pPr>
        <w:spacing w:after="160" w:line="300"/>
      </w:pPr>
      <w:r>
        <w:rPr>
          <w:color w:val="222222"/>
          <w:sz w:val="22"/>
          <w:szCs w:val="22"/>
        </w:rPr>
        <w:t xml:space="preserve">Sin un proceso definido, cada equipo o célula crearía su propio camino de despliegue — algunos más rápidos, sin versionamiento ni aprobaciones. El proceso garantiza un estándar único que protege tanto la calidad como el cumplimiento regulatorio.</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Por qué es un proceso SOX</w:t>
            </w:r>
          </w:p>
          <w:p>
            <w:pPr>
              <w:spacing w:after="0" w:line="280"/>
            </w:pPr>
            <w:r>
              <w:rPr>
                <w:color w:val="222222"/>
                <w:sz w:val="21"/>
                <w:szCs w:val="21"/>
              </w:rPr>
              <w:t xml:space="preserve">El proceso hace parte de la certificación de la Ley SOX, requisito para que el Grupo pueda operar y cotizar en la Bolsa de Valores de Nueva York. Desde el incidente más pequeño hasta el proyecto más grande, cada cambio de software aporta a este cumplimiento.</w:t>
            </w:r>
          </w:p>
        </w:tc>
      </w:tr>
    </w:tbl>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Excepción</w:t>
            </w:r>
          </w:p>
          <w:p>
            <w:pPr>
              <w:spacing w:after="0" w:line="280"/>
            </w:pPr>
            <w:r>
              <w:rPr>
                <w:color w:val="222222"/>
                <w:sz w:val="21"/>
                <w:szCs w:val="21"/>
              </w:rPr>
              <w:t xml:space="preserve">El proceso NO aplica a aplicaciones SaaS, ya que no están dentro de la infraestructura del Banco y no se gestiona su código fuente — es muy complejo dar un ambiente de control sobre algo que no se puede controlar.</w:t>
            </w:r>
          </w:p>
        </w:tc>
      </w:tr>
    </w:tbl>
    <w:p>
      <w:pPr>
        <w:pageBreakBefore/>
      </w:pPr>
    </w:p>
    <w:p>
      <w:pPr>
        <w:pStyle w:val="Heading1"/>
        <w:pBdr>
          <w:bottom w:val="single" w:color="1F3864" w:sz="6" w:space="4"/>
        </w:pBdr>
        <w:spacing w:after="200" w:before="400"/>
      </w:pPr>
      <w:r>
        <w:rPr>
          <w:b/>
          <w:bCs/>
          <w:color w:val="1F3864"/>
          <w:sz w:val="30"/>
          <w:szCs w:val="30"/>
        </w:rPr>
        <w:t xml:space="preserve">2. Las 5 etapas del proceso</w:t>
      </w:r>
    </w:p>
    <w:p>
      <w:pPr>
        <w:spacing w:after="160" w:line="300"/>
      </w:pPr>
      <w:r>
        <w:rPr>
          <w:color w:val="222222"/>
          <w:sz w:val="22"/>
          <w:szCs w:val="22"/>
        </w:rPr>
        <w:t xml:space="preserve">Se explica con la analogía de planear un viaje soñado: se analiza la mejor opción, se valida la documentación requerida, se ejecutan las acciones para lograrlo, se compran los mejores elementos, y se busca vivir el viaje sin ninguna afectación — exactamente como debería vivirse cada desarrollo.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Etapa</w:t>
            </w:r>
          </w:p>
        </w:tc>
        <w:tc>
          <w:tcPr>
            <w:tcW w:type="dxa" w:w="6950"/>
            <w:shd w:fill="1F3864" w:val="clear"/>
            <w:tcMar>
              <w:top w:type="dxa" w:w="100"/>
              <w:left w:type="dxa" w:w="120"/>
              <w:bottom w:type="dxa" w:w="100"/>
              <w:right w:type="dxa" w:w="120"/>
            </w:tcMar>
            <w:vAlign w:val="center"/>
          </w:tcPr>
          <w:p>
            <w:r>
              <w:rPr>
                <w:b/>
                <w:bCs/>
                <w:color w:val="FFFFFF"/>
                <w:sz w:val="20"/>
                <w:szCs w:val="20"/>
              </w:rPr>
              <w:t xml:space="preserve">En qué consiste</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1. Analizar y arquitectar</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Etapa más temprana: se recibe la contextualización de la necesidad y se define el diseño de arquitectura de alto nivel.</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2. Preparar la solución</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Entendimiento y planeación: refinamientos, análisis de seguridad, diseño técnico, plan de pruebas.</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3. Implementar la solución</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El corazón del proceso: se codifica, se garantiza la calidad y se ejecutan los primeros controles SOX.</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4. Desplegar la solución</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Preparación e instalación en producción, a través de los 3 tipos de despliegue autorizados.</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5. Estabilizar</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Seguimiento post-producción, conectado con gestión de incidentes y de vulnerabilidades.</w:t>
            </w:r>
          </w:p>
        </w:tc>
      </w:tr>
    </w:tbl>
    <w:p>
      <w:pPr>
        <w:pageBreakBefore/>
      </w:pPr>
    </w:p>
    <w:p>
      <w:pPr>
        <w:pStyle w:val="Heading1"/>
        <w:pBdr>
          <w:bottom w:val="single" w:color="1F3864" w:sz="6" w:space="4"/>
        </w:pBdr>
        <w:spacing w:after="200" w:before="400"/>
      </w:pPr>
      <w:r>
        <w:rPr>
          <w:b/>
          <w:bCs/>
          <w:color w:val="1F3864"/>
          <w:sz w:val="30"/>
          <w:szCs w:val="30"/>
        </w:rPr>
        <w:t xml:space="preserve">3. Etapa 1: Analizar y arquitectar la solución</w:t>
      </w:r>
    </w:p>
    <w:p>
      <w:pPr>
        <w:spacing w:after="160" w:line="300"/>
      </w:pPr>
      <w:r>
        <w:rPr>
          <w:color w:val="222222"/>
          <w:sz w:val="22"/>
          <w:szCs w:val="22"/>
        </w:rPr>
        <w:t xml:space="preserve">Participan tres protagonistas: el arquitecto de la solución, el diseñador de ciberseguridad y el analista de integración y datos (antes conocido como analista SOA).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Rol</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Qué entrega</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Arquitecto de la solución</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Diseño de arquitectura de alto nivel (insumo para los otros roles), lidera y registra los Requisitos No Funcionales (RNF), y entrega el diseño de arquitectura detallada — donde se identifican dependencias intra/extra EBC.</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Diseñador de ciberseguridad</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Identifica amenazas y define los controles a implementar: el diseño de ciberseguridad.</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Analista de integración y datos</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Realiza el modelamiento SOA: identifica servicios y APIs que la solución requiere.</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Por qué importa esta etapa</w:t>
            </w:r>
          </w:p>
          <w:p>
            <w:pPr>
              <w:spacing w:after="0" w:line="280"/>
            </w:pPr>
            <w:r>
              <w:rPr>
                <w:color w:val="222222"/>
                <w:sz w:val="21"/>
                <w:szCs w:val="21"/>
              </w:rPr>
              <w:t xml:space="preserve">Aquí se sientan las bases sólidas para que el desarrollo posterior no tenga problemas — es el insumo que permite preparar correctamente la solución en la siguiente etapa.</w:t>
            </w:r>
          </w:p>
        </w:tc>
      </w:tr>
    </w:tbl>
    <w:p>
      <w:pPr>
        <w:pageBreakBefore/>
      </w:pPr>
    </w:p>
    <w:p>
      <w:pPr>
        <w:pStyle w:val="Heading1"/>
        <w:pBdr>
          <w:bottom w:val="single" w:color="1F3864" w:sz="6" w:space="4"/>
        </w:pBdr>
        <w:spacing w:after="200" w:before="400"/>
      </w:pPr>
      <w:r>
        <w:rPr>
          <w:b/>
          <w:bCs/>
          <w:color w:val="1F3864"/>
          <w:sz w:val="30"/>
          <w:szCs w:val="30"/>
        </w:rPr>
        <w:t xml:space="preserve">4. Etapa 2: Preparar la solución</w:t>
      </w:r>
    </w:p>
    <w:p>
      <w:pPr>
        <w:spacing w:after="160" w:line="300"/>
      </w:pPr>
      <w:r>
        <w:rPr>
          <w:color w:val="222222"/>
          <w:sz w:val="22"/>
          <w:szCs w:val="22"/>
        </w:rPr>
        <w:t xml:space="preserve">Corresponde metodológicamente a la estructuración de periodo, planeaciones de Sprint y refinamientos con el dueño de producto (PO).</w:t>
      </w:r>
    </w:p>
    <w:p>
      <w:pPr>
        <w:pStyle w:val="ListParagraph"/>
        <w:numPr>
          <w:ilvl w:val="0"/>
          <w:numId w:val="2"/>
        </w:numPr>
        <w:spacing w:after="90" w:line="280"/>
      </w:pPr>
      <w:r>
        <w:rPr>
          <w:color w:val="222222"/>
          <w:sz w:val="22"/>
          <w:szCs w:val="22"/>
        </w:rPr>
        <w:t xml:space="preserve">Análisis de seguridad de la solución: lo que definió el diseñador de ciberseguridad se convierte en backlog (historia habilitadora), garantizando que los estándares y lineamientos se cumplan.</w:t>
      </w:r>
    </w:p>
    <w:p>
      <w:pPr>
        <w:pStyle w:val="ListParagraph"/>
        <w:numPr>
          <w:ilvl w:val="0"/>
          <w:numId w:val="2"/>
        </w:numPr>
        <w:spacing w:after="90" w:line="280"/>
      </w:pPr>
      <w:r>
        <w:rPr>
          <w:color w:val="222222"/>
          <w:sz w:val="22"/>
          <w:szCs w:val="22"/>
        </w:rPr>
        <w:t xml:space="preserve">Identificación de documentación necesaria cuando aplique: diseño de arquitectura de la solución (si hay impacto arquitectónico) o diseño técnico de la solución (para cambios menores, como un datafix).</w:t>
      </w:r>
    </w:p>
    <w:p>
      <w:pPr>
        <w:pStyle w:val="ListParagraph"/>
        <w:numPr>
          <w:ilvl w:val="0"/>
          <w:numId w:val="2"/>
        </w:numPr>
        <w:spacing w:after="90" w:line="280"/>
      </w:pPr>
      <w:r>
        <w:rPr>
          <w:color w:val="222222"/>
          <w:sz w:val="22"/>
          <w:szCs w:val="22"/>
        </w:rPr>
        <w:t xml:space="preserve">Diseño del plan de pruebas (Test Plan) y estrategia de pruebas.</w:t>
      </w:r>
    </w:p>
    <w:p>
      <w:pPr>
        <w:pStyle w:val="ListParagraph"/>
        <w:numPr>
          <w:ilvl w:val="0"/>
          <w:numId w:val="2"/>
        </w:numPr>
        <w:spacing w:after="90" w:line="280"/>
      </w:pPr>
      <w:r>
        <w:rPr>
          <w:color w:val="222222"/>
          <w:sz w:val="22"/>
          <w:szCs w:val="22"/>
        </w:rPr>
        <w:t xml:space="preserve">Diseño de seguridad, cuando aplique.</w:t>
      </w:r>
    </w:p>
    <w:p>
      <w:pPr>
        <w:pStyle w:val="ListParagraph"/>
        <w:numPr>
          <w:ilvl w:val="0"/>
          <w:numId w:val="2"/>
        </w:numPr>
        <w:spacing w:after="90" w:line="280"/>
      </w:pPr>
      <w:r>
        <w:rPr>
          <w:color w:val="222222"/>
          <w:sz w:val="22"/>
          <w:szCs w:val="22"/>
        </w:rPr>
        <w:t xml:space="preserve">Diseño de los endpoints/documentos si la solución tiene APIs o servicios.</w:t>
      </w:r>
    </w:p>
    <w:p>
      <w:pPr>
        <w:pStyle w:val="ListParagraph"/>
        <w:numPr>
          <w:ilvl w:val="0"/>
          <w:numId w:val="2"/>
        </w:numPr>
        <w:spacing w:after="90" w:line="280"/>
      </w:pPr>
      <w:r>
        <w:rPr>
          <w:color w:val="222222"/>
          <w:sz w:val="22"/>
          <w:szCs w:val="22"/>
        </w:rPr>
        <w:t xml:space="preserve">Se robustece el backlog en Azure DevOps: historias de usuario, historias habilitadoras e issues con criterios de aceptación claros.</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Cómo cierra esta etapa</w:t>
            </w:r>
          </w:p>
          <w:p>
            <w:pPr>
              <w:spacing w:after="0" w:line="280"/>
            </w:pPr>
            <w:r>
              <w:rPr>
                <w:color w:val="222222"/>
                <w:sz w:val="21"/>
                <w:szCs w:val="21"/>
              </w:rPr>
              <w:t xml:space="preserve">Con la priorización de lo que el equipo va a trabajar — acompaña la forma en que el equipo entiende la necesidad, antes de comenzar la construcción.</w:t>
            </w:r>
          </w:p>
        </w:tc>
      </w:tr>
    </w:tbl>
    <w:p>
      <w:pPr>
        <w:pageBreakBefore/>
      </w:pPr>
    </w:p>
    <w:p>
      <w:pPr>
        <w:pStyle w:val="Heading1"/>
        <w:pBdr>
          <w:bottom w:val="single" w:color="1F3864" w:sz="6" w:space="4"/>
        </w:pBdr>
        <w:spacing w:after="200" w:before="400"/>
      </w:pPr>
      <w:r>
        <w:rPr>
          <w:b/>
          <w:bCs/>
          <w:color w:val="1F3864"/>
          <w:sz w:val="30"/>
          <w:szCs w:val="30"/>
        </w:rPr>
        <w:t xml:space="preserve">5. Etapa 3: Implementar la solución — el corazón del proceso</w:t>
      </w:r>
    </w:p>
    <w:p>
      <w:pPr>
        <w:spacing w:after="160" w:line="300"/>
      </w:pPr>
      <w:r>
        <w:rPr>
          <w:color w:val="222222"/>
          <w:sz w:val="22"/>
          <w:szCs w:val="22"/>
        </w:rPr>
        <w:t xml:space="preserve">Es el corazón del proceso por tres razones:</w:t>
      </w:r>
    </w:p>
    <w:p>
      <w:pPr>
        <w:pStyle w:val="ListParagraph"/>
        <w:numPr>
          <w:ilvl w:val="0"/>
          <w:numId w:val="2"/>
        </w:numPr>
        <w:spacing w:after="90" w:line="280"/>
      </w:pPr>
      <w:r>
        <w:rPr>
          <w:color w:val="222222"/>
          <w:sz w:val="22"/>
          <w:szCs w:val="22"/>
        </w:rPr>
        <w:t xml:space="preserve">Se transforma la necesidad en código: aquí se codifica y desarrolla.</w:t>
      </w:r>
    </w:p>
    <w:p>
      <w:pPr>
        <w:pStyle w:val="ListParagraph"/>
        <w:numPr>
          <w:ilvl w:val="0"/>
          <w:numId w:val="2"/>
        </w:numPr>
        <w:spacing w:after="90" w:line="280"/>
      </w:pPr>
      <w:r>
        <w:rPr>
          <w:color w:val="222222"/>
          <w:sz w:val="22"/>
          <w:szCs w:val="22"/>
        </w:rPr>
        <w:t xml:space="preserve">Se garantiza la calidad: es el foco central de esta etapa.</w:t>
      </w:r>
    </w:p>
    <w:p>
      <w:pPr>
        <w:pStyle w:val="ListParagraph"/>
        <w:numPr>
          <w:ilvl w:val="0"/>
          <w:numId w:val="2"/>
        </w:numPr>
        <w:spacing w:after="90" w:line="280"/>
      </w:pPr>
      <w:r>
        <w:rPr>
          <w:color w:val="222222"/>
          <w:sz w:val="22"/>
          <w:szCs w:val="22"/>
        </w:rPr>
        <w:t xml:space="preserve">Se ejecutan los primeros controles SOX: el ambiente de control que da tranquilidad a clientes, usuarios y entes regulatorios.</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Tres prácticas fundamentales de esta etapa</w:t>
            </w:r>
          </w:p>
          <w:p>
            <w:pPr>
              <w:spacing w:after="0" w:line="280"/>
            </w:pPr>
            <w:r>
              <w:rPr>
                <w:color w:val="222222"/>
                <w:sz w:val="21"/>
                <w:szCs w:val="21"/>
              </w:rPr>
              <w:t xml:space="preserve">1) Adopción DevOps. 2) Buenas prácticas de desarrollo (arquitectura de aplicaciones). 3) Prácticas de calidad (testing). A esto se suman las prácticas de SecOps. Las siguientes secciones detallan cada una.</w:t>
            </w:r>
          </w:p>
        </w:tc>
      </w:tr>
    </w:tbl>
    <w:p>
      <w:pPr>
        <w:pageBreakBefore/>
      </w:pPr>
    </w:p>
    <w:p>
      <w:pPr>
        <w:pStyle w:val="Heading1"/>
        <w:pBdr>
          <w:bottom w:val="single" w:color="1F3864" w:sz="6" w:space="4"/>
        </w:pBdr>
        <w:spacing w:after="200" w:before="400"/>
      </w:pPr>
      <w:r>
        <w:rPr>
          <w:b/>
          <w:bCs/>
          <w:color w:val="1F3864"/>
          <w:sz w:val="30"/>
          <w:szCs w:val="30"/>
        </w:rPr>
        <w:t xml:space="preserve">6. Adopción DevOps: los 5 pilares y sus controles</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Qué es DevOps en Bancolombia</w:t>
            </w:r>
          </w:p>
          <w:p>
            <w:pPr>
              <w:spacing w:after="0" w:line="280"/>
            </w:pPr>
            <w:r>
              <w:rPr>
                <w:color w:val="222222"/>
                <w:sz w:val="21"/>
                <w:szCs w:val="21"/>
              </w:rPr>
              <w:t xml:space="preserve">Prácticas que integran desarrollo y operaciones para entregar software de buena calidad de manera continua. Es un modelo transversal presente en todo el ciclo de vida.</w:t>
            </w:r>
          </w:p>
        </w:tc>
      </w:tr>
    </w:tbl>
    <w:p>
      <w:pPr>
        <w:spacing w:after="160"/>
      </w:pPr>
    </w:p>
    <w:p>
      <w:pPr>
        <w:pStyle w:val="Heading2"/>
        <w:spacing w:after="120" w:before="300"/>
      </w:pPr>
      <w:r>
        <w:rPr>
          <w:b/>
          <w:bCs/>
          <w:color w:val="2E5395"/>
          <w:sz w:val="24"/>
          <w:szCs w:val="24"/>
        </w:rPr>
        <w:t xml:space="preserve">Los 3 beneficios de DevOps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3864" w:val="clear"/>
            <w:tcMar>
              <w:top w:type="dxa" w:w="100"/>
              <w:left w:type="dxa" w:w="120"/>
              <w:bottom w:type="dxa" w:w="100"/>
              <w:right w:type="dxa" w:w="120"/>
            </w:tcMar>
            <w:vAlign w:val="center"/>
          </w:tcPr>
          <w:p>
            <w:r>
              <w:rPr>
                <w:b/>
                <w:bCs/>
                <w:color w:val="FFFFFF"/>
                <w:sz w:val="20"/>
                <w:szCs w:val="20"/>
              </w:rPr>
              <w:t xml:space="preserve">Beneficio</w:t>
            </w:r>
          </w:p>
        </w:tc>
        <w:tc>
          <w:tcPr>
            <w:tcW w:type="dxa" w:w="7550"/>
            <w:shd w:fill="1F3864" w:val="clear"/>
            <w:tcMar>
              <w:top w:type="dxa" w:w="100"/>
              <w:left w:type="dxa" w:w="120"/>
              <w:bottom w:type="dxa" w:w="100"/>
              <w:right w:type="dxa" w:w="120"/>
            </w:tcMar>
            <w:vAlign w:val="center"/>
          </w:tcPr>
          <w:p>
            <w:r>
              <w:rPr>
                <w:b/>
                <w:bCs/>
                <w:color w:val="FFFFFF"/>
                <w:sz w:val="20"/>
                <w:szCs w:val="20"/>
              </w:rPr>
              <w:t xml:space="preserve">Qué logra</w:t>
            </w:r>
          </w:p>
        </w:tc>
      </w:tr>
      <w:tr>
        <w:tc>
          <w:tcPr>
            <w:tcW w:type="dxa" w:w="1800"/>
            <w:shd w:fill="F2F2F2" w:val="clear"/>
            <w:tcMar>
              <w:top w:type="dxa" w:w="90"/>
              <w:left w:type="dxa" w:w="120"/>
              <w:bottom w:type="dxa" w:w="90"/>
              <w:right w:type="dxa" w:w="120"/>
            </w:tcMar>
            <w:vAlign w:val="center"/>
          </w:tcPr>
          <w:p>
            <w:pPr>
              <w:spacing w:line="260"/>
            </w:pPr>
            <w:r>
              <w:rPr>
                <w:color w:val="222222"/>
                <w:sz w:val="20"/>
                <w:szCs w:val="20"/>
              </w:rPr>
              <w:t xml:space="preserve">Velocidad</w:t>
            </w:r>
          </w:p>
        </w:tc>
        <w:tc>
          <w:tcPr>
            <w:tcW w:type="dxa" w:w="7550"/>
            <w:shd w:fill="F2F2F2" w:val="clear"/>
            <w:tcMar>
              <w:top w:type="dxa" w:w="90"/>
              <w:left w:type="dxa" w:w="120"/>
              <w:bottom w:type="dxa" w:w="90"/>
              <w:right w:type="dxa" w:w="120"/>
            </w:tcMar>
            <w:vAlign w:val="center"/>
          </w:tcPr>
          <w:p>
            <w:pPr>
              <w:spacing w:line="260"/>
            </w:pPr>
            <w:r>
              <w:rPr>
                <w:color w:val="222222"/>
                <w:sz w:val="20"/>
                <w:szCs w:val="20"/>
              </w:rPr>
              <w:t xml:space="preserve">Reduce el tiempo desde que se genera un cambio hasta que llega a producción.</w:t>
            </w:r>
          </w:p>
        </w:tc>
      </w:tr>
      <w:tr>
        <w:tc>
          <w:tcPr>
            <w:tcW w:type="dxa" w:w="1800"/>
            <w:shd w:fill="FFFFFF" w:val="clear"/>
            <w:tcMar>
              <w:top w:type="dxa" w:w="90"/>
              <w:left w:type="dxa" w:w="120"/>
              <w:bottom w:type="dxa" w:w="90"/>
              <w:right w:type="dxa" w:w="120"/>
            </w:tcMar>
            <w:vAlign w:val="center"/>
          </w:tcPr>
          <w:p>
            <w:pPr>
              <w:spacing w:line="260"/>
            </w:pPr>
            <w:r>
              <w:rPr>
                <w:color w:val="222222"/>
                <w:sz w:val="20"/>
                <w:szCs w:val="20"/>
              </w:rPr>
              <w:t xml:space="preserve">Calidad</w:t>
            </w:r>
          </w:p>
        </w:tc>
        <w:tc>
          <w:tcPr>
            <w:tcW w:type="dxa" w:w="7550"/>
            <w:shd w:fill="FFFFFF" w:val="clear"/>
            <w:tcMar>
              <w:top w:type="dxa" w:w="90"/>
              <w:left w:type="dxa" w:w="120"/>
              <w:bottom w:type="dxa" w:w="90"/>
              <w:right w:type="dxa" w:w="120"/>
            </w:tcMar>
            <w:vAlign w:val="center"/>
          </w:tcPr>
          <w:p>
            <w:pPr>
              <w:spacing w:line="260"/>
            </w:pPr>
            <w:r>
              <w:rPr>
                <w:color w:val="222222"/>
                <w:sz w:val="20"/>
                <w:szCs w:val="20"/>
              </w:rPr>
              <w:t xml:space="preserve">La automatización asegura que los controles obligatorios estén presentes en cada entrega.</w:t>
            </w:r>
          </w:p>
        </w:tc>
      </w:tr>
      <w:tr>
        <w:tc>
          <w:tcPr>
            <w:tcW w:type="dxa" w:w="1800"/>
            <w:shd w:fill="F2F2F2" w:val="clear"/>
            <w:tcMar>
              <w:top w:type="dxa" w:w="90"/>
              <w:left w:type="dxa" w:w="120"/>
              <w:bottom w:type="dxa" w:w="90"/>
              <w:right w:type="dxa" w:w="120"/>
            </w:tcMar>
            <w:vAlign w:val="center"/>
          </w:tcPr>
          <w:p>
            <w:pPr>
              <w:spacing w:line="260"/>
            </w:pPr>
            <w:r>
              <w:rPr>
                <w:color w:val="222222"/>
                <w:sz w:val="20"/>
                <w:szCs w:val="20"/>
              </w:rPr>
              <w:t xml:space="preserve">Trazabilidad</w:t>
            </w:r>
          </w:p>
        </w:tc>
        <w:tc>
          <w:tcPr>
            <w:tcW w:type="dxa" w:w="7550"/>
            <w:shd w:fill="F2F2F2" w:val="clear"/>
            <w:tcMar>
              <w:top w:type="dxa" w:w="90"/>
              <w:left w:type="dxa" w:w="120"/>
              <w:bottom w:type="dxa" w:w="90"/>
              <w:right w:type="dxa" w:w="120"/>
            </w:tcMar>
            <w:vAlign w:val="center"/>
          </w:tcPr>
          <w:p>
            <w:pPr>
              <w:spacing w:line="260"/>
            </w:pPr>
            <w:r>
              <w:rPr>
                <w:color w:val="222222"/>
                <w:sz w:val="20"/>
                <w:szCs w:val="20"/>
              </w:rPr>
              <w:t xml:space="preserve">Se tiene desde que inicia el código hasta que se despliega, cumpliendo las estrategias SOX.</w:t>
            </w:r>
          </w:p>
        </w:tc>
      </w:tr>
    </w:tbl>
    <w:p>
      <w:pPr>
        <w:spacing w:after="200"/>
      </w:pPr>
    </w:p>
    <w:p>
      <w:pPr>
        <w:pStyle w:val="Heading2"/>
        <w:spacing w:after="120" w:before="300"/>
      </w:pPr>
      <w:r>
        <w:rPr>
          <w:b/>
          <w:bCs/>
          <w:color w:val="2E5395"/>
          <w:sz w:val="24"/>
          <w:szCs w:val="24"/>
        </w:rPr>
        <w:t xml:space="preserve">Los 5 pilares de DevOps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Pilar</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Qué cubre</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Continuous Integration (CI)</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Pipeline que compila, analiza y publica artefactos automáticamente.</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Continuous Testing</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Pruebas unitarias y análisis estático de código dentro del pipeline.</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Despliegue Continuo</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Automatización de despliegues a los diferentes ambientes.</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Release Management</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Cómo se promueven los cambios entre ambientes.</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Configuration Management</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Rastreo de cambios: repositorios, estrategias de branching, dependencias y versiones.</w:t>
            </w:r>
          </w:p>
        </w:tc>
      </w:tr>
    </w:tbl>
    <w:p>
      <w:pPr>
        <w:spacing w:after="200"/>
      </w:pPr>
    </w:p>
    <w:p>
      <w:pPr>
        <w:pStyle w:val="Heading2"/>
        <w:spacing w:after="120" w:before="300"/>
      </w:pPr>
      <w:r>
        <w:rPr>
          <w:b/>
          <w:bCs/>
          <w:color w:val="2E5395"/>
          <w:sz w:val="24"/>
          <w:szCs w:val="24"/>
        </w:rPr>
        <w:t xml:space="preserve">Los 4 controles clave (bloqueantes)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Control</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Dónde actúa</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DevOps Validation</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Informativo en el pipeline de Build; obligatorio y restrictivo en el stage "Create CRQ" del pipeline de Release. Verifica que se cumplan todas las prácticas obligatorias del equipo.</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Fechas especiales</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Bloquea despliegues a producción durante ventanas de "freeze" o fechas restringidas, en el pipeline de Release.</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Quality Gates</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Archivo con umbrales obligatorios para el análisis estático de código — compartido con el equipo de Prácticas de Desarrollo.</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Pull Request (PR)</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Ver detalle a continuación.</w:t>
            </w:r>
          </w:p>
        </w:tc>
      </w:tr>
    </w:tbl>
    <w:p>
      <w:pPr>
        <w:spacing w:after="200"/>
      </w:pPr>
    </w:p>
    <w:p>
      <w:pPr>
        <w:pStyle w:val="Heading2"/>
        <w:spacing w:after="120" w:before="300"/>
      </w:pPr>
      <w:r>
        <w:rPr>
          <w:b/>
          <w:bCs/>
          <w:color w:val="2E5395"/>
          <w:sz w:val="24"/>
          <w:szCs w:val="24"/>
        </w:rPr>
        <w:t xml:space="preserve">Políticas obligatorias del Pull Request</w:t>
      </w:r>
    </w:p>
    <w:p>
      <w:pPr>
        <w:pStyle w:val="ListParagraph"/>
        <w:numPr>
          <w:ilvl w:val="0"/>
          <w:numId w:val="2"/>
        </w:numPr>
        <w:spacing w:after="90" w:line="280"/>
      </w:pPr>
      <w:r>
        <w:rPr>
          <w:color w:val="222222"/>
          <w:sz w:val="22"/>
          <w:szCs w:val="22"/>
        </w:rPr>
        <w:t xml:space="preserve">Mínimo un aprobador, responsable de revisar todo el cambio.</w:t>
      </w:r>
    </w:p>
    <w:p>
      <w:pPr>
        <w:pStyle w:val="ListParagraph"/>
        <w:numPr>
          <w:ilvl w:val="0"/>
          <w:numId w:val="2"/>
        </w:numPr>
        <w:spacing w:after="90" w:line="280"/>
      </w:pPr>
      <w:r>
        <w:rPr>
          <w:color w:val="222222"/>
          <w:sz w:val="22"/>
          <w:szCs w:val="22"/>
        </w:rPr>
        <w:t xml:space="preserve">Pipeline de CI ejecutado exitosamente.</w:t>
      </w:r>
    </w:p>
    <w:p>
      <w:pPr>
        <w:pStyle w:val="ListParagraph"/>
        <w:numPr>
          <w:ilvl w:val="0"/>
          <w:numId w:val="2"/>
        </w:numPr>
        <w:spacing w:after="90" w:line="280"/>
      </w:pPr>
      <w:r>
        <w:rPr>
          <w:color w:val="222222"/>
          <w:sz w:val="22"/>
          <w:szCs w:val="22"/>
        </w:rPr>
        <w:t xml:space="preserve">Work items permitidos: historia de usuario, habilitador, incidente.</w:t>
      </w:r>
    </w:p>
    <w:p>
      <w:pPr>
        <w:pStyle w:val="ListParagraph"/>
        <w:numPr>
          <w:ilvl w:val="0"/>
          <w:numId w:val="2"/>
        </w:numPr>
        <w:spacing w:after="90" w:line="280"/>
      </w:pPr>
      <w:r>
        <w:rPr>
          <w:color w:val="222222"/>
          <w:sz w:val="22"/>
          <w:szCs w:val="22"/>
        </w:rPr>
        <w:t xml:space="preserve">Todos los comentarios del PR deben quedar resueltos antes de completar el merge.</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GitFlow: la estrategia de ramas</w:t>
            </w:r>
          </w:p>
          <w:p>
            <w:pPr>
              <w:spacing w:after="0" w:line="280"/>
            </w:pPr>
            <w:r>
              <w:rPr>
                <w:color w:val="222222"/>
                <w:sz w:val="21"/>
                <w:szCs w:val="21"/>
              </w:rPr>
              <w:t xml:space="preserve">Cada integración a una rama requiere un Pull Request: de Feature a Develop, y de Develop a Release/Master. Esta estrategia representa los distintos ambientes (desarrollo, certificación, producción). No se permite el push directo a ramas protegidas.</w:t>
            </w:r>
          </w:p>
        </w:tc>
      </w:tr>
    </w:tbl>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Métricas DevOps (DORA)</w:t>
            </w:r>
          </w:p>
          <w:p>
            <w:pPr>
              <w:spacing w:after="0" w:line="280"/>
            </w:pPr>
            <w:r>
              <w:rPr>
                <w:color w:val="222222"/>
                <w:sz w:val="21"/>
                <w:szCs w:val="21"/>
              </w:rPr>
              <w:t xml:space="preserve">Lead Time (desde que se crea la historia hasta que se entrega exitosamente a producción), Deployment Frequency (frecuencia de despliegues exitosos), Change Failure Rate (% de errores que requieren rollback) y Process Time (tiempo real de flujo sin esperas). Se calculan con base en el código de aplicación en la CMDB, los estándares de nombramiento y las historias relacionadas en los PRs.</w:t>
            </w:r>
          </w:p>
        </w:tc>
      </w:tr>
    </w:tbl>
    <w:p>
      <w:pPr>
        <w:pageBreakBefore/>
      </w:pPr>
    </w:p>
    <w:p>
      <w:pPr>
        <w:pStyle w:val="Heading1"/>
        <w:pBdr>
          <w:bottom w:val="single" w:color="1F3864" w:sz="6" w:space="4"/>
        </w:pBdr>
        <w:spacing w:after="200" w:before="400"/>
      </w:pPr>
      <w:r>
        <w:rPr>
          <w:b/>
          <w:bCs/>
          <w:color w:val="1F3864"/>
          <w:sz w:val="30"/>
          <w:szCs w:val="30"/>
        </w:rPr>
        <w:t xml:space="preserve">7. Prácticas de arquitectura: confiabilidad, responsividad y costo-eficiencia</w:t>
      </w:r>
    </w:p>
    <w:p>
      <w:pPr>
        <w:spacing w:after="160" w:line="300"/>
      </w:pPr>
      <w:r>
        <w:rPr>
          <w:color w:val="222222"/>
          <w:sz w:val="22"/>
          <w:szCs w:val="22"/>
        </w:rPr>
        <w:t xml:space="preserve">El objetivo es construir aplicaciones que cumplan 3 valores: confiables, responsivas y costo-eficientes.</w:t>
      </w:r>
    </w:p>
    <w:p>
      <w:pPr>
        <w:pStyle w:val="Heading2"/>
        <w:spacing w:after="120" w:before="300"/>
      </w:pPr>
      <w:r>
        <w:rPr>
          <w:b/>
          <w:bCs/>
          <w:color w:val="2E5395"/>
          <w:sz w:val="24"/>
          <w:szCs w:val="24"/>
        </w:rPr>
        <w:t xml:space="preserve">Confiabilidad</w:t>
      </w:r>
    </w:p>
    <w:p>
      <w:pPr>
        <w:spacing w:after="160" w:line="300"/>
      </w:pPr>
      <w:r>
        <w:rPr>
          <w:color w:val="222222"/>
          <w:sz w:val="22"/>
          <w:szCs w:val="22"/>
        </w:rPr>
        <w:t xml:space="preserve">Una aplicación confiable tiene: alta seguridad (protegida de actores maliciosos), disponibilidad continua sin interrupciones, y respuestas siempre correctas y consistentes.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Práctica</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Qué garantiza</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Autenticación y autorización</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Define quién puede acceder a la información y rechaza el acceso a quien no tiene el rol adecuado.</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Manejo de información sensible</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Credenciales y llaves deben gestionarse en ubicaciones específicas con control de acceso.</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Timeout de HTTP</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Configura un tiempo de espera máximo para no saturar el sistema si otro componente responde lento.</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Circuit Breaker</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Aísla un componente de las fallas de otro al que llama, evitando el "efecto bola de nieve".</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Health check</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Monitoreo constante de la salud de los componentes para tomar acciones tempranas.</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Idempotencia</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Una operación repetida (identificada con un ID único) siempre da el mismo resultado — clave para proteger, por ejemplo, transferencias de fondos.</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Event-driven (arquitectura orientada a eventos)</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Permite que componentes desacoplados se comuniquen de forma asíncrona mediante producción y consumo de eventos.</w:t>
            </w:r>
          </w:p>
        </w:tc>
      </w:tr>
    </w:tbl>
    <w:p>
      <w:pPr>
        <w:spacing w:after="200"/>
      </w:pPr>
    </w:p>
    <w:p>
      <w:pPr>
        <w:pStyle w:val="Heading2"/>
        <w:spacing w:after="120" w:before="300"/>
      </w:pPr>
      <w:r>
        <w:rPr>
          <w:b/>
          <w:bCs/>
          <w:color w:val="2E5395"/>
          <w:sz w:val="24"/>
          <w:szCs w:val="24"/>
        </w:rPr>
        <w:t xml:space="preserve">Responsividad</w:t>
      </w:r>
    </w:p>
    <w:p>
      <w:pPr>
        <w:spacing w:after="160" w:line="300"/>
      </w:pPr>
      <w:r>
        <w:rPr>
          <w:color w:val="222222"/>
          <w:sz w:val="22"/>
          <w:szCs w:val="22"/>
        </w:rPr>
        <w:t xml:space="preserve">Un sistema responsivo responde rápido y de forma consistente, sin importar la demanda del momento (picos de día, semana o mes).</w:t>
      </w:r>
    </w:p>
    <w:p>
      <w:pPr>
        <w:pStyle w:val="ListParagraph"/>
        <w:numPr>
          <w:ilvl w:val="0"/>
          <w:numId w:val="2"/>
        </w:numPr>
        <w:spacing w:after="90" w:line="280"/>
      </w:pPr>
      <w:r>
        <w:rPr>
          <w:color w:val="222222"/>
          <w:sz w:val="22"/>
          <w:szCs w:val="22"/>
        </w:rPr>
        <w:t xml:space="preserve">Horizontal Auto Scaling: para aplicaciones elásticas/contenerizadas — el número de instancias crece o decrece según la demanda.</w:t>
      </w:r>
    </w:p>
    <w:p>
      <w:pPr>
        <w:pStyle w:val="ListParagraph"/>
        <w:numPr>
          <w:ilvl w:val="0"/>
          <w:numId w:val="2"/>
        </w:numPr>
        <w:spacing w:after="90" w:line="280"/>
      </w:pPr>
      <w:r>
        <w:rPr>
          <w:color w:val="222222"/>
          <w:sz w:val="22"/>
          <w:szCs w:val="22"/>
        </w:rPr>
        <w:t xml:space="preserve">Caché: almacenamiento rápido para información de uso frecuente, evitando ir siempre a la base de datos.</w:t>
      </w:r>
    </w:p>
    <w:p>
      <w:pPr>
        <w:spacing w:after="160"/>
      </w:pPr>
    </w:p>
    <w:p>
      <w:pPr>
        <w:pStyle w:val="Heading2"/>
        <w:spacing w:after="120" w:before="300"/>
      </w:pPr>
      <w:r>
        <w:rPr>
          <w:b/>
          <w:bCs/>
          <w:color w:val="2E5395"/>
          <w:sz w:val="24"/>
          <w:szCs w:val="24"/>
        </w:rPr>
        <w:t xml:space="preserve">Costo-eficiencia</w:t>
      </w:r>
    </w:p>
    <w:p>
      <w:pPr>
        <w:spacing w:after="160" w:line="300"/>
      </w:pPr>
      <w:r>
        <w:rPr>
          <w:color w:val="222222"/>
          <w:sz w:val="22"/>
          <w:szCs w:val="22"/>
        </w:rPr>
        <w:t xml:space="preserve">El sistema debe ser previsible en su evolución (no volverse más lento al crecer), extensible (fácil de modificar para cualquier desarrollador que llegue al equipo) y eficiente en el uso de recursos (CPU, memoria).</w:t>
      </w:r>
    </w:p>
    <w:p>
      <w:pPr>
        <w:pStyle w:val="ListParagraph"/>
        <w:numPr>
          <w:ilvl w:val="0"/>
          <w:numId w:val="2"/>
        </w:numPr>
        <w:spacing w:after="90" w:line="280"/>
      </w:pPr>
      <w:r>
        <w:rPr>
          <w:color w:val="222222"/>
          <w:sz w:val="22"/>
          <w:szCs w:val="22"/>
        </w:rPr>
        <w:t xml:space="preserve">Sistema de diseño (Design System): fuente única de verdad con componentes de UI reutilizables — consistencia de marca y eficiencia entre canales.</w:t>
      </w:r>
    </w:p>
    <w:p>
      <w:pPr>
        <w:pStyle w:val="ListParagraph"/>
        <w:numPr>
          <w:ilvl w:val="0"/>
          <w:numId w:val="2"/>
        </w:numPr>
        <w:spacing w:after="90" w:line="280"/>
      </w:pPr>
      <w:r>
        <w:rPr>
          <w:color w:val="222222"/>
          <w:sz w:val="22"/>
          <w:szCs w:val="22"/>
        </w:rPr>
        <w:t xml:space="preserve">Feature flags: switches para activar/desactivar funcionalidades sin redesplegar la aplicación.</w:t>
      </w:r>
    </w:p>
    <w:p>
      <w:pPr>
        <w:pStyle w:val="ListParagraph"/>
        <w:numPr>
          <w:ilvl w:val="0"/>
          <w:numId w:val="2"/>
        </w:numPr>
        <w:spacing w:after="90" w:line="280"/>
      </w:pPr>
      <w:r>
        <w:rPr>
          <w:color w:val="222222"/>
          <w:sz w:val="22"/>
          <w:szCs w:val="22"/>
        </w:rPr>
        <w:t xml:space="preserve">Clean Architecture: aísla la lógica de negocio de la infraestructura y los frameworks, para que cambios técnicos no afecten el dominio del negocio.</w:t>
      </w:r>
    </w:p>
    <w:p>
      <w:pPr>
        <w:pageBreakBefore/>
      </w:pPr>
    </w:p>
    <w:p>
      <w:pPr>
        <w:pStyle w:val="Heading1"/>
        <w:pBdr>
          <w:bottom w:val="single" w:color="1F3864" w:sz="6" w:space="4"/>
        </w:pBdr>
        <w:spacing w:after="200" w:before="400"/>
      </w:pPr>
      <w:r>
        <w:rPr>
          <w:b/>
          <w:bCs/>
          <w:color w:val="1F3864"/>
          <w:sz w:val="30"/>
          <w:szCs w:val="30"/>
        </w:rPr>
        <w:t xml:space="preserve">8. Prácticas de calidad: testing basado en riesgo</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El enfoque</w:t>
            </w:r>
          </w:p>
          <w:p>
            <w:pPr>
              <w:spacing w:after="0" w:line="280"/>
            </w:pPr>
            <w:r>
              <w:rPr>
                <w:color w:val="222222"/>
                <w:sz w:val="21"/>
                <w:szCs w:val="21"/>
              </w:rPr>
              <w:t xml:space="preserve">El Banco usa un modelo de pruebas basado en riesgos: se entiende el contexto (funcional y técnico), se identifican los riesgos asociados, y se califican por impacto y probabilidad de ocurrencia.</w:t>
            </w:r>
          </w:p>
        </w:tc>
      </w:tr>
    </w:tbl>
    <w:p>
      <w:pPr>
        <w:spacing w:after="160"/>
      </w:pPr>
    </w:p>
    <w:p>
      <w:pPr>
        <w:spacing w:after="160" w:line="300"/>
      </w:pPr>
      <w:r>
        <w:rPr>
          <w:color w:val="222222"/>
          <w:sz w:val="22"/>
          <w:szCs w:val="22"/>
        </w:rPr>
        <w:t xml:space="preserve">La redacción del riesgo sigue el formato: probabilidad de que ocurra un suceso + lo que podría ocasionar. Estos riesgos se documentan en el Test Plan y se socializan con todo el equipo (desarrollo, PO e interesados) — NO se incluyen riesgos de proyecto (cronograma, disponibilidad de personas), solo riesgos funcionales y técnicos.</w:t>
      </w:r>
    </w:p>
    <w:p>
      <w:pPr>
        <w:spacing w:after="160"/>
      </w:pPr>
    </w:p>
    <w:p>
      <w:pPr>
        <w:pStyle w:val="Heading2"/>
        <w:spacing w:after="120" w:before="300"/>
      </w:pPr>
      <w:r>
        <w:rPr>
          <w:b/>
          <w:bCs/>
          <w:color w:val="2E5395"/>
          <w:sz w:val="24"/>
          <w:szCs w:val="24"/>
        </w:rPr>
        <w:t xml:space="preserve">La pirámide de pruebas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50"/>
      </w:tblGrid>
      <w:tr>
        <w:trPr>
          <w:tblHeader/>
        </w:trPr>
        <w:tc>
          <w:tcPr>
            <w:tcW w:type="dxa" w:w="1700"/>
            <w:shd w:fill="1F3864" w:val="clear"/>
            <w:tcMar>
              <w:top w:type="dxa" w:w="100"/>
              <w:left w:type="dxa" w:w="120"/>
              <w:bottom w:type="dxa" w:w="100"/>
              <w:right w:type="dxa" w:w="120"/>
            </w:tcMar>
            <w:vAlign w:val="center"/>
          </w:tcPr>
          <w:p>
            <w:r>
              <w:rPr>
                <w:b/>
                <w:bCs/>
                <w:color w:val="FFFFFF"/>
                <w:sz w:val="20"/>
                <w:szCs w:val="20"/>
              </w:rPr>
              <w:t xml:space="preserve">Nivel</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Tipo de prueba</w:t>
            </w:r>
          </w:p>
        </w:tc>
        <w:tc>
          <w:tcPr>
            <w:tcW w:type="dxa" w:w="5050"/>
            <w:shd w:fill="1F3864" w:val="clear"/>
            <w:tcMar>
              <w:top w:type="dxa" w:w="100"/>
              <w:left w:type="dxa" w:w="120"/>
              <w:bottom w:type="dxa" w:w="100"/>
              <w:right w:type="dxa" w:w="120"/>
            </w:tcMar>
            <w:vAlign w:val="center"/>
          </w:tcPr>
          <w:p>
            <w:r>
              <w:rPr>
                <w:b/>
                <w:bCs/>
                <w:color w:val="FFFFFF"/>
                <w:sz w:val="20"/>
                <w:szCs w:val="20"/>
              </w:rPr>
              <w:t xml:space="preserve">Detalle</w:t>
            </w:r>
          </w:p>
        </w:tc>
      </w:tr>
      <w:tr>
        <w:tc>
          <w:tcPr>
            <w:tcW w:type="dxa" w:w="1700"/>
            <w:shd w:fill="F2F2F2" w:val="clear"/>
            <w:tcMar>
              <w:top w:type="dxa" w:w="90"/>
              <w:left w:type="dxa" w:w="120"/>
              <w:bottom w:type="dxa" w:w="90"/>
              <w:right w:type="dxa" w:w="120"/>
            </w:tcMar>
            <w:vAlign w:val="center"/>
          </w:tcPr>
          <w:p>
            <w:pPr>
              <w:spacing w:line="260"/>
            </w:pPr>
            <w:r>
              <w:rPr>
                <w:color w:val="222222"/>
                <w:sz w:val="20"/>
                <w:szCs w:val="20"/>
              </w:rPr>
              <w:t xml:space="preserve">Base (mayor cobertura)</w:t>
            </w:r>
          </w:p>
        </w:tc>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Pruebas unitarias</w:t>
            </w:r>
          </w:p>
        </w:tc>
        <w:tc>
          <w:tcPr>
            <w:tcW w:type="dxa" w:w="5050"/>
            <w:shd w:fill="F2F2F2" w:val="clear"/>
            <w:tcMar>
              <w:top w:type="dxa" w:w="90"/>
              <w:left w:type="dxa" w:w="120"/>
              <w:bottom w:type="dxa" w:w="90"/>
              <w:right w:type="dxa" w:w="120"/>
            </w:tcMar>
            <w:vAlign w:val="center"/>
          </w:tcPr>
          <w:p>
            <w:pPr>
              <w:spacing w:line="260"/>
            </w:pPr>
            <w:r>
              <w:rPr>
                <w:color w:val="222222"/>
                <w:sz w:val="20"/>
                <w:szCs w:val="20"/>
              </w:rPr>
              <w:t xml:space="preserve">A cargo del equipo de desarrollo. Frameworks según lenguaje (JUnit para Java, PyTest para Python). Medidas en Sonar.</w:t>
            </w:r>
          </w:p>
        </w:tc>
      </w:tr>
      <w:tr>
        <w:tc>
          <w:tcPr>
            <w:tcW w:type="dxa" w:w="1700"/>
            <w:shd w:fill="FFFFFF" w:val="clear"/>
            <w:tcMar>
              <w:top w:type="dxa" w:w="90"/>
              <w:left w:type="dxa" w:w="120"/>
              <w:bottom w:type="dxa" w:w="90"/>
              <w:right w:type="dxa" w:w="120"/>
            </w:tcMar>
            <w:vAlign w:val="center"/>
          </w:tcPr>
          <w:p>
            <w:pPr>
              <w:spacing w:line="260"/>
            </w:pPr>
            <w:r>
              <w:rPr>
                <w:color w:val="222222"/>
                <w:sz w:val="20"/>
                <w:szCs w:val="20"/>
              </w:rPr>
              <w:t xml:space="preserve">Base</w:t>
            </w:r>
          </w:p>
        </w:tc>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Mutation Testing</w:t>
            </w:r>
          </w:p>
        </w:tc>
        <w:tc>
          <w:tcPr>
            <w:tcW w:type="dxa" w:w="5050"/>
            <w:shd w:fill="FFFFFF" w:val="clear"/>
            <w:tcMar>
              <w:top w:type="dxa" w:w="90"/>
              <w:left w:type="dxa" w:w="120"/>
              <w:bottom w:type="dxa" w:w="90"/>
              <w:right w:type="dxa" w:w="120"/>
            </w:tcMar>
            <w:vAlign w:val="center"/>
          </w:tcPr>
          <w:p>
            <w:pPr>
              <w:spacing w:line="260"/>
            </w:pPr>
            <w:r>
              <w:rPr>
                <w:color w:val="222222"/>
                <w:sz w:val="20"/>
                <w:szCs w:val="20"/>
              </w:rPr>
              <w:t xml:space="preserve">Solo para Java, con la librería PITest — identifica brechas de calidad en las pruebas mismas.</w:t>
            </w:r>
          </w:p>
        </w:tc>
      </w:tr>
      <w:tr>
        <w:tc>
          <w:tcPr>
            <w:tcW w:type="dxa" w:w="1700"/>
            <w:shd w:fill="F2F2F2" w:val="clear"/>
            <w:tcMar>
              <w:top w:type="dxa" w:w="90"/>
              <w:left w:type="dxa" w:w="120"/>
              <w:bottom w:type="dxa" w:w="90"/>
              <w:right w:type="dxa" w:w="120"/>
            </w:tcMar>
            <w:vAlign w:val="center"/>
          </w:tcPr>
          <w:p>
            <w:pPr>
              <w:spacing w:line="260"/>
            </w:pPr>
            <w:r>
              <w:rPr>
                <w:color w:val="222222"/>
                <w:sz w:val="20"/>
                <w:szCs w:val="20"/>
              </w:rPr>
              <w:t xml:space="preserve">Base</w:t>
            </w:r>
          </w:p>
        </w:tc>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Reglas de performance en Sonar</w:t>
            </w:r>
          </w:p>
        </w:tc>
        <w:tc>
          <w:tcPr>
            <w:tcW w:type="dxa" w:w="5050"/>
            <w:shd w:fill="F2F2F2" w:val="clear"/>
            <w:tcMar>
              <w:top w:type="dxa" w:w="90"/>
              <w:left w:type="dxa" w:w="120"/>
              <w:bottom w:type="dxa" w:w="90"/>
              <w:right w:type="dxa" w:w="120"/>
            </w:tcMar>
            <w:vAlign w:val="center"/>
          </w:tcPr>
          <w:p>
            <w:pPr>
              <w:spacing w:line="260"/>
            </w:pPr>
            <w:r>
              <w:rPr>
                <w:color w:val="222222"/>
                <w:sz w:val="20"/>
                <w:szCs w:val="20"/>
              </w:rPr>
              <w:t xml:space="preserve">Detecta posibles brechas de rendimiento a nivel de código fuente.</w:t>
            </w:r>
          </w:p>
        </w:tc>
      </w:tr>
      <w:tr>
        <w:tc>
          <w:tcPr>
            <w:tcW w:type="dxa" w:w="1700"/>
            <w:shd w:fill="FFFFFF" w:val="clear"/>
            <w:tcMar>
              <w:top w:type="dxa" w:w="90"/>
              <w:left w:type="dxa" w:w="120"/>
              <w:bottom w:type="dxa" w:w="90"/>
              <w:right w:type="dxa" w:w="120"/>
            </w:tcMar>
            <w:vAlign w:val="center"/>
          </w:tcPr>
          <w:p>
            <w:pPr>
              <w:spacing w:line="260"/>
            </w:pPr>
            <w:r>
              <w:rPr>
                <w:color w:val="222222"/>
                <w:sz w:val="20"/>
                <w:szCs w:val="20"/>
              </w:rPr>
              <w:t xml:space="preserve">Media (aceptación/integración)</w:t>
            </w:r>
          </w:p>
        </w:tc>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Pruebas de aceptación funcionales</w:t>
            </w:r>
          </w:p>
        </w:tc>
        <w:tc>
          <w:tcPr>
            <w:tcW w:type="dxa" w:w="5050"/>
            <w:shd w:fill="FFFFFF" w:val="clear"/>
            <w:tcMar>
              <w:top w:type="dxa" w:w="90"/>
              <w:left w:type="dxa" w:w="120"/>
              <w:bottom w:type="dxa" w:w="90"/>
              <w:right w:type="dxa" w:w="120"/>
            </w:tcMar>
            <w:vAlign w:val="center"/>
          </w:tcPr>
          <w:p>
            <w:pPr>
              <w:spacing w:line="260"/>
            </w:pPr>
            <w:r>
              <w:rPr>
                <w:color w:val="222222"/>
                <w:sz w:val="20"/>
                <w:szCs w:val="20"/>
              </w:rPr>
              <w:t xml:space="preserve">A cargo del desarrollador o rol QA. Frameworks: Serenity, RestAssured, Playwright, Robot Framework.</w:t>
            </w:r>
          </w:p>
        </w:tc>
      </w:tr>
      <w:tr>
        <w:tc>
          <w:tcPr>
            <w:tcW w:type="dxa" w:w="1700"/>
            <w:shd w:fill="F2F2F2" w:val="clear"/>
            <w:tcMar>
              <w:top w:type="dxa" w:w="90"/>
              <w:left w:type="dxa" w:w="120"/>
              <w:bottom w:type="dxa" w:w="90"/>
              <w:right w:type="dxa" w:w="120"/>
            </w:tcMar>
            <w:vAlign w:val="center"/>
          </w:tcPr>
          <w:p>
            <w:pPr>
              <w:spacing w:line="260"/>
            </w:pPr>
            <w:r>
              <w:rPr>
                <w:color w:val="222222"/>
                <w:sz w:val="20"/>
                <w:szCs w:val="20"/>
              </w:rPr>
              <w:t xml:space="preserve">Media</w:t>
            </w:r>
          </w:p>
        </w:tc>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Pruebas de performance modulares</w:t>
            </w:r>
          </w:p>
        </w:tc>
        <w:tc>
          <w:tcPr>
            <w:tcW w:type="dxa" w:w="5050"/>
            <w:shd w:fill="F2F2F2" w:val="clear"/>
            <w:tcMar>
              <w:top w:type="dxa" w:w="90"/>
              <w:left w:type="dxa" w:w="120"/>
              <w:bottom w:type="dxa" w:w="90"/>
              <w:right w:type="dxa" w:w="120"/>
            </w:tcMar>
            <w:vAlign w:val="center"/>
          </w:tcPr>
          <w:p>
            <w:pPr>
              <w:spacing w:line="260"/>
            </w:pPr>
            <w:r>
              <w:rPr>
                <w:color w:val="222222"/>
                <w:sz w:val="20"/>
                <w:szCs w:val="20"/>
              </w:rPr>
              <w:t xml:space="preserve">Herramienta oficial: JMeter.</w:t>
            </w:r>
          </w:p>
        </w:tc>
      </w:tr>
      <w:tr>
        <w:tc>
          <w:tcPr>
            <w:tcW w:type="dxa" w:w="1700"/>
            <w:shd w:fill="FFFFFF" w:val="clear"/>
            <w:tcMar>
              <w:top w:type="dxa" w:w="90"/>
              <w:left w:type="dxa" w:w="120"/>
              <w:bottom w:type="dxa" w:w="90"/>
              <w:right w:type="dxa" w:w="120"/>
            </w:tcMar>
            <w:vAlign w:val="center"/>
          </w:tcPr>
          <w:p>
            <w:pPr>
              <w:spacing w:line="260"/>
            </w:pPr>
            <w:r>
              <w:rPr>
                <w:color w:val="222222"/>
                <w:sz w:val="20"/>
                <w:szCs w:val="20"/>
              </w:rPr>
              <w:t xml:space="preserve">UI (opcional)</w:t>
            </w:r>
          </w:p>
        </w:tc>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Usabilidad y accesibilidad</w:t>
            </w:r>
          </w:p>
        </w:tc>
        <w:tc>
          <w:tcPr>
            <w:tcW w:type="dxa" w:w="5050"/>
            <w:shd w:fill="FFFFFF" w:val="clear"/>
            <w:tcMar>
              <w:top w:type="dxa" w:w="90"/>
              <w:left w:type="dxa" w:w="120"/>
              <w:bottom w:type="dxa" w:w="90"/>
              <w:right w:type="dxa" w:w="120"/>
            </w:tcMar>
            <w:vAlign w:val="center"/>
          </w:tcPr>
          <w:p>
            <w:pPr>
              <w:spacing w:line="260"/>
            </w:pPr>
            <w:r>
              <w:rPr>
                <w:color w:val="222222"/>
                <w:sz w:val="20"/>
                <w:szCs w:val="20"/>
              </w:rPr>
              <w:t xml:space="preserve">Pruebas manuales con herramientas específicas para web y mobile — no aplican a todos los equipos (ej. integración).</w:t>
            </w:r>
          </w:p>
        </w:tc>
      </w:tr>
      <w:tr>
        <w:tc>
          <w:tcPr>
            <w:tcW w:type="dxa" w:w="1700"/>
            <w:shd w:fill="F2F2F2" w:val="clear"/>
            <w:tcMar>
              <w:top w:type="dxa" w:w="90"/>
              <w:left w:type="dxa" w:w="120"/>
              <w:bottom w:type="dxa" w:w="90"/>
              <w:right w:type="dxa" w:w="120"/>
            </w:tcMar>
            <w:vAlign w:val="center"/>
          </w:tcPr>
          <w:p>
            <w:pPr>
              <w:spacing w:line="260"/>
            </w:pPr>
            <w:r>
              <w:rPr>
                <w:color w:val="222222"/>
                <w:sz w:val="20"/>
                <w:szCs w:val="20"/>
              </w:rPr>
              <w:t xml:space="preserve">Cúspide (menor cobertura, más crítico)</w:t>
            </w:r>
          </w:p>
        </w:tc>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Pruebas End-to-End (E2E)</w:t>
            </w:r>
          </w:p>
        </w:tc>
        <w:tc>
          <w:tcPr>
            <w:tcW w:type="dxa" w:w="5050"/>
            <w:shd w:fill="F2F2F2" w:val="clear"/>
            <w:tcMar>
              <w:top w:type="dxa" w:w="90"/>
              <w:left w:type="dxa" w:w="120"/>
              <w:bottom w:type="dxa" w:w="90"/>
              <w:right w:type="dxa" w:w="120"/>
            </w:tcMar>
            <w:vAlign w:val="center"/>
          </w:tcPr>
          <w:p>
            <w:pPr>
              <w:spacing w:line="260"/>
            </w:pPr>
            <w:r>
              <w:rPr>
                <w:color w:val="222222"/>
                <w:sz w:val="20"/>
                <w:szCs w:val="20"/>
              </w:rPr>
              <w:t xml:space="preserve">Foco en flujos críticos de negocio. Funcionales: Serenity BDD. Performance: JMeter + SiteSpeed. Mobile: Appium.</w:t>
            </w:r>
          </w:p>
        </w:tc>
      </w:tr>
    </w:tbl>
    <w:p>
      <w:pPr>
        <w:spacing w:after="200"/>
      </w:pPr>
    </w:p>
    <w:p>
      <w:pPr>
        <w:pStyle w:val="Heading2"/>
        <w:spacing w:after="120" w:before="300"/>
      </w:pPr>
      <w:r>
        <w:rPr>
          <w:b/>
          <w:bCs/>
          <w:color w:val="2E5395"/>
          <w:sz w:val="24"/>
          <w:szCs w:val="24"/>
        </w:rPr>
        <w:t xml:space="preserve">Las 5 etapas de ejecución de pruebas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shd w:fill="1F3864" w:val="clear"/>
            <w:tcMar>
              <w:top w:type="dxa" w:w="100"/>
              <w:left w:type="dxa" w:w="120"/>
              <w:bottom w:type="dxa" w:w="100"/>
              <w:right w:type="dxa" w:w="120"/>
            </w:tcMar>
            <w:vAlign w:val="center"/>
          </w:tcPr>
          <w:p>
            <w:r>
              <w:rPr>
                <w:b/>
                <w:bCs/>
                <w:color w:val="FFFFFF"/>
                <w:sz w:val="20"/>
                <w:szCs w:val="20"/>
              </w:rPr>
              <w:t xml:space="preserve">Etapa</w:t>
            </w:r>
          </w:p>
        </w:tc>
        <w:tc>
          <w:tcPr>
            <w:tcW w:type="dxa" w:w="7750"/>
            <w:shd w:fill="1F3864" w:val="clear"/>
            <w:tcMar>
              <w:top w:type="dxa" w:w="100"/>
              <w:left w:type="dxa" w:w="120"/>
              <w:bottom w:type="dxa" w:w="100"/>
              <w:right w:type="dxa" w:w="120"/>
            </w:tcMar>
            <w:vAlign w:val="center"/>
          </w:tcPr>
          <w:p>
            <w:r>
              <w:rPr>
                <w:b/>
                <w:bCs/>
                <w:color w:val="FFFFFF"/>
                <w:sz w:val="20"/>
                <w:szCs w:val="20"/>
              </w:rPr>
              <w:t xml:space="preserve">Actividades clave</w:t>
            </w:r>
          </w:p>
        </w:tc>
      </w:tr>
      <w:tr>
        <w:tc>
          <w:tcPr>
            <w:tcW w:type="dxa" w:w="1600"/>
            <w:shd w:fill="F2F2F2" w:val="clear"/>
            <w:tcMar>
              <w:top w:type="dxa" w:w="90"/>
              <w:left w:type="dxa" w:w="120"/>
              <w:bottom w:type="dxa" w:w="90"/>
              <w:right w:type="dxa" w:w="120"/>
            </w:tcMar>
            <w:vAlign w:val="center"/>
          </w:tcPr>
          <w:p>
            <w:pPr>
              <w:spacing w:line="260"/>
            </w:pPr>
            <w:r>
              <w:rPr>
                <w:color w:val="222222"/>
                <w:sz w:val="20"/>
                <w:szCs w:val="20"/>
              </w:rPr>
              <w:t xml:space="preserve">1. Planeación</w:t>
            </w:r>
          </w:p>
        </w:tc>
        <w:tc>
          <w:tcPr>
            <w:tcW w:type="dxa" w:w="7750"/>
            <w:shd w:fill="F2F2F2" w:val="clear"/>
            <w:tcMar>
              <w:top w:type="dxa" w:w="90"/>
              <w:left w:type="dxa" w:w="120"/>
              <w:bottom w:type="dxa" w:w="90"/>
              <w:right w:type="dxa" w:w="120"/>
            </w:tcMar>
            <w:vAlign w:val="center"/>
          </w:tcPr>
          <w:p>
            <w:pPr>
              <w:spacing w:line="260"/>
            </w:pPr>
            <w:r>
              <w:rPr>
                <w:color w:val="222222"/>
                <w:sz w:val="20"/>
                <w:szCs w:val="20"/>
              </w:rPr>
              <w:t xml:space="preserve">Análisis de riesgos, checklist de performance (RNF los define el PO/líder/arquitecto), alcance y estrategia, definición de ruta crítica (responsabilidad de todo el equipo, no de un solo rol), identificación de datos y ambientes necesarios, pruebas de adherencia (¿las herramientas disponibles sirven?), socialización.</w:t>
            </w:r>
          </w:p>
        </w:tc>
      </w:tr>
      <w:tr>
        <w:tc>
          <w:tcPr>
            <w:tcW w:type="dxa" w:w="1600"/>
            <w:shd w:fill="FFFFFF" w:val="clear"/>
            <w:tcMar>
              <w:top w:type="dxa" w:w="90"/>
              <w:left w:type="dxa" w:w="120"/>
              <w:bottom w:type="dxa" w:w="90"/>
              <w:right w:type="dxa" w:w="120"/>
            </w:tcMar>
            <w:vAlign w:val="center"/>
          </w:tcPr>
          <w:p>
            <w:pPr>
              <w:spacing w:line="260"/>
            </w:pPr>
            <w:r>
              <w:rPr>
                <w:color w:val="222222"/>
                <w:sz w:val="20"/>
                <w:szCs w:val="20"/>
              </w:rPr>
              <w:t xml:space="preserve">2. Diseño</w:t>
            </w:r>
          </w:p>
        </w:tc>
        <w:tc>
          <w:tcPr>
            <w:tcW w:type="dxa" w:w="7750"/>
            <w:shd w:fill="FFFFFF" w:val="clear"/>
            <w:tcMar>
              <w:top w:type="dxa" w:w="90"/>
              <w:left w:type="dxa" w:w="120"/>
              <w:bottom w:type="dxa" w:w="90"/>
              <w:right w:type="dxa" w:w="120"/>
            </w:tcMar>
            <w:vAlign w:val="center"/>
          </w:tcPr>
          <w:p>
            <w:pPr>
              <w:spacing w:line="260"/>
            </w:pPr>
            <w:r>
              <w:rPr>
                <w:color w:val="222222"/>
                <w:sz w:val="20"/>
                <w:szCs w:val="20"/>
              </w:rPr>
              <w:t xml:space="preserve">Construcción de artefactos de prueba (scripts, automatizaciones), configuración de stages, registro de ruta crítica (requiere aprobación del líder).</w:t>
            </w:r>
          </w:p>
        </w:tc>
      </w:tr>
      <w:tr>
        <w:tc>
          <w:tcPr>
            <w:tcW w:type="dxa" w:w="1600"/>
            <w:shd w:fill="F2F2F2" w:val="clear"/>
            <w:tcMar>
              <w:top w:type="dxa" w:w="90"/>
              <w:left w:type="dxa" w:w="120"/>
              <w:bottom w:type="dxa" w:w="90"/>
              <w:right w:type="dxa" w:w="120"/>
            </w:tcMar>
            <w:vAlign w:val="center"/>
          </w:tcPr>
          <w:p>
            <w:pPr>
              <w:spacing w:line="260"/>
            </w:pPr>
            <w:r>
              <w:rPr>
                <w:color w:val="222222"/>
                <w:sz w:val="20"/>
                <w:szCs w:val="20"/>
              </w:rPr>
              <w:t xml:space="preserve">3. Ejecución</w:t>
            </w:r>
          </w:p>
        </w:tc>
        <w:tc>
          <w:tcPr>
            <w:tcW w:type="dxa" w:w="7750"/>
            <w:shd w:fill="F2F2F2" w:val="clear"/>
            <w:tcMar>
              <w:top w:type="dxa" w:w="90"/>
              <w:left w:type="dxa" w:w="120"/>
              <w:bottom w:type="dxa" w:w="90"/>
              <w:right w:type="dxa" w:w="120"/>
            </w:tcMar>
            <w:vAlign w:val="center"/>
          </w:tcPr>
          <w:p>
            <w:pPr>
              <w:spacing w:line="260"/>
            </w:pPr>
            <w:r>
              <w:rPr>
                <w:color w:val="222222"/>
                <w:sz w:val="20"/>
                <w:szCs w:val="20"/>
              </w:rPr>
              <w:t xml:space="preserve">Reserva de ambiente, registro de ventana, ejecución de escenarios (automáticos y/o manuales), documentación de evidencias, reporte de bugs.</w:t>
            </w:r>
          </w:p>
        </w:tc>
      </w:tr>
      <w:tr>
        <w:tc>
          <w:tcPr>
            <w:tcW w:type="dxa" w:w="1600"/>
            <w:shd w:fill="FFFFFF" w:val="clear"/>
            <w:tcMar>
              <w:top w:type="dxa" w:w="90"/>
              <w:left w:type="dxa" w:w="120"/>
              <w:bottom w:type="dxa" w:w="90"/>
              <w:right w:type="dxa" w:w="120"/>
            </w:tcMar>
            <w:vAlign w:val="center"/>
          </w:tcPr>
          <w:p>
            <w:pPr>
              <w:spacing w:line="260"/>
            </w:pPr>
            <w:r>
              <w:rPr>
                <w:color w:val="222222"/>
                <w:sz w:val="20"/>
                <w:szCs w:val="20"/>
              </w:rPr>
              <w:t xml:space="preserve">4. Análisis de resultados</w:t>
            </w:r>
          </w:p>
        </w:tc>
        <w:tc>
          <w:tcPr>
            <w:tcW w:type="dxa" w:w="7750"/>
            <w:shd w:fill="FFFFFF" w:val="clear"/>
            <w:tcMar>
              <w:top w:type="dxa" w:w="90"/>
              <w:left w:type="dxa" w:w="120"/>
              <w:bottom w:type="dxa" w:w="90"/>
              <w:right w:type="dxa" w:w="120"/>
            </w:tcMar>
            <w:vAlign w:val="center"/>
          </w:tcPr>
          <w:p>
            <w:pPr>
              <w:spacing w:line="260"/>
            </w:pPr>
            <w:r>
              <w:rPr>
                <w:color w:val="222222"/>
                <w:sz w:val="20"/>
                <w:szCs w:val="20"/>
              </w:rPr>
              <w:t xml:space="preserve">Consolidación de monitoreos (crítico en performance, con concepto formal emitido), ajustes necesarios, reporte de hallazgos adicionales.</w:t>
            </w:r>
          </w:p>
        </w:tc>
      </w:tr>
      <w:tr>
        <w:tc>
          <w:tcPr>
            <w:tcW w:type="dxa" w:w="1600"/>
            <w:shd w:fill="F2F2F2" w:val="clear"/>
            <w:tcMar>
              <w:top w:type="dxa" w:w="90"/>
              <w:left w:type="dxa" w:w="120"/>
              <w:bottom w:type="dxa" w:w="90"/>
              <w:right w:type="dxa" w:w="120"/>
            </w:tcMar>
            <w:vAlign w:val="center"/>
          </w:tcPr>
          <w:p>
            <w:pPr>
              <w:spacing w:line="260"/>
            </w:pPr>
            <w:r>
              <w:rPr>
                <w:color w:val="222222"/>
                <w:sz w:val="20"/>
                <w:szCs w:val="20"/>
              </w:rPr>
              <w:t xml:space="preserve">5. Entrega</w:t>
            </w:r>
          </w:p>
        </w:tc>
        <w:tc>
          <w:tcPr>
            <w:tcW w:type="dxa" w:w="7750"/>
            <w:shd w:fill="F2F2F2" w:val="clear"/>
            <w:tcMar>
              <w:top w:type="dxa" w:w="90"/>
              <w:left w:type="dxa" w:w="120"/>
              <w:bottom w:type="dxa" w:w="90"/>
              <w:right w:type="dxa" w:w="120"/>
            </w:tcMar>
            <w:vAlign w:val="center"/>
          </w:tcPr>
          <w:p>
            <w:pPr>
              <w:spacing w:line="260"/>
            </w:pPr>
            <w:r>
              <w:rPr>
                <w:color w:val="222222"/>
                <w:sz w:val="20"/>
                <w:szCs w:val="20"/>
              </w:rPr>
              <w:t xml:space="preserve">Entrega oficial del resultado del proceso de pruebas al equipo — puede ser cíclico si se encuentran errores que requieren nueva ejecución.</w:t>
            </w:r>
          </w:p>
        </w:tc>
      </w:tr>
    </w:tbl>
    <w:p>
      <w:pPr>
        <w:spacing w:after="200"/>
      </w:pPr>
    </w:p>
    <w:p>
      <w:pPr>
        <w:pStyle w:val="Heading2"/>
        <w:spacing w:after="120" w:before="300"/>
      </w:pPr>
      <w:r>
        <w:rPr>
          <w:b/>
          <w:bCs/>
          <w:color w:val="2E5395"/>
          <w:sz w:val="24"/>
          <w:szCs w:val="24"/>
        </w:rPr>
        <w:t xml:space="preserve">Controles de calidad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Control (funcional)</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Qué exige</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Cobertura de pruebas unitarias</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Porcentajes mínimos por lenguaje, validados en Sonar.</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Control de ruta crítica</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Si no se ejecuta el 100% de los escenarios de ruta crítica, el stage falla.</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Uso de automatización</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Mínimo 80% de uso de los artefactos automatizados ya construidos.</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Riesgos</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Diligenciamiento efectivo y ejecución de los escenarios relacionados a cada riesgo.</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Evidencia de pruebas manuales</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Debe quedar adjunta en el Test Plan.</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Regla del Checklist de performance</w:t>
            </w:r>
          </w:p>
          <w:p>
            <w:pPr>
              <w:spacing w:after="0" w:line="280"/>
            </w:pPr>
            <w:r>
              <w:rPr>
                <w:color w:val="222222"/>
                <w:sz w:val="21"/>
                <w:szCs w:val="21"/>
              </w:rPr>
              <w:t xml:space="preserve">El checklist se diligencia y se usa UNA SOLA VEZ por paso a producción completo — no se revisa por cada despliegue individual dentro del mismo release.</w:t>
            </w:r>
          </w:p>
        </w:tc>
      </w:tr>
    </w:tbl>
    <w:p>
      <w:pPr>
        <w:pageBreakBefore/>
      </w:pPr>
    </w:p>
    <w:p>
      <w:pPr>
        <w:pStyle w:val="Heading1"/>
        <w:pBdr>
          <w:bottom w:val="single" w:color="1F3864" w:sz="6" w:space="4"/>
        </w:pBdr>
        <w:spacing w:after="200" w:before="400"/>
      </w:pPr>
      <w:r>
        <w:rPr>
          <w:b/>
          <w:bCs/>
          <w:color w:val="1F3864"/>
          <w:sz w:val="30"/>
          <w:szCs w:val="30"/>
        </w:rPr>
        <w:t xml:space="preserve">9. Prácticas de SecOps (DevSecOps)</w:t>
      </w:r>
    </w:p>
    <w:p>
      <w:pPr>
        <w:spacing w:after="160" w:line="300"/>
      </w:pPr>
      <w:r>
        <w:rPr>
          <w:color w:val="222222"/>
          <w:sz w:val="22"/>
          <w:szCs w:val="22"/>
        </w:rPr>
        <w:t xml:space="preserve">Las prácticas de seguridad se integran a lo largo de todo el ciclo de desarrollo — desde la planificación y codificación hasta la operación y el monitoreo — para que la seguridad no sea una actividad de última hora.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Pipeline</w:t>
            </w:r>
          </w:p>
        </w:tc>
        <w:tc>
          <w:tcPr>
            <w:tcW w:type="dxa" w:w="6950"/>
            <w:shd w:fill="1F3864" w:val="clear"/>
            <w:tcMar>
              <w:top w:type="dxa" w:w="100"/>
              <w:left w:type="dxa" w:w="120"/>
              <w:bottom w:type="dxa" w:w="100"/>
              <w:right w:type="dxa" w:w="120"/>
            </w:tcMar>
            <w:vAlign w:val="center"/>
          </w:tcPr>
          <w:p>
            <w:r>
              <w:rPr>
                <w:b/>
                <w:bCs/>
                <w:color w:val="FFFFFF"/>
                <w:sz w:val="20"/>
                <w:szCs w:val="20"/>
              </w:rPr>
              <w:t xml:space="preserve">Pruebas de seguridad</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Build (pruebas al código)</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Análisis estático de código (SAST) para software y APIs, análisis de infraestructura como código, escaneo de secretos y escaneo de dependencias.</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Release (pruebas dinámicas)</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Análisis dinámico de seguridad en APIs (DAST), escaneo de seguridad en contenedores, análisis estático de imágenes de contenedores y manifiestos de Kubernetes, hacking continuo.</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BoolTracker: la plataforma central</w:t>
            </w:r>
          </w:p>
          <w:p>
            <w:pPr>
              <w:spacing w:after="0" w:line="280"/>
            </w:pPr>
            <w:r>
              <w:rPr>
                <w:color w:val="222222"/>
                <w:sz w:val="21"/>
                <w:szCs w:val="21"/>
              </w:rPr>
              <w:t xml:space="preserve">Todos los hallazgos de estos escaneos se consolidan en BoolTracker, que implementa los modelos de Riesgos de TI: modelo de priorización (foco en vulnerabilidades altamente explotables en máximo 30 días), modelo de apetito y tolerancia, listas blanca/negra, y el proceso de aceptación de riesgos.</w:t>
            </w:r>
          </w:p>
        </w:tc>
      </w:tr>
    </w:tbl>
    <w:p>
      <w:pPr>
        <w:spacing w:after="160"/>
      </w:pPr>
    </w:p>
    <w:p>
      <w:pPr>
        <w:pStyle w:val="Heading2"/>
        <w:spacing w:after="120" w:before="300"/>
      </w:pPr>
      <w:r>
        <w:rPr>
          <w:b/>
          <w:bCs/>
          <w:color w:val="2E5395"/>
          <w:sz w:val="24"/>
          <w:szCs w:val="24"/>
        </w:rPr>
        <w:t xml:space="preserve">Proceso de aceptación de riesgos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100"/>
              <w:left w:type="dxa" w:w="120"/>
              <w:bottom w:type="dxa" w:w="100"/>
              <w:right w:type="dxa" w:w="120"/>
            </w:tcMar>
            <w:vAlign w:val="center"/>
          </w:tcPr>
          <w:p>
            <w:r>
              <w:rPr>
                <w:b/>
                <w:bCs/>
                <w:color w:val="FFFFFF"/>
                <w:sz w:val="20"/>
                <w:szCs w:val="20"/>
              </w:rPr>
              <w:t xml:space="preserve">Nivel de criticidad</w:t>
            </w:r>
          </w:p>
        </w:tc>
        <w:tc>
          <w:tcPr>
            <w:tcW w:type="dxa" w:w="5150"/>
            <w:shd w:fill="1F3864" w:val="clear"/>
            <w:tcMar>
              <w:top w:type="dxa" w:w="100"/>
              <w:left w:type="dxa" w:w="120"/>
              <w:bottom w:type="dxa" w:w="100"/>
              <w:right w:type="dxa" w:w="120"/>
            </w:tcMar>
            <w:vAlign w:val="center"/>
          </w:tcPr>
          <w:p>
            <w:r>
              <w:rPr>
                <w:b/>
                <w:bCs/>
                <w:color w:val="FFFFFF"/>
                <w:sz w:val="20"/>
                <w:szCs w:val="20"/>
              </w:rPr>
              <w:t xml:space="preserve">Plazo máximo de aceptación (ejemplo crítico)</w:t>
            </w:r>
          </w:p>
        </w:tc>
      </w:tr>
      <w:tr>
        <w:tc>
          <w:tcPr>
            <w:tcW w:type="dxa" w:w="4200"/>
            <w:shd w:fill="F2F2F2" w:val="clear"/>
            <w:tcMar>
              <w:top w:type="dxa" w:w="90"/>
              <w:left w:type="dxa" w:w="120"/>
              <w:bottom w:type="dxa" w:w="90"/>
              <w:right w:type="dxa" w:w="120"/>
            </w:tcMar>
            <w:vAlign w:val="center"/>
          </w:tcPr>
          <w:p>
            <w:pPr>
              <w:spacing w:line="260"/>
            </w:pPr>
            <w:r>
              <w:rPr>
                <w:color w:val="222222"/>
                <w:sz w:val="20"/>
                <w:szCs w:val="20"/>
              </w:rPr>
              <w:t xml:space="preserve">Bajo, Medio, Alto, Crítico, Muy Crítico</w:t>
            </w:r>
          </w:p>
        </w:tc>
        <w:tc>
          <w:tcPr>
            <w:tcW w:type="dxa" w:w="5150"/>
            <w:shd w:fill="F2F2F2" w:val="clear"/>
            <w:tcMar>
              <w:top w:type="dxa" w:w="90"/>
              <w:left w:type="dxa" w:w="120"/>
              <w:bottom w:type="dxa" w:w="90"/>
              <w:right w:type="dxa" w:w="120"/>
            </w:tcMar>
            <w:vAlign w:val="center"/>
          </w:tcPr>
          <w:p>
            <w:pPr>
              <w:spacing w:line="260"/>
            </w:pPr>
            <w:r>
              <w:rPr>
                <w:color w:val="222222"/>
                <w:sz w:val="20"/>
                <w:szCs w:val="20"/>
              </w:rPr>
              <w:t xml:space="preserve">Una vulnerabilidad crítica se puede aceptar hasta 45 días, previa aprobación de los líderes de EBC, ADC, entorno y funcional.</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Más que reportar vulnerabilidades</w:t>
            </w:r>
          </w:p>
          <w:p>
            <w:pPr>
              <w:spacing w:after="0" w:line="280"/>
            </w:pPr>
            <w:r>
              <w:rPr>
                <w:color w:val="222222"/>
                <w:sz w:val="21"/>
                <w:szCs w:val="21"/>
              </w:rPr>
              <w:t xml:space="preserve">DevSecOps no es solo detectar y reportar: permite tener un estado general de seguridad de los componentes y aplicaciones, con trazabilidad completa de la gestión de cada vulnerabilidad.</w:t>
            </w:r>
          </w:p>
        </w:tc>
      </w:tr>
    </w:tbl>
    <w:p>
      <w:pPr>
        <w:pageBreakBefore/>
      </w:pPr>
    </w:p>
    <w:p>
      <w:pPr>
        <w:pStyle w:val="Heading1"/>
        <w:pBdr>
          <w:bottom w:val="single" w:color="1F3864" w:sz="6" w:space="4"/>
        </w:pBdr>
        <w:spacing w:after="200" w:before="400"/>
      </w:pPr>
      <w:r>
        <w:rPr>
          <w:b/>
          <w:bCs/>
          <w:color w:val="1F3864"/>
          <w:sz w:val="30"/>
          <w:szCs w:val="30"/>
        </w:rPr>
        <w:t xml:space="preserve">10. La encuesta de riesgos unificada</w:t>
      </w:r>
    </w:p>
    <w:p>
      <w:pPr>
        <w:spacing w:after="160" w:line="300"/>
      </w:pPr>
      <w:r>
        <w:rPr>
          <w:color w:val="222222"/>
          <w:sz w:val="22"/>
          <w:szCs w:val="22"/>
        </w:rPr>
        <w:t xml:space="preserve">Vigente desde el 1 de agosto del año pasado. Su objetivo es tener una única encuesta que evalúe los riesgos de una solución de software y cómo impacta (o puede impactar) la producción — no solo desde el desarrollo, sino considerando todo el ecosistema (ej. procesos en la malla de operaciones).</w:t>
      </w:r>
    </w:p>
    <w:p>
      <w:pPr>
        <w:pStyle w:val="Heading2"/>
        <w:spacing w:after="120" w:before="300"/>
      </w:pPr>
      <w:r>
        <w:rPr>
          <w:b/>
          <w:bCs/>
          <w:color w:val="2E5395"/>
          <w:sz w:val="24"/>
          <w:szCs w:val="24"/>
        </w:rPr>
        <w:t xml:space="preserve">Qué evalúa la encuesta</w:t>
      </w:r>
    </w:p>
    <w:p>
      <w:pPr>
        <w:pStyle w:val="ListParagraph"/>
        <w:numPr>
          <w:ilvl w:val="0"/>
          <w:numId w:val="2"/>
        </w:numPr>
        <w:spacing w:after="90" w:line="280"/>
      </w:pPr>
      <w:r>
        <w:rPr>
          <w:color w:val="222222"/>
          <w:sz w:val="22"/>
          <w:szCs w:val="22"/>
        </w:rPr>
        <w:t xml:space="preserve">Elemento de configuración (CI) que se despliega.</w:t>
      </w:r>
    </w:p>
    <w:p>
      <w:pPr>
        <w:pStyle w:val="ListParagraph"/>
        <w:numPr>
          <w:ilvl w:val="0"/>
          <w:numId w:val="2"/>
        </w:numPr>
        <w:spacing w:after="90" w:line="280"/>
      </w:pPr>
      <w:r>
        <w:rPr>
          <w:color w:val="222222"/>
          <w:sz w:val="22"/>
          <w:szCs w:val="22"/>
        </w:rPr>
        <w:t xml:space="preserve">Impacto en la malla de operación (nuevo proceso, modificación, detención de un proceso existente).</w:t>
      </w:r>
    </w:p>
    <w:p>
      <w:pPr>
        <w:pStyle w:val="ListParagraph"/>
        <w:numPr>
          <w:ilvl w:val="0"/>
          <w:numId w:val="2"/>
        </w:numPr>
        <w:spacing w:after="90" w:line="280"/>
      </w:pPr>
      <w:r>
        <w:rPr>
          <w:color w:val="222222"/>
          <w:sz w:val="22"/>
          <w:szCs w:val="22"/>
        </w:rPr>
        <w:t xml:space="preserve">Impacto en algún producto o canal de cara al cliente.</w:t>
      </w:r>
    </w:p>
    <w:p>
      <w:pPr>
        <w:pStyle w:val="ListParagraph"/>
        <w:numPr>
          <w:ilvl w:val="0"/>
          <w:numId w:val="2"/>
        </w:numPr>
        <w:spacing w:after="90" w:line="280"/>
      </w:pPr>
      <w:r>
        <w:rPr>
          <w:color w:val="222222"/>
          <w:sz w:val="22"/>
          <w:szCs w:val="22"/>
        </w:rPr>
        <w:t xml:space="preserve">Transacciones financieras y no financieras afectadas (consulta de saldos, consolidaciones, etc. — o "no aplica" si corresponde).</w:t>
      </w:r>
    </w:p>
    <w:p>
      <w:pPr>
        <w:spacing w:after="200"/>
      </w:pPr>
    </w:p>
    <w:p>
      <w:pPr>
        <w:pStyle w:val="Heading2"/>
        <w:spacing w:after="120" w:before="300"/>
      </w:pPr>
      <w:r>
        <w:rPr>
          <w:b/>
          <w:bCs/>
          <w:color w:val="2E5395"/>
          <w:sz w:val="24"/>
          <w:szCs w:val="24"/>
        </w:rPr>
        <w:t xml:space="preserve">Niveles de riesgo resultantes y su aprobación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050"/>
        <w:gridCol w:w="4500"/>
      </w:tblGrid>
      <w:tr>
        <w:trPr>
          <w:tblHeader/>
        </w:trPr>
        <w:tc>
          <w:tcPr>
            <w:tcW w:type="dxa" w:w="1800"/>
            <w:shd w:fill="1F3864" w:val="clear"/>
            <w:tcMar>
              <w:top w:type="dxa" w:w="100"/>
              <w:left w:type="dxa" w:w="120"/>
              <w:bottom w:type="dxa" w:w="100"/>
              <w:right w:type="dxa" w:w="120"/>
            </w:tcMar>
            <w:vAlign w:val="center"/>
          </w:tcPr>
          <w:p>
            <w:r>
              <w:rPr>
                <w:b/>
                <w:bCs/>
                <w:color w:val="FFFFFF"/>
                <w:sz w:val="20"/>
                <w:szCs w:val="20"/>
              </w:rPr>
              <w:t xml:space="preserve">Nivel de riesgo</w:t>
            </w:r>
          </w:p>
        </w:tc>
        <w:tc>
          <w:tcPr>
            <w:tcW w:type="dxa" w:w="3050"/>
            <w:shd w:fill="1F3864" w:val="clear"/>
            <w:tcMar>
              <w:top w:type="dxa" w:w="100"/>
              <w:left w:type="dxa" w:w="120"/>
              <w:bottom w:type="dxa" w:w="100"/>
              <w:right w:type="dxa" w:w="120"/>
            </w:tcMar>
            <w:vAlign w:val="center"/>
          </w:tcPr>
          <w:p>
            <w:r>
              <w:rPr>
                <w:b/>
                <w:bCs/>
                <w:color w:val="FFFFFF"/>
                <w:sz w:val="20"/>
                <w:szCs w:val="20"/>
              </w:rPr>
              <w:t xml:space="preserve">Tipo de CRQ</w:t>
            </w:r>
          </w:p>
        </w:tc>
        <w:tc>
          <w:tcPr>
            <w:tcW w:type="dxa" w:w="4500"/>
            <w:shd w:fill="1F3864" w:val="clear"/>
            <w:tcMar>
              <w:top w:type="dxa" w:w="100"/>
              <w:left w:type="dxa" w:w="120"/>
              <w:bottom w:type="dxa" w:w="100"/>
              <w:right w:type="dxa" w:w="120"/>
            </w:tcMar>
            <w:vAlign w:val="center"/>
          </w:tcPr>
          <w:p>
            <w:r>
              <w:rPr>
                <w:b/>
                <w:bCs/>
                <w:color w:val="FFFFFF"/>
                <w:sz w:val="20"/>
                <w:szCs w:val="20"/>
              </w:rPr>
              <w:t xml:space="preserve">Quién aprueba</w:t>
            </w:r>
          </w:p>
        </w:tc>
      </w:tr>
      <w:tr>
        <w:tc>
          <w:tcPr>
            <w:tcW w:type="dxa" w:w="1800"/>
            <w:shd w:fill="F2F2F2" w:val="clear"/>
            <w:tcMar>
              <w:top w:type="dxa" w:w="90"/>
              <w:left w:type="dxa" w:w="120"/>
              <w:bottom w:type="dxa" w:w="90"/>
              <w:right w:type="dxa" w:w="120"/>
            </w:tcMar>
            <w:vAlign w:val="center"/>
          </w:tcPr>
          <w:p>
            <w:pPr>
              <w:spacing w:line="260"/>
            </w:pPr>
            <w:r>
              <w:rPr>
                <w:color w:val="222222"/>
                <w:sz w:val="20"/>
                <w:szCs w:val="20"/>
              </w:rPr>
              <w:t xml:space="preserve">Bajo</w:t>
            </w:r>
          </w:p>
        </w:tc>
        <w:tc>
          <w:tcPr>
            <w:tcW w:type="dxa" w:w="3050"/>
            <w:shd w:fill="F2F2F2" w:val="clear"/>
            <w:tcMar>
              <w:top w:type="dxa" w:w="90"/>
              <w:left w:type="dxa" w:w="120"/>
              <w:bottom w:type="dxa" w:w="90"/>
              <w:right w:type="dxa" w:w="120"/>
            </w:tcMar>
            <w:vAlign w:val="center"/>
          </w:tcPr>
          <w:p>
            <w:pPr>
              <w:spacing w:line="260"/>
            </w:pPr>
            <w:r>
              <w:rPr>
                <w:color w:val="222222"/>
                <w:sz w:val="20"/>
                <w:szCs w:val="20"/>
              </w:rPr>
              <w:t xml:space="preserve">Ágil</w:t>
            </w:r>
          </w:p>
        </w:tc>
        <w:tc>
          <w:tcPr>
            <w:tcW w:type="dxa" w:w="4500"/>
            <w:shd w:fill="F2F2F2" w:val="clear"/>
            <w:tcMar>
              <w:top w:type="dxa" w:w="90"/>
              <w:left w:type="dxa" w:w="120"/>
              <w:bottom w:type="dxa" w:w="90"/>
              <w:right w:type="dxa" w:w="120"/>
            </w:tcMar>
            <w:vAlign w:val="center"/>
          </w:tcPr>
          <w:p>
            <w:pPr>
              <w:spacing w:line="260"/>
            </w:pPr>
            <w:r>
              <w:rPr>
                <w:color w:val="222222"/>
                <w:sz w:val="20"/>
                <w:szCs w:val="20"/>
              </w:rPr>
              <w:t xml:space="preserve">Líder de línea de conocimiento o un ingeniero de software autorizado.</w:t>
            </w:r>
          </w:p>
        </w:tc>
      </w:tr>
      <w:tr>
        <w:tc>
          <w:tcPr>
            <w:tcW w:type="dxa" w:w="1800"/>
            <w:shd w:fill="FFFFFF" w:val="clear"/>
            <w:tcMar>
              <w:top w:type="dxa" w:w="90"/>
              <w:left w:type="dxa" w:w="120"/>
              <w:bottom w:type="dxa" w:w="90"/>
              <w:right w:type="dxa" w:w="120"/>
            </w:tcMar>
            <w:vAlign w:val="center"/>
          </w:tcPr>
          <w:p>
            <w:pPr>
              <w:spacing w:line="260"/>
            </w:pPr>
            <w:r>
              <w:rPr>
                <w:color w:val="222222"/>
                <w:sz w:val="20"/>
                <w:szCs w:val="20"/>
              </w:rPr>
              <w:t xml:space="preserve">Medio</w:t>
            </w:r>
          </w:p>
        </w:tc>
        <w:tc>
          <w:tcPr>
            <w:tcW w:type="dxa" w:w="3050"/>
            <w:shd w:fill="FFFFFF" w:val="clear"/>
            <w:tcMar>
              <w:top w:type="dxa" w:w="90"/>
              <w:left w:type="dxa" w:w="120"/>
              <w:bottom w:type="dxa" w:w="90"/>
              <w:right w:type="dxa" w:w="120"/>
            </w:tcMar>
            <w:vAlign w:val="center"/>
          </w:tcPr>
          <w:p>
            <w:pPr>
              <w:spacing w:line="260"/>
            </w:pPr>
            <w:r>
              <w:rPr>
                <w:color w:val="222222"/>
                <w:sz w:val="20"/>
                <w:szCs w:val="20"/>
              </w:rPr>
              <w:t xml:space="preserve">Ágil (pero con más análisis)</w:t>
            </w:r>
          </w:p>
        </w:tc>
        <w:tc>
          <w:tcPr>
            <w:tcW w:type="dxa" w:w="4500"/>
            <w:shd w:fill="FFFFFF" w:val="clear"/>
            <w:tcMar>
              <w:top w:type="dxa" w:w="90"/>
              <w:left w:type="dxa" w:w="120"/>
              <w:bottom w:type="dxa" w:w="90"/>
              <w:right w:type="dxa" w:w="120"/>
            </w:tcMar>
            <w:vAlign w:val="center"/>
          </w:tcPr>
          <w:p>
            <w:pPr>
              <w:spacing w:line="260"/>
            </w:pPr>
            <w:r>
              <w:rPr>
                <w:color w:val="222222"/>
                <w:sz w:val="20"/>
                <w:szCs w:val="20"/>
              </w:rPr>
              <w:t xml:space="preserve">Líder técnico de EBC.</w:t>
            </w:r>
          </w:p>
        </w:tc>
      </w:tr>
      <w:tr>
        <w:tc>
          <w:tcPr>
            <w:tcW w:type="dxa" w:w="1800"/>
            <w:shd w:fill="F2F2F2" w:val="clear"/>
            <w:tcMar>
              <w:top w:type="dxa" w:w="90"/>
              <w:left w:type="dxa" w:w="120"/>
              <w:bottom w:type="dxa" w:w="90"/>
              <w:right w:type="dxa" w:w="120"/>
            </w:tcMar>
            <w:vAlign w:val="center"/>
          </w:tcPr>
          <w:p>
            <w:pPr>
              <w:spacing w:line="260"/>
            </w:pPr>
            <w:r>
              <w:rPr>
                <w:color w:val="222222"/>
                <w:sz w:val="20"/>
                <w:szCs w:val="20"/>
              </w:rPr>
              <w:t xml:space="preserve">Alto</w:t>
            </w:r>
          </w:p>
        </w:tc>
        <w:tc>
          <w:tcPr>
            <w:tcW w:type="dxa" w:w="3050"/>
            <w:shd w:fill="F2F2F2" w:val="clear"/>
            <w:tcMar>
              <w:top w:type="dxa" w:w="90"/>
              <w:left w:type="dxa" w:w="120"/>
              <w:bottom w:type="dxa" w:w="90"/>
              <w:right w:type="dxa" w:w="120"/>
            </w:tcMar>
            <w:vAlign w:val="center"/>
          </w:tcPr>
          <w:p>
            <w:pPr>
              <w:spacing w:line="260"/>
            </w:pPr>
            <w:r>
              <w:rPr>
                <w:color w:val="222222"/>
                <w:sz w:val="20"/>
                <w:szCs w:val="20"/>
              </w:rPr>
              <w:t xml:space="preserve">Programada (va al Consejo de Cambios)</w:t>
            </w:r>
          </w:p>
        </w:tc>
        <w:tc>
          <w:tcPr>
            <w:tcW w:type="dxa" w:w="4500"/>
            <w:shd w:fill="F2F2F2" w:val="clear"/>
            <w:tcMar>
              <w:top w:type="dxa" w:w="90"/>
              <w:left w:type="dxa" w:w="120"/>
              <w:bottom w:type="dxa" w:w="90"/>
              <w:right w:type="dxa" w:w="120"/>
            </w:tcMar>
            <w:vAlign w:val="center"/>
          </w:tcPr>
          <w:p>
            <w:pPr>
              <w:spacing w:line="260"/>
            </w:pPr>
            <w:r>
              <w:rPr>
                <w:color w:val="222222"/>
                <w:sz w:val="20"/>
                <w:szCs w:val="20"/>
              </w:rPr>
              <w:t xml:space="preserve">Consejo de Cambios + Líder técnico de EBC (dos validaciones).</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Dónde se diligencia</w:t>
            </w:r>
          </w:p>
          <w:p>
            <w:pPr>
              <w:spacing w:after="0" w:line="280"/>
            </w:pPr>
            <w:r>
              <w:rPr>
                <w:color w:val="222222"/>
                <w:sz w:val="21"/>
                <w:szCs w:val="21"/>
              </w:rPr>
              <w:t xml:space="preserve">Dentro del Test Plan, en la pestaña "Riesgos" — junto a los escenarios de prueba versus riesgos que ya se documentaron.</w:t>
            </w:r>
          </w:p>
        </w:tc>
      </w:tr>
    </w:tbl>
    <w:p>
      <w:pPr>
        <w:pageBreakBefore/>
      </w:pPr>
    </w:p>
    <w:p>
      <w:pPr>
        <w:pStyle w:val="Heading1"/>
        <w:pBdr>
          <w:bottom w:val="single" w:color="1F3864" w:sz="6" w:space="4"/>
        </w:pBdr>
        <w:spacing w:after="200" w:before="400"/>
      </w:pPr>
      <w:r>
        <w:rPr>
          <w:b/>
          <w:bCs/>
          <w:color w:val="1F3864"/>
          <w:sz w:val="30"/>
          <w:szCs w:val="30"/>
        </w:rPr>
        <w:t xml:space="preserve">11. El Definition of Done (DoD)</w:t>
      </w:r>
    </w:p>
    <w:p>
      <w:pPr>
        <w:spacing w:after="160" w:line="300"/>
      </w:pPr>
      <w:r>
        <w:rPr>
          <w:color w:val="222222"/>
          <w:sz w:val="22"/>
          <w:szCs w:val="22"/>
        </w:rPr>
        <w:t xml:space="preserve">Es el insumo que centraliza toda la información para certificar que una solución está lista para pasar a producción, dentro de Azure DevOps.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Campo del DoD</w:t>
            </w:r>
          </w:p>
        </w:tc>
        <w:tc>
          <w:tcPr>
            <w:tcW w:type="dxa" w:w="6950"/>
            <w:shd w:fill="1F3864" w:val="clear"/>
            <w:tcMar>
              <w:top w:type="dxa" w:w="100"/>
              <w:left w:type="dxa" w:w="120"/>
              <w:bottom w:type="dxa" w:w="100"/>
              <w:right w:type="dxa" w:w="120"/>
            </w:tcMar>
            <w:vAlign w:val="center"/>
          </w:tcPr>
          <w:p>
            <w:r>
              <w:rPr>
                <w:b/>
                <w:bCs/>
                <w:color w:val="FFFFFF"/>
                <w:sz w:val="20"/>
                <w:szCs w:val="20"/>
              </w:rPr>
              <w:t xml:space="preserve">Qué debe contener</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Padre (Épica)</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El DoD siempre debe estar asociado a la épica funcional que agrupa las historias de usuario/habilitadoras.</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Area Path</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Debe contener el nombre del Team/célula dueña del paso a producción y del pipeline de Release — clave para el mapeo automático.</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Evidencia de pruebas / Checklist especializado</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Se asocia el Test Plan con el estándar de nombramiento correspondiente (evidencia + ID del test plan).</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Aprobación</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Debe ser realizada personalmente por el dueño de producto — nunca delegada a otra persona para que "apruebe por él".</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Documentación adjunta</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Rutas a la wiki con arquitectura, manuales de usuario, documentación para soporte de primer nivel (Mateo), etc.</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Artefacto</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Identifica a cuál release/pipeline específico corresponde el DoD, cuando hay varios pasos a producción programados en el mismo sprint.</w:t>
            </w:r>
          </w:p>
        </w:tc>
      </w:tr>
    </w:tbl>
    <w:p>
      <w:pPr>
        <w:spacing w:after="200"/>
      </w:pPr>
    </w:p>
    <w:tbl>
      <w:tblPr>
        <w:tblW w:type="pct" w:w="100%"/>
        <w:tblBorders>
          <w:top w:val="single" w:color="C55A11" w:sz="4"/>
          <w:left w:val="single" w:color="C55A11" w:sz="24"/>
          <w:bottom w:val="single" w:color="C55A11" w:sz="4"/>
          <w:right w:val="single" w:color="C55A11" w:sz="4"/>
          <w:insideH w:val="single" w:color="auto" w:sz="4"/>
          <w:insideV w:val="single" w:color="auto" w:sz="4"/>
        </w:tblBorders>
      </w:tblPr>
      <w:tblGrid>
        <w:gridCol w:w="100"/>
      </w:tblGrid>
      <w:tr>
        <w:tc>
          <w:tcPr>
            <w:shd w:fill="FCE4D6" w:val="clear"/>
            <w:tcMar>
              <w:top w:type="dxa" w:w="150"/>
              <w:left w:type="dxa" w:w="200"/>
              <w:bottom w:type="dxa" w:w="150"/>
              <w:right w:type="dxa" w:w="200"/>
            </w:tcMar>
          </w:tcPr>
          <w:p>
            <w:pPr>
              <w:spacing w:after="60"/>
            </w:pPr>
            <w:r>
              <w:rPr>
                <w:b/>
                <w:bCs/>
                <w:color w:val="1F3864"/>
                <w:sz w:val="21"/>
                <w:szCs w:val="21"/>
              </w:rPr>
              <w:t xml:space="preserve">⚠️ Error frecuente en el consultorio virtual</w:t>
            </w:r>
          </w:p>
          <w:p>
            <w:pPr>
              <w:spacing w:after="0" w:line="280"/>
            </w:pPr>
            <w:r>
              <w:rPr>
                <w:color w:val="222222"/>
                <w:sz w:val="21"/>
                <w:szCs w:val="21"/>
              </w:rPr>
              <w:t xml:space="preserve">Olvidar diligenciar correctamente el campo "Artefacto" cuando hay múltiples pasos a producción del mismo equipo y pipeline en el mismo sprint — sin este dato, la herramienta no puede identificar a cuál release corresponde el DoD.</w:t>
            </w:r>
          </w:p>
        </w:tc>
      </w:tr>
    </w:tbl>
    <w:p>
      <w:pPr>
        <w:pageBreakBefore/>
      </w:pPr>
    </w:p>
    <w:p>
      <w:pPr>
        <w:pStyle w:val="Heading1"/>
        <w:pBdr>
          <w:bottom w:val="single" w:color="1F3864" w:sz="6" w:space="4"/>
        </w:pBdr>
        <w:spacing w:after="200" w:before="400"/>
      </w:pPr>
      <w:r>
        <w:rPr>
          <w:b/>
          <w:bCs/>
          <w:color w:val="1F3864"/>
          <w:sz w:val="30"/>
          <w:szCs w:val="30"/>
        </w:rPr>
        <w:t xml:space="preserve">12. Etapa 4: Desplegar la solución — los 3 tipos de despliegue</w:t>
      </w:r>
    </w:p>
    <w:p>
      <w:pPr>
        <w:spacing w:after="160" w:line="300"/>
      </w:pPr>
      <w:r>
        <w:rPr>
          <w:color w:val="222222"/>
          <w:sz w:val="22"/>
          <w:szCs w:val="22"/>
        </w:rPr>
        <w:t xml:space="preserve">Al llegar a este punto, el proceso le "toca la puerta" a Gestión de Cambios: no puede haber un paso a producción sin una CRQ que garantice el análisis de riesgo de la afectación.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Tipo de despliegue</w:t>
            </w:r>
          </w:p>
        </w:tc>
        <w:tc>
          <w:tcPr>
            <w:tcW w:type="dxa" w:w="2400"/>
            <w:shd w:fill="1F3864" w:val="clear"/>
            <w:tcMar>
              <w:top w:type="dxa" w:w="100"/>
              <w:left w:type="dxa" w:w="120"/>
              <w:bottom w:type="dxa" w:w="100"/>
              <w:right w:type="dxa" w:w="120"/>
            </w:tcMar>
            <w:vAlign w:val="center"/>
          </w:tcPr>
          <w:p>
            <w:r>
              <w:rPr>
                <w:b/>
                <w:bCs/>
                <w:color w:val="FFFFFF"/>
                <w:sz w:val="20"/>
                <w:szCs w:val="20"/>
              </w:rPr>
              <w:t xml:space="preserve">Herramienta</w:t>
            </w:r>
          </w:p>
        </w:tc>
        <w:tc>
          <w:tcPr>
            <w:tcW w:type="dxa" w:w="4550"/>
            <w:shd w:fill="1F3864" w:val="clear"/>
            <w:tcMar>
              <w:top w:type="dxa" w:w="100"/>
              <w:left w:type="dxa" w:w="120"/>
              <w:bottom w:type="dxa" w:w="100"/>
              <w:right w:type="dxa" w:w="120"/>
            </w:tcMar>
            <w:vAlign w:val="center"/>
          </w:tcPr>
          <w:p>
            <w:r>
              <w:rPr>
                <w:b/>
                <w:bCs/>
                <w:color w:val="FFFFFF"/>
                <w:sz w:val="20"/>
                <w:szCs w:val="20"/>
              </w:rPr>
              <w:t xml:space="preserve">Descripción</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Soluciones manuales</w:t>
            </w:r>
          </w:p>
        </w:tc>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Azure DevOps (extensión Git LFS)</w:t>
            </w:r>
          </w:p>
        </w:tc>
        <w:tc>
          <w:tcPr>
            <w:tcW w:type="dxa" w:w="4550"/>
            <w:shd w:fill="F2F2F2" w:val="clear"/>
            <w:tcMar>
              <w:top w:type="dxa" w:w="90"/>
              <w:left w:type="dxa" w:w="120"/>
              <w:bottom w:type="dxa" w:w="90"/>
              <w:right w:type="dxa" w:w="120"/>
            </w:tcMar>
            <w:vAlign w:val="center"/>
          </w:tcPr>
          <w:p>
            <w:pPr>
              <w:spacing w:line="260"/>
            </w:pPr>
            <w:r>
              <w:rPr>
                <w:color w:val="222222"/>
                <w:sz w:val="20"/>
                <w:szCs w:val="20"/>
              </w:rPr>
              <w:t xml:space="preserve">Cambios totalmente manuales ejecutados por una persona con altos privilegios (scripts, parámetros, componentes técnicos).</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Soluciones automáticas</w:t>
            </w:r>
          </w:p>
        </w:tc>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Azure DevOps (CI/CD)</w:t>
            </w:r>
          </w:p>
        </w:tc>
        <w:tc>
          <w:tcPr>
            <w:tcW w:type="dxa" w:w="4550"/>
            <w:shd w:fill="FFFFFF" w:val="clear"/>
            <w:tcMar>
              <w:top w:type="dxa" w:w="90"/>
              <w:left w:type="dxa" w:w="120"/>
              <w:bottom w:type="dxa" w:w="90"/>
              <w:right w:type="dxa" w:w="120"/>
            </w:tcMar>
            <w:vAlign w:val="center"/>
          </w:tcPr>
          <w:p>
            <w:pPr>
              <w:spacing w:line="260"/>
            </w:pPr>
            <w:r>
              <w:rPr>
                <w:color w:val="222222"/>
                <w:sz w:val="20"/>
                <w:szCs w:val="20"/>
              </w:rPr>
              <w:t xml:space="preserve">Despliegue 100% automático sin intervención humana.</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Soluciones SolMan (SAP)</w:t>
            </w:r>
          </w:p>
        </w:tc>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SolMan — módulo Charm</w:t>
            </w:r>
          </w:p>
        </w:tc>
        <w:tc>
          <w:tcPr>
            <w:tcW w:type="dxa" w:w="4550"/>
            <w:shd w:fill="F2F2F2" w:val="clear"/>
            <w:tcMar>
              <w:top w:type="dxa" w:w="90"/>
              <w:left w:type="dxa" w:w="120"/>
              <w:bottom w:type="dxa" w:w="90"/>
              <w:right w:type="dxa" w:w="120"/>
            </w:tcMar>
            <w:vAlign w:val="center"/>
          </w:tcPr>
          <w:p>
            <w:pPr>
              <w:spacing w:line="260"/>
            </w:pPr>
            <w:r>
              <w:rPr>
                <w:color w:val="222222"/>
                <w:sz w:val="20"/>
                <w:szCs w:val="20"/>
              </w:rPr>
              <w:t xml:space="preserve">Despliegue automatizado a través del documento Charm, asociado a la CRQ correspondiente.</w:t>
            </w:r>
          </w:p>
        </w:tc>
      </w:tr>
    </w:tbl>
    <w:p>
      <w:pPr>
        <w:spacing w:after="200"/>
      </w:pPr>
    </w:p>
    <w:p>
      <w:pPr>
        <w:pStyle w:val="Heading2"/>
        <w:spacing w:after="120" w:before="300"/>
      </w:pPr>
      <w:r>
        <w:rPr>
          <w:b/>
          <w:bCs/>
          <w:color w:val="2E5395"/>
          <w:sz w:val="24"/>
          <w:szCs w:val="24"/>
        </w:rPr>
        <w:t xml:space="preserve">Despliegue manual (Git LFS) — el control más sensible</w:t>
      </w:r>
    </w:p>
    <w:p>
      <w:pPr>
        <w:spacing w:after="160" w:line="300"/>
      </w:pPr>
      <w:r>
        <w:rPr>
          <w:color w:val="222222"/>
          <w:sz w:val="22"/>
          <w:szCs w:val="22"/>
        </w:rPr>
        <w:t xml:space="preserve">Es el control con mayor impacto y el más vigilado por entes regulatorios, porque involucra personas con altos privilegios en plataformas productivas.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F3864" w:val="clear"/>
            <w:tcMar>
              <w:top w:type="dxa" w:w="100"/>
              <w:left w:type="dxa" w:w="120"/>
              <w:bottom w:type="dxa" w:w="100"/>
              <w:right w:type="dxa" w:w="120"/>
            </w:tcMar>
            <w:vAlign w:val="center"/>
          </w:tcPr>
          <w:p>
            <w:r>
              <w:rPr>
                <w:b/>
                <w:bCs/>
                <w:color w:val="FFFFFF"/>
                <w:sz w:val="20"/>
                <w:szCs w:val="20"/>
              </w:rPr>
              <w:t xml:space="preserve">Paso</w:t>
            </w:r>
          </w:p>
        </w:tc>
        <w:tc>
          <w:tcPr>
            <w:tcW w:type="dxa" w:w="8650"/>
            <w:shd w:fill="1F3864" w:val="clear"/>
            <w:tcMar>
              <w:top w:type="dxa" w:w="100"/>
              <w:left w:type="dxa" w:w="120"/>
              <w:bottom w:type="dxa" w:w="100"/>
              <w:right w:type="dxa" w:w="120"/>
            </w:tcMar>
            <w:vAlign w:val="center"/>
          </w:tcPr>
          <w:p>
            <w:r>
              <w:rPr>
                <w:b/>
                <w:bCs/>
                <w:color w:val="FFFFFF"/>
                <w:sz w:val="20"/>
                <w:szCs w:val="20"/>
              </w:rPr>
              <w:t xml:space="preserve">Detalle</w:t>
            </w:r>
          </w:p>
        </w:tc>
      </w:tr>
      <w:tr>
        <w:tc>
          <w:tcPr>
            <w:tcW w:type="dxa" w:w="700"/>
            <w:shd w:fill="F2F2F2" w:val="clear"/>
            <w:tcMar>
              <w:top w:type="dxa" w:w="90"/>
              <w:left w:type="dxa" w:w="120"/>
              <w:bottom w:type="dxa" w:w="90"/>
              <w:right w:type="dxa" w:w="120"/>
            </w:tcMar>
            <w:vAlign w:val="center"/>
          </w:tcPr>
          <w:p>
            <w:pPr>
              <w:spacing w:line="260"/>
            </w:pPr>
            <w:r>
              <w:rPr>
                <w:color w:val="222222"/>
                <w:sz w:val="20"/>
                <w:szCs w:val="20"/>
              </w:rPr>
              <w:t xml:space="preserve">1</w:t>
            </w:r>
          </w:p>
        </w:tc>
        <w:tc>
          <w:tcPr>
            <w:tcW w:type="dxa" w:w="8650"/>
            <w:shd w:fill="F2F2F2" w:val="clear"/>
            <w:tcMar>
              <w:top w:type="dxa" w:w="90"/>
              <w:left w:type="dxa" w:w="120"/>
              <w:bottom w:type="dxa" w:w="90"/>
              <w:right w:type="dxa" w:w="120"/>
            </w:tcMar>
            <w:vAlign w:val="center"/>
          </w:tcPr>
          <w:p>
            <w:pPr>
              <w:spacing w:line="260"/>
            </w:pPr>
            <w:r>
              <w:rPr>
                <w:color w:val="222222"/>
                <w:sz w:val="20"/>
                <w:szCs w:val="20"/>
              </w:rPr>
              <w:t xml:space="preserve">El pipeline valida automáticamente que exista la CRQ y que esté aprobada, y que se esté dentro de la ventana definida en las variables del pipeline.</w:t>
            </w:r>
          </w:p>
        </w:tc>
      </w:tr>
      <w:tr>
        <w:tc>
          <w:tcPr>
            <w:tcW w:type="dxa" w:w="700"/>
            <w:shd w:fill="FFFFFF" w:val="clear"/>
            <w:tcMar>
              <w:top w:type="dxa" w:w="90"/>
              <w:left w:type="dxa" w:w="120"/>
              <w:bottom w:type="dxa" w:w="90"/>
              <w:right w:type="dxa" w:w="120"/>
            </w:tcMar>
            <w:vAlign w:val="center"/>
          </w:tcPr>
          <w:p>
            <w:pPr>
              <w:spacing w:line="260"/>
            </w:pPr>
            <w:r>
              <w:rPr>
                <w:color w:val="222222"/>
                <w:sz w:val="20"/>
                <w:szCs w:val="20"/>
              </w:rPr>
              <w:t xml:space="preserve">2</w:t>
            </w:r>
          </w:p>
        </w:tc>
        <w:tc>
          <w:tcPr>
            <w:tcW w:type="dxa" w:w="8650"/>
            <w:shd w:fill="FFFFFF" w:val="clear"/>
            <w:tcMar>
              <w:top w:type="dxa" w:w="90"/>
              <w:left w:type="dxa" w:w="120"/>
              <w:bottom w:type="dxa" w:w="90"/>
              <w:right w:type="dxa" w:w="120"/>
            </w:tcMar>
            <w:vAlign w:val="center"/>
          </w:tcPr>
          <w:p>
            <w:pPr>
              <w:spacing w:line="260"/>
            </w:pPr>
            <w:r>
              <w:rPr>
                <w:color w:val="222222"/>
                <w:sz w:val="20"/>
                <w:szCs w:val="20"/>
              </w:rPr>
              <w:t xml:space="preserve">Se envía un correo automático (desde Azure DevOps) al grupo de instaladores — debe estar correctamente configurado y actualizado.</w:t>
            </w:r>
          </w:p>
        </w:tc>
      </w:tr>
      <w:tr>
        <w:tc>
          <w:tcPr>
            <w:tcW w:type="dxa" w:w="700"/>
            <w:shd w:fill="F2F2F2" w:val="clear"/>
            <w:tcMar>
              <w:top w:type="dxa" w:w="90"/>
              <w:left w:type="dxa" w:w="120"/>
              <w:bottom w:type="dxa" w:w="90"/>
              <w:right w:type="dxa" w:w="120"/>
            </w:tcMar>
            <w:vAlign w:val="center"/>
          </w:tcPr>
          <w:p>
            <w:pPr>
              <w:spacing w:line="260"/>
            </w:pPr>
            <w:r>
              <w:rPr>
                <w:color w:val="222222"/>
                <w:sz w:val="20"/>
                <w:szCs w:val="20"/>
              </w:rPr>
              <w:t xml:space="preserve">3</w:t>
            </w:r>
          </w:p>
        </w:tc>
        <w:tc>
          <w:tcPr>
            <w:tcW w:type="dxa" w:w="8650"/>
            <w:shd w:fill="F2F2F2" w:val="clear"/>
            <w:tcMar>
              <w:top w:type="dxa" w:w="90"/>
              <w:left w:type="dxa" w:w="120"/>
              <w:bottom w:type="dxa" w:w="90"/>
              <w:right w:type="dxa" w:w="120"/>
            </w:tcMar>
            <w:vAlign w:val="center"/>
          </w:tcPr>
          <w:p>
            <w:pPr>
              <w:spacing w:line="260"/>
            </w:pPr>
            <w:r>
              <w:rPr>
                <w:color w:val="222222"/>
                <w:sz w:val="20"/>
                <w:szCs w:val="20"/>
              </w:rPr>
              <w:t xml:space="preserve">El instalador descarga el artefacto y la documentación DESDE ESE CORREO — nunca por otro medio.</w:t>
            </w:r>
          </w:p>
        </w:tc>
      </w:tr>
      <w:tr>
        <w:tc>
          <w:tcPr>
            <w:tcW w:type="dxa" w:w="700"/>
            <w:shd w:fill="FFFFFF" w:val="clear"/>
            <w:tcMar>
              <w:top w:type="dxa" w:w="90"/>
              <w:left w:type="dxa" w:w="120"/>
              <w:bottom w:type="dxa" w:w="90"/>
              <w:right w:type="dxa" w:w="120"/>
            </w:tcMar>
            <w:vAlign w:val="center"/>
          </w:tcPr>
          <w:p>
            <w:pPr>
              <w:spacing w:line="260"/>
            </w:pPr>
            <w:r>
              <w:rPr>
                <w:color w:val="222222"/>
                <w:sz w:val="20"/>
                <w:szCs w:val="20"/>
              </w:rPr>
              <w:t xml:space="preserve">4</w:t>
            </w:r>
          </w:p>
        </w:tc>
        <w:tc>
          <w:tcPr>
            <w:tcW w:type="dxa" w:w="8650"/>
            <w:shd w:fill="FFFFFF" w:val="clear"/>
            <w:tcMar>
              <w:top w:type="dxa" w:w="90"/>
              <w:left w:type="dxa" w:w="120"/>
              <w:bottom w:type="dxa" w:w="90"/>
              <w:right w:type="dxa" w:w="120"/>
            </w:tcMar>
            <w:vAlign w:val="center"/>
          </w:tcPr>
          <w:p>
            <w:pPr>
              <w:spacing w:line="260"/>
            </w:pPr>
            <w:r>
              <w:rPr>
                <w:color w:val="222222"/>
                <w:sz w:val="20"/>
                <w:szCs w:val="20"/>
              </w:rPr>
              <w:t xml:space="preserve">El instalador ejecuta la instalación con sus privilegios y aprueba o rechaza la tarea (post-deployment approval) en el pipeline / en Hilix (si es SolMan).</w:t>
            </w:r>
          </w:p>
        </w:tc>
      </w:tr>
    </w:tbl>
    <w:p>
      <w:pPr>
        <w:spacing w:after="200"/>
      </w:pPr>
    </w:p>
    <w:tbl>
      <w:tblPr>
        <w:tblW w:type="pct" w:w="100%"/>
        <w:tblBorders>
          <w:top w:val="single" w:color="C55A11" w:sz="4"/>
          <w:left w:val="single" w:color="C55A11" w:sz="24"/>
          <w:bottom w:val="single" w:color="C55A11" w:sz="4"/>
          <w:right w:val="single" w:color="C55A11" w:sz="4"/>
          <w:insideH w:val="single" w:color="auto" w:sz="4"/>
          <w:insideV w:val="single" w:color="auto" w:sz="4"/>
        </w:tblBorders>
      </w:tblPr>
      <w:tblGrid>
        <w:gridCol w:w="100"/>
      </w:tblGrid>
      <w:tr>
        <w:tc>
          <w:tcPr>
            <w:shd w:fill="FCE4D6" w:val="clear"/>
            <w:tcMar>
              <w:top w:type="dxa" w:w="150"/>
              <w:left w:type="dxa" w:w="200"/>
              <w:bottom w:type="dxa" w:w="150"/>
              <w:right w:type="dxa" w:w="200"/>
            </w:tcMar>
          </w:tcPr>
          <w:p>
            <w:pPr>
              <w:spacing w:after="60"/>
            </w:pPr>
            <w:r>
              <w:rPr>
                <w:b/>
                <w:bCs/>
                <w:color w:val="1F3864"/>
                <w:sz w:val="21"/>
                <w:szCs w:val="21"/>
              </w:rPr>
              <w:t xml:space="preserve">🚫 Regla estricta: nunca recibir instrucciones por fuera del correo automático</w:t>
            </w:r>
          </w:p>
          <w:p>
            <w:pPr>
              <w:spacing w:after="0" w:line="280"/>
            </w:pPr>
            <w:r>
              <w:rPr>
                <w:color w:val="222222"/>
                <w:sz w:val="21"/>
                <w:szCs w:val="21"/>
              </w:rPr>
              <w:t xml:space="preserve">No se debe instalar nada recibido por correo personal, OneDrive compartido, Teams, ni adjunto directamente en la CRQ. Todo debe originarse desde la herramienta de versionamiento (Git LFS dentro de Azure DevOps). Esto mitiga el riesgo de fraude interno, y ha sido causa de incumplimientos SOX por listas de distribución desactualizadas.</w:t>
            </w:r>
          </w:p>
        </w:tc>
      </w:tr>
    </w:tbl>
    <w:p>
      <w:pPr>
        <w:spacing w:after="160"/>
      </w:pPr>
    </w:p>
    <w:p>
      <w:pPr>
        <w:pStyle w:val="Heading2"/>
        <w:spacing w:after="120" w:before="300"/>
      </w:pPr>
      <w:r>
        <w:rPr>
          <w:b/>
          <w:bCs/>
          <w:color w:val="2E5395"/>
          <w:sz w:val="24"/>
          <w:szCs w:val="24"/>
        </w:rPr>
        <w:t xml:space="preserve">Despliegue automático</w:t>
      </w:r>
    </w:p>
    <w:p>
      <w:pPr>
        <w:spacing w:after="160" w:line="300"/>
      </w:pPr>
      <w:r>
        <w:rPr>
          <w:color w:val="222222"/>
          <w:sz w:val="22"/>
          <w:szCs w:val="22"/>
        </w:rPr>
        <w:t xml:space="preserve">El pipeline de Release valida: integración continua exitosa, administración de configuración (versionamiento correcto), administración del release (el artefacto pasó por ambientes previos no productivos), y que exista el stage "Create CRQ" — este no se puede omitir para saltarse la aprobación del líder.</w:t>
      </w:r>
    </w:p>
    <w:p>
      <w:pPr>
        <w:spacing w:after="160"/>
      </w:pPr>
    </w:p>
    <w:p>
      <w:pPr>
        <w:pStyle w:val="Heading2"/>
        <w:spacing w:after="120" w:before="300"/>
      </w:pPr>
      <w:r>
        <w:rPr>
          <w:b/>
          <w:bCs/>
          <w:color w:val="2E5395"/>
          <w:sz w:val="24"/>
          <w:szCs w:val="24"/>
        </w:rPr>
        <w:t xml:space="preserve">Despliegue SolMan (Charm)</w:t>
      </w:r>
    </w:p>
    <w:p>
      <w:pPr>
        <w:spacing w:after="160" w:line="300"/>
      </w:pPr>
      <w:r>
        <w:rPr>
          <w:color w:val="222222"/>
          <w:sz w:val="22"/>
          <w:szCs w:val="22"/>
        </w:rPr>
        <w:t xml:space="preserve">Valida automáticamente: que la CRQ (petición de cambio) esté vigente, que exista asociación correcta entre el documento Charm y la CRQ, y que las aprobaciones correspondientes ya se hayan dado. Al cumplirse todo, el documento pasa a estado "Autorizado para producción" y un job ejecuta la instalación sin intervención humana.</w:t>
      </w:r>
    </w:p>
    <w:p>
      <w:pPr>
        <w:pageBreakBefore/>
      </w:pPr>
    </w:p>
    <w:p>
      <w:pPr>
        <w:pStyle w:val="Heading1"/>
        <w:pBdr>
          <w:bottom w:val="single" w:color="1F3864" w:sz="6" w:space="4"/>
        </w:pBdr>
        <w:spacing w:after="200" w:before="400"/>
      </w:pPr>
      <w:r>
        <w:rPr>
          <w:b/>
          <w:bCs/>
          <w:color w:val="1F3864"/>
          <w:sz w:val="30"/>
          <w:szCs w:val="30"/>
        </w:rPr>
        <w:t xml:space="preserve">13. Los controles SOX del proceso</w:t>
      </w:r>
    </w:p>
    <w:p>
      <w:pPr>
        <w:spacing w:after="160" w:line="300"/>
      </w:pPr>
      <w:r>
        <w:rPr>
          <w:color w:val="222222"/>
          <w:sz w:val="22"/>
          <w:szCs w:val="22"/>
        </w:rPr>
        <w:t xml:space="preserve">Los 3 tipos de despliegue (manual, automático y SolMan) son, en sí mismos, controles SOX. A esto se suman los controles de segregación de funciones durante la implementación.</w:t>
      </w:r>
    </w:p>
    <w:p>
      <w:pPr>
        <w:pStyle w:val="Heading2"/>
        <w:spacing w:after="120" w:before="300"/>
      </w:pPr>
      <w:r>
        <w:rPr>
          <w:b/>
          <w:bCs/>
          <w:color w:val="2E5395"/>
          <w:sz w:val="24"/>
          <w:szCs w:val="24"/>
        </w:rPr>
        <w:t xml:space="preserve">Control 1: Segregación de funciones (Pull Request / Aprobación par)</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Circular 029 de la Superintendencia Financiera</w:t>
            </w:r>
          </w:p>
          <w:p>
            <w:pPr>
              <w:spacing w:after="0" w:line="280"/>
            </w:pPr>
            <w:r>
              <w:rPr>
                <w:color w:val="222222"/>
                <w:sz w:val="21"/>
                <w:szCs w:val="21"/>
              </w:rPr>
              <w:t xml:space="preserve">Exige que en algún punto del camino existan aprobaciones par: un desarrollador no puede desarrollar, probar y pasar a producción por sí mismo. El Pull Request es ese punto de control — presente en Azure Repos, GitHub y en la aprobación par de SolMan.</w:t>
            </w:r>
          </w:p>
        </w:tc>
      </w:tr>
    </w:tbl>
    <w:p>
      <w:pPr>
        <w:pStyle w:val="ListParagraph"/>
        <w:numPr>
          <w:ilvl w:val="0"/>
          <w:numId w:val="2"/>
        </w:numPr>
        <w:spacing w:after="90" w:line="280"/>
      </w:pPr>
      <w:r>
        <w:rPr>
          <w:color w:val="222222"/>
          <w:sz w:val="22"/>
          <w:szCs w:val="22"/>
        </w:rPr>
        <w:t xml:space="preserve">La aprobación debe ser objetiva: el aprobador revisa que el cambio esté justificado por un work item real (historia de usuario, incidente, habilitador) — nunca "aprobar a ciegas".</w:t>
      </w:r>
    </w:p>
    <w:p>
      <w:pPr>
        <w:pStyle w:val="ListParagraph"/>
        <w:numPr>
          <w:ilvl w:val="0"/>
          <w:numId w:val="2"/>
        </w:numPr>
        <w:spacing w:after="90" w:line="280"/>
      </w:pPr>
      <w:r>
        <w:rPr>
          <w:color w:val="222222"/>
          <w:sz w:val="22"/>
          <w:szCs w:val="22"/>
        </w:rPr>
        <w:t xml:space="preserve">La gestión de comentarios en el PR permite señalar líneas de código sospechosas antes de aprobar (disponible en GitHub y GitLab).</w:t>
      </w:r>
    </w:p>
    <w:p>
      <w:pPr>
        <w:spacing w:after="200"/>
      </w:pPr>
    </w:p>
    <w:p>
      <w:pPr>
        <w:pStyle w:val="Heading2"/>
        <w:spacing w:after="120" w:before="300"/>
      </w:pPr>
      <w:r>
        <w:rPr>
          <w:b/>
          <w:bCs/>
          <w:color w:val="2E5395"/>
          <w:sz w:val="24"/>
          <w:szCs w:val="24"/>
        </w:rPr>
        <w:t xml:space="preserve">Control 2: Aprobación técnica de la solución</w:t>
      </w:r>
    </w:p>
    <w:p>
      <w:pPr>
        <w:spacing w:after="160" w:line="300"/>
      </w:pPr>
      <w:r>
        <w:rPr>
          <w:color w:val="222222"/>
          <w:sz w:val="22"/>
          <w:szCs w:val="22"/>
        </w:rPr>
        <w:t xml:space="preserve">Es la validación manual del líder (o ingeniero de software autorizado, o líder técnico de EBC) en el stage "Create CRQ" del pipeline. Revisa el DoD completo: test plan, documentación, encuesta de riesgos y aval funcional del 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3864" w:val="clear"/>
            <w:tcMar>
              <w:top w:type="dxa" w:w="100"/>
              <w:left w:type="dxa" w:w="120"/>
              <w:bottom w:type="dxa" w:w="100"/>
              <w:right w:type="dxa" w:w="120"/>
            </w:tcMar>
            <w:vAlign w:val="center"/>
          </w:tcPr>
          <w:p>
            <w:r>
              <w:rPr>
                <w:b/>
                <w:bCs/>
                <w:color w:val="FFFFFF"/>
                <w:sz w:val="20"/>
                <w:szCs w:val="20"/>
              </w:rPr>
              <w:t xml:space="preserve">Tipo de despliegue</w:t>
            </w:r>
          </w:p>
        </w:tc>
        <w:tc>
          <w:tcPr>
            <w:tcW w:type="dxa" w:w="5750"/>
            <w:shd w:fill="1F3864" w:val="clear"/>
            <w:tcMar>
              <w:top w:type="dxa" w:w="100"/>
              <w:left w:type="dxa" w:w="120"/>
              <w:bottom w:type="dxa" w:w="100"/>
              <w:right w:type="dxa" w:w="120"/>
            </w:tcMar>
            <w:vAlign w:val="center"/>
          </w:tcPr>
          <w:p>
            <w:r>
              <w:rPr>
                <w:b/>
                <w:bCs/>
                <w:color w:val="FFFFFF"/>
                <w:sz w:val="20"/>
                <w:szCs w:val="20"/>
              </w:rPr>
              <w:t xml:space="preserve">Dónde queda la aprobación</w:t>
            </w:r>
          </w:p>
        </w:tc>
      </w:tr>
      <w:tr>
        <w:tc>
          <w:tcPr>
            <w:tcW w:type="dxa" w:w="3600"/>
            <w:shd w:fill="F2F2F2" w:val="clear"/>
            <w:tcMar>
              <w:top w:type="dxa" w:w="90"/>
              <w:left w:type="dxa" w:w="120"/>
              <w:bottom w:type="dxa" w:w="90"/>
              <w:right w:type="dxa" w:w="120"/>
            </w:tcMar>
            <w:vAlign w:val="center"/>
          </w:tcPr>
          <w:p>
            <w:pPr>
              <w:spacing w:line="260"/>
            </w:pPr>
            <w:r>
              <w:rPr>
                <w:color w:val="222222"/>
                <w:sz w:val="20"/>
                <w:szCs w:val="20"/>
              </w:rPr>
              <w:t xml:space="preserve">Automático / manual (Azure DevOps)</w:t>
            </w:r>
          </w:p>
        </w:tc>
        <w:tc>
          <w:tcPr>
            <w:tcW w:type="dxa" w:w="5750"/>
            <w:shd w:fill="F2F2F2" w:val="clear"/>
            <w:tcMar>
              <w:top w:type="dxa" w:w="90"/>
              <w:left w:type="dxa" w:w="120"/>
              <w:bottom w:type="dxa" w:w="90"/>
              <w:right w:type="dxa" w:w="120"/>
            </w:tcMar>
            <w:vAlign w:val="center"/>
          </w:tcPr>
          <w:p>
            <w:pPr>
              <w:spacing w:line="260"/>
            </w:pPr>
            <w:r>
              <w:rPr>
                <w:color w:val="222222"/>
                <w:sz w:val="20"/>
                <w:szCs w:val="20"/>
              </w:rPr>
              <w:t xml:space="preserve">Dentro del pipeline de Release, en el stage Create CRQ.</w:t>
            </w:r>
          </w:p>
        </w:tc>
      </w:tr>
      <w:tr>
        <w:tc>
          <w:tcPr>
            <w:tcW w:type="dxa" w:w="3600"/>
            <w:shd w:fill="FFFFFF" w:val="clear"/>
            <w:tcMar>
              <w:top w:type="dxa" w:w="90"/>
              <w:left w:type="dxa" w:w="120"/>
              <w:bottom w:type="dxa" w:w="90"/>
              <w:right w:type="dxa" w:w="120"/>
            </w:tcMar>
            <w:vAlign w:val="center"/>
          </w:tcPr>
          <w:p>
            <w:pPr>
              <w:spacing w:line="260"/>
            </w:pPr>
            <w:r>
              <w:rPr>
                <w:color w:val="222222"/>
                <w:sz w:val="20"/>
                <w:szCs w:val="20"/>
              </w:rPr>
              <w:t xml:space="preserve">SolMan</w:t>
            </w:r>
          </w:p>
        </w:tc>
        <w:tc>
          <w:tcPr>
            <w:tcW w:type="dxa" w:w="5750"/>
            <w:shd w:fill="FFFFFF" w:val="clear"/>
            <w:tcMar>
              <w:top w:type="dxa" w:w="90"/>
              <w:left w:type="dxa" w:w="120"/>
              <w:bottom w:type="dxa" w:w="90"/>
              <w:right w:type="dxa" w:w="120"/>
            </w:tcMar>
            <w:vAlign w:val="center"/>
          </w:tcPr>
          <w:p>
            <w:pPr>
              <w:spacing w:line="260"/>
            </w:pPr>
            <w:r>
              <w:rPr>
                <w:color w:val="222222"/>
                <w:sz w:val="20"/>
                <w:szCs w:val="20"/>
              </w:rPr>
              <w:t xml:space="preserve">Directamente en Hilix, vía la CRQ generada automáticamente.</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Mensaje para líderes e ingenieros aprobadores</w:t>
            </w:r>
          </w:p>
          <w:p>
            <w:pPr>
              <w:spacing w:after="0" w:line="280"/>
            </w:pPr>
            <w:r>
              <w:rPr>
                <w:color w:val="222222"/>
                <w:sz w:val="21"/>
                <w:szCs w:val="21"/>
              </w:rPr>
              <w:t xml:space="preserve">Cada aprobación de PR o de paso a producción ES un control SOX. Queda trazabilidad ante entes regulatorios de que la aprobación fue consciente, objetiva y basada en evidencia — no un trámite mecánico.</w:t>
            </w:r>
          </w:p>
        </w:tc>
      </w:tr>
    </w:tbl>
    <w:p>
      <w:pPr>
        <w:pageBreakBefore/>
      </w:pPr>
    </w:p>
    <w:p>
      <w:pPr>
        <w:pStyle w:val="Heading1"/>
        <w:pBdr>
          <w:bottom w:val="single" w:color="1F3864" w:sz="6" w:space="4"/>
        </w:pBdr>
        <w:spacing w:after="200" w:before="400"/>
      </w:pPr>
      <w:r>
        <w:rPr>
          <w:b/>
          <w:bCs/>
          <w:color w:val="1F3864"/>
          <w:sz w:val="30"/>
          <w:szCs w:val="30"/>
        </w:rPr>
        <w:t xml:space="preserve">14. Etapa 5: Estabilizar</w:t>
      </w:r>
    </w:p>
    <w:p>
      <w:pPr>
        <w:spacing w:after="160" w:line="300"/>
      </w:pPr>
      <w:r>
        <w:rPr>
          <w:color w:val="222222"/>
          <w:sz w:val="22"/>
          <w:szCs w:val="22"/>
        </w:rPr>
        <w:t xml:space="preserve">Después de pasar a producción, el trabajo no termina. Esta etapa conecta con otros procesos críticos:</w:t>
      </w:r>
    </w:p>
    <w:p>
      <w:pPr>
        <w:pStyle w:val="ListParagraph"/>
        <w:numPr>
          <w:ilvl w:val="0"/>
          <w:numId w:val="2"/>
        </w:numPr>
        <w:spacing w:after="90" w:line="280"/>
      </w:pPr>
      <w:r>
        <w:rPr>
          <w:color w:val="222222"/>
          <w:sz w:val="22"/>
          <w:szCs w:val="22"/>
        </w:rPr>
        <w:t xml:space="preserve">Gestión de Incidentes: si la solución genera algún problema en producción.</w:t>
      </w:r>
    </w:p>
    <w:p>
      <w:pPr>
        <w:pStyle w:val="ListParagraph"/>
        <w:numPr>
          <w:ilvl w:val="0"/>
          <w:numId w:val="2"/>
        </w:numPr>
        <w:spacing w:after="90" w:line="280"/>
      </w:pPr>
      <w:r>
        <w:rPr>
          <w:color w:val="222222"/>
          <w:sz w:val="22"/>
          <w:szCs w:val="22"/>
        </w:rPr>
        <w:t xml:space="preserve">Gestión de Vulnerabilidades: si quedan vulnerabilidades aceptadas y abiertas en BoolTracker, deben volver a pasar por el ciclo del proceso (preparar, implementar, desplegar) para cerrarse.</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El ciclo se repite</w:t>
            </w:r>
          </w:p>
          <w:p>
            <w:pPr>
              <w:spacing w:after="0" w:line="280"/>
            </w:pPr>
            <w:r>
              <w:rPr>
                <w:color w:val="222222"/>
                <w:sz w:val="21"/>
                <w:szCs w:val="21"/>
              </w:rPr>
              <w:t xml:space="preserve">El proceso replica las prácticas más robustas de la industria de software y del Centro de Excelencia DevEx — no es lineal y cerrado, sino que se retroalimenta constantemente con lo que ocurre después de cada despliegue.</w:t>
            </w:r>
          </w:p>
        </w:tc>
      </w:tr>
    </w:tbl>
    <w:p>
      <w:pPr>
        <w:pageBreakBefore/>
      </w:pPr>
    </w:p>
    <w:p>
      <w:pPr>
        <w:pStyle w:val="Heading1"/>
        <w:pBdr>
          <w:bottom w:val="single" w:color="1F3864" w:sz="6" w:space="4"/>
        </w:pBdr>
        <w:spacing w:after="200" w:before="400"/>
      </w:pPr>
      <w:r>
        <w:rPr>
          <w:b/>
          <w:bCs/>
          <w:color w:val="1F3864"/>
          <w:sz w:val="30"/>
          <w:szCs w:val="30"/>
        </w:rPr>
        <w:t xml:space="preserve">15. Auditoría y entes de control</w:t>
      </w:r>
    </w:p>
    <w:p>
      <w:pPr>
        <w:spacing w:after="160" w:line="300"/>
      </w:pPr>
      <w:r>
        <w:rPr>
          <w:color w:val="222222"/>
          <w:sz w:val="22"/>
          <w:szCs w:val="22"/>
        </w:rPr>
        <w:t xml:space="preserve">Todo lo que se hace en el proceso está vigilado — incluso un cambio "pequeño" (quitar un comentario, cambiar una coma) hace parte de la trazabilidad.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5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Ente</w:t>
            </w:r>
          </w:p>
        </w:tc>
        <w:tc>
          <w:tcPr>
            <w:tcW w:type="dxa" w:w="1700"/>
            <w:shd w:fill="1F3864" w:val="clear"/>
            <w:tcMar>
              <w:top w:type="dxa" w:w="100"/>
              <w:left w:type="dxa" w:w="120"/>
              <w:bottom w:type="dxa" w:w="100"/>
              <w:right w:type="dxa" w:w="120"/>
            </w:tcMar>
            <w:vAlign w:val="center"/>
          </w:tcPr>
          <w:p>
            <w:r>
              <w:rPr>
                <w:b/>
                <w:bCs/>
                <w:color w:val="FFFFFF"/>
                <w:sz w:val="20"/>
                <w:szCs w:val="20"/>
              </w:rPr>
              <w:t xml:space="preserve">Frecuencia</w:t>
            </w:r>
          </w:p>
        </w:tc>
        <w:tc>
          <w:tcPr>
            <w:tcW w:type="dxa" w:w="5250"/>
            <w:shd w:fill="1F3864" w:val="clear"/>
            <w:tcMar>
              <w:top w:type="dxa" w:w="100"/>
              <w:left w:type="dxa" w:w="120"/>
              <w:bottom w:type="dxa" w:w="100"/>
              <w:right w:type="dxa" w:w="120"/>
            </w:tcMar>
            <w:vAlign w:val="center"/>
          </w:tcPr>
          <w:p>
            <w:r>
              <w:rPr>
                <w:b/>
                <w:bCs/>
                <w:color w:val="FFFFFF"/>
                <w:sz w:val="20"/>
                <w:szCs w:val="20"/>
              </w:rPr>
              <w:t xml:space="preserve">Qué revisa</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Auditoría Interna</w:t>
            </w:r>
          </w:p>
        </w:tc>
        <w:tc>
          <w:tcPr>
            <w:tcW w:type="dxa" w:w="1700"/>
            <w:shd w:fill="F2F2F2" w:val="clear"/>
            <w:tcMar>
              <w:top w:type="dxa" w:w="90"/>
              <w:left w:type="dxa" w:w="120"/>
              <w:bottom w:type="dxa" w:w="90"/>
              <w:right w:type="dxa" w:w="120"/>
            </w:tcMar>
            <w:vAlign w:val="center"/>
          </w:tcPr>
          <w:p>
            <w:pPr>
              <w:spacing w:line="260"/>
            </w:pPr>
            <w:r>
              <w:rPr>
                <w:color w:val="222222"/>
                <w:sz w:val="20"/>
                <w:szCs w:val="20"/>
              </w:rPr>
              <w:t xml:space="preserve">2 ciclos al año</w:t>
            </w:r>
          </w:p>
        </w:tc>
        <w:tc>
          <w:tcPr>
            <w:tcW w:type="dxa" w:w="5250"/>
            <w:shd w:fill="F2F2F2" w:val="clear"/>
            <w:tcMar>
              <w:top w:type="dxa" w:w="90"/>
              <w:left w:type="dxa" w:w="120"/>
              <w:bottom w:type="dxa" w:w="90"/>
              <w:right w:type="dxa" w:w="120"/>
            </w:tcMar>
            <w:vAlign w:val="center"/>
          </w:tcPr>
          <w:p>
            <w:pPr>
              <w:spacing w:line="260"/>
            </w:pPr>
            <w:r>
              <w:rPr>
                <w:color w:val="222222"/>
                <w:sz w:val="20"/>
                <w:szCs w:val="20"/>
              </w:rPr>
              <w:t xml:space="preserve">Muestreo de cambios (de cualquier tamaño): CRQ detallada y aprobada, DoD, aprobación del PO, Test Plan con evidencias, encuesta de riesgos, nivel de riesgo aprobado por el rol correcto, documentación y backlog del equipo.</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Riesgos y SOX (interno)</w:t>
            </w:r>
          </w:p>
        </w:tc>
        <w:tc>
          <w:tcPr>
            <w:tcW w:type="dxa" w:w="1700"/>
            <w:shd w:fill="FFFFFF" w:val="clear"/>
            <w:tcMar>
              <w:top w:type="dxa" w:w="90"/>
              <w:left w:type="dxa" w:w="120"/>
              <w:bottom w:type="dxa" w:w="90"/>
              <w:right w:type="dxa" w:w="120"/>
            </w:tcMar>
            <w:vAlign w:val="center"/>
          </w:tcPr>
          <w:p>
            <w:pPr>
              <w:spacing w:line="260"/>
            </w:pPr>
            <w:r>
              <w:rPr>
                <w:color w:val="222222"/>
                <w:sz w:val="20"/>
                <w:szCs w:val="20"/>
              </w:rPr>
              <w:t xml:space="preserve">Continuo</w:t>
            </w:r>
          </w:p>
        </w:tc>
        <w:tc>
          <w:tcPr>
            <w:tcW w:type="dxa" w:w="5250"/>
            <w:shd w:fill="FFFFFF" w:val="clear"/>
            <w:tcMar>
              <w:top w:type="dxa" w:w="90"/>
              <w:left w:type="dxa" w:w="120"/>
              <w:bottom w:type="dxa" w:w="90"/>
              <w:right w:type="dxa" w:w="120"/>
            </w:tcMar>
            <w:vAlign w:val="center"/>
          </w:tcPr>
          <w:p>
            <w:pPr>
              <w:spacing w:line="260"/>
            </w:pPr>
            <w:r>
              <w:rPr>
                <w:color w:val="222222"/>
                <w:sz w:val="20"/>
                <w:szCs w:val="20"/>
              </w:rPr>
              <w:t xml:space="preserve">Aliados del proceso — ayudan a mejorar el ambiente de control.</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Superintendencia Financiera (externo)</w:t>
            </w:r>
          </w:p>
        </w:tc>
        <w:tc>
          <w:tcPr>
            <w:tcW w:type="dxa" w:w="1700"/>
            <w:shd w:fill="F2F2F2" w:val="clear"/>
            <w:tcMar>
              <w:top w:type="dxa" w:w="90"/>
              <w:left w:type="dxa" w:w="120"/>
              <w:bottom w:type="dxa" w:w="90"/>
              <w:right w:type="dxa" w:w="120"/>
            </w:tcMar>
            <w:vAlign w:val="center"/>
          </w:tcPr>
          <w:p>
            <w:pPr>
              <w:spacing w:line="260"/>
            </w:pPr>
            <w:r>
              <w:rPr>
                <w:color w:val="222222"/>
                <w:sz w:val="20"/>
                <w:szCs w:val="20"/>
              </w:rPr>
              <w:t xml:space="preserve">Visitas repentinas o requerimientos</w:t>
            </w:r>
          </w:p>
        </w:tc>
        <w:tc>
          <w:tcPr>
            <w:tcW w:type="dxa" w:w="5250"/>
            <w:shd w:fill="F2F2F2" w:val="clear"/>
            <w:tcMar>
              <w:top w:type="dxa" w:w="90"/>
              <w:left w:type="dxa" w:w="120"/>
              <w:bottom w:type="dxa" w:w="90"/>
              <w:right w:type="dxa" w:w="120"/>
            </w:tcMar>
            <w:vAlign w:val="center"/>
          </w:tcPr>
          <w:p>
            <w:pPr>
              <w:spacing w:line="260"/>
            </w:pPr>
            <w:r>
              <w:rPr>
                <w:color w:val="222222"/>
                <w:sz w:val="20"/>
                <w:szCs w:val="20"/>
              </w:rPr>
              <w:t xml:space="preserve">Cumplimiento normativo general, incluida la Circular 028 (indisponibilidad de servicios).</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Revisoría Fiscal — PwC (externo)</w:t>
            </w:r>
          </w:p>
        </w:tc>
        <w:tc>
          <w:tcPr>
            <w:tcW w:type="dxa" w:w="1700"/>
            <w:shd w:fill="FFFFFF" w:val="clear"/>
            <w:tcMar>
              <w:top w:type="dxa" w:w="90"/>
              <w:left w:type="dxa" w:w="120"/>
              <w:bottom w:type="dxa" w:w="90"/>
              <w:right w:type="dxa" w:w="120"/>
            </w:tcMar>
            <w:vAlign w:val="center"/>
          </w:tcPr>
          <w:p>
            <w:pPr>
              <w:spacing w:line="260"/>
            </w:pPr>
            <w:r>
              <w:rPr>
                <w:color w:val="222222"/>
                <w:sz w:val="20"/>
                <w:szCs w:val="20"/>
              </w:rPr>
              <w:t xml:space="preserve">2 revisiones al año</w:t>
            </w:r>
          </w:p>
        </w:tc>
        <w:tc>
          <w:tcPr>
            <w:tcW w:type="dxa" w:w="5250"/>
            <w:shd w:fill="FFFFFF" w:val="clear"/>
            <w:tcMar>
              <w:top w:type="dxa" w:w="90"/>
              <w:left w:type="dxa" w:w="120"/>
              <w:bottom w:type="dxa" w:w="90"/>
              <w:right w:type="dxa" w:w="120"/>
            </w:tcMar>
            <w:vAlign w:val="center"/>
          </w:tcPr>
          <w:p>
            <w:pPr>
              <w:spacing w:line="260"/>
            </w:pPr>
            <w:r>
              <w:rPr>
                <w:color w:val="222222"/>
                <w:sz w:val="20"/>
                <w:szCs w:val="20"/>
              </w:rPr>
              <w:t xml:space="preserve">Diseño del control y su operatividad; verifican directamente en las plataformas qué objetos se instalaron y si corresponden a una CRQ y artefacto trazable.</w:t>
            </w:r>
          </w:p>
        </w:tc>
      </w:tr>
    </w:tbl>
    <w:p>
      <w:pPr>
        <w:pageBreakBefore/>
      </w:pPr>
    </w:p>
    <w:p>
      <w:pPr>
        <w:pStyle w:val="Heading1"/>
        <w:pBdr>
          <w:bottom w:val="single" w:color="1F3864" w:sz="6" w:space="4"/>
        </w:pBdr>
        <w:spacing w:after="200" w:before="400"/>
      </w:pPr>
      <w:r>
        <w:rPr>
          <w:b/>
          <w:bCs/>
          <w:color w:val="1F3864"/>
          <w:sz w:val="30"/>
          <w:szCs w:val="30"/>
        </w:rPr>
        <w:t xml:space="preserve">16. Relación con Gestión de la Configuración</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El elemento de configuración es la puerta de entrada</w:t>
            </w:r>
          </w:p>
          <w:p>
            <w:pPr>
              <w:spacing w:after="0" w:line="280"/>
            </w:pPr>
            <w:r>
              <w:rPr>
                <w:color w:val="222222"/>
                <w:sz w:val="21"/>
                <w:szCs w:val="21"/>
              </w:rPr>
              <w:t xml:space="preserve">Sin un elemento de configuración (CI) creado en la CMDB, no se puede crear un repositorio, ni un pipeline puede salir a producción. El CI es el ID único que identifica el componente, el agente o el microservicio — y es lo que da trazabilidad a los cambios que se realizan sobre él.</w:t>
            </w:r>
          </w:p>
        </w:tc>
      </w:tr>
    </w:tbl>
    <w:p>
      <w:pPr>
        <w:spacing w:after="160"/>
      </w:pPr>
    </w:p>
    <w:p>
      <w:pPr>
        <w:spacing w:after="160" w:line="300"/>
      </w:pPr>
      <w:r>
        <w:rPr>
          <w:color w:val="222222"/>
          <w:sz w:val="22"/>
          <w:szCs w:val="22"/>
        </w:rPr>
        <w:t xml:space="preserve">Para este proceso, la clase relevante en la CMDB es Business Application — fundamental para que el proceso pueda ejecutarse correctamente a través de las herramientas de gestión de código fuente (repositorios y pipelines).</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Si tu equipo aún no está cubierto por el proceso</w:t>
            </w:r>
          </w:p>
          <w:p>
            <w:pPr>
              <w:spacing w:after="0" w:line="280"/>
            </w:pPr>
            <w:r>
              <w:rPr>
                <w:color w:val="222222"/>
                <w:sz w:val="21"/>
                <w:szCs w:val="21"/>
              </w:rPr>
              <w:t xml:space="preserve">Si tu célula construye soluciones, configura parámetros técnicos, o modifica archivos de configuración y aún no pasa por este proceso, se debe contactar al equipo administrador para evaluar cómo entrar en su cobertura. Las únicas herramientas autorizadas para desplegar cambios de software, bases de datos o parámetros son SolMan y la suite de Azure DevOps.</w:t>
            </w:r>
          </w:p>
        </w:tc>
      </w:tr>
    </w:tbl>
    <w:p>
      <w:pPr>
        <w:pageBreakBefore/>
      </w:pPr>
    </w:p>
    <w:p>
      <w:pPr>
        <w:pStyle w:val="Heading1"/>
        <w:pBdr>
          <w:bottom w:val="single" w:color="1F3864" w:sz="6" w:space="4"/>
        </w:pBdr>
        <w:spacing w:after="200" w:before="400"/>
      </w:pPr>
      <w:r>
        <w:rPr>
          <w:b/>
          <w:bCs/>
          <w:color w:val="1F3864"/>
          <w:sz w:val="30"/>
          <w:szCs w:val="30"/>
        </w:rPr>
        <w:t xml:space="preserve">17. Resumen y puntos clave para el examen</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Ideas centrales que no debes olvidar</w:t>
            </w:r>
          </w:p>
          <w:p>
            <w:pPr>
              <w:spacing w:after="0" w:line="280"/>
            </w:pPr>
            <w:r>
              <w:rPr>
                <w:color w:val="222222"/>
                <w:sz w:val="21"/>
                <w:szCs w:val="21"/>
              </w:rPr>
              <w:t xml:space="preserve">1) El proceso tiene 5 etapas: analizar/arquitectar, preparar, implementar (corazón), desplegar y estabilizar. 2) NO aplica a SaaS. 3) La adopción DevOps se basa en 5 pilares y 4 controles bloqueantes, incluyendo el Pull Request obligatorio. 4) La calidad se basa en pruebas por riesgo, siguiendo la pirámide de testing (unitarias en la base, E2E en la cúspide). 5) SecOps integra seguridad en todo el ciclo, consolidando hallazgos en BoolTracker. 6) La encuesta de riesgos unificada (desde agosto del año pasado) determina si el cambio es ágil, medio o debe ir al Consejo. 7) El DoD centraliza toda la evidencia y requiere aprobación PERSONAL del dueño de producto. 8) Existen 3 tipos de despliegue (manual, automático, SolMan) y cada uno ES un control SOX. 9) En despliegues manuales, el instalador NUNCA debe recibir instrucciones fuera del correo automático de Azure DevOps. 10) Sin un elemento de configuración (CI) en la CMDB, no se puede desplegar nada.</w:t>
            </w:r>
          </w:p>
        </w:tc>
      </w:tr>
    </w:tbl>
    <w:p>
      <w:pPr>
        <w:spacing w:after="200"/>
      </w:pPr>
    </w:p>
    <w:p>
      <w:pPr>
        <w:pStyle w:val="Heading2"/>
        <w:spacing w:after="120" w:before="300"/>
      </w:pPr>
      <w:r>
        <w:rPr>
          <w:b/>
          <w:bCs/>
          <w:color w:val="2E5395"/>
          <w:sz w:val="24"/>
          <w:szCs w:val="24"/>
        </w:rPr>
        <w:t xml:space="preserve">Glosario rápido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Término</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Significado</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RNF</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Requisito No Funcional — definido y liderado por el arquitecto de la solución.</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DoD</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Definition of Done — insumo que centraliza evidencia y aprobaciones para pasar a producción.</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Git LFS</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Extensión de Azure DevOps usada para despliegues manuales controlados.</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Charm</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Módulo de SolMan para gestionar despliegues SAP mediante documentos asociados a la CRQ.</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BoolTracker</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Plataforma central de gestión de vulnerabilidades (DevSecOps).</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Circular 029</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Norma de la Superintendencia Financiera que exige segregación de funciones (aprobaciones par).</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Feature flag</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Switch que activa/desactiva funcionalidades sin redesplegar la aplicación.</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Clean Architecture</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Filosofía que aísla la lógica de negocio de la infraestructura y los frameworks.</w:t>
            </w:r>
          </w:p>
        </w:tc>
      </w:tr>
    </w:tbl>
    <w:p>
      <w:pPr>
        <w:spacing w:after="300"/>
      </w:pPr>
    </w:p>
    <w:p>
      <w:pPr>
        <w:spacing w:after="160"/>
      </w:pPr>
      <w:r>
        <w:rPr>
          <w:i/>
          <w:iCs/>
          <w:color w:val="595959"/>
          <w:sz w:val="18"/>
          <w:szCs w:val="18"/>
        </w:rPr>
        <w:t xml:space="preserve">Documento generado a partir de la transcripción de la sesión de difusión "Habilitar y Mantener Soluciones", presentada por Cristian junto al equipo de DevEx (Diana, Gabo, Luz y Carlos) — VSTI, Bancolombia.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Certificación VSTI · Módulo 6 · Habilitar y Mantener Soluciones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2026-09-03T22:34:10.260Z</dcterms:created>
  <dcterms:modified xsi:type="dcterms:W3CDTF">2026-09-03T22:34:10.260Z</dcterms:modified>
</cp:coreProperties>
</file>

<file path=docProps/custom.xml><?xml version="1.0" encoding="utf-8"?>
<Properties xmlns="http://schemas.openxmlformats.org/officeDocument/2006/custom-properties" xmlns:vt="http://schemas.openxmlformats.org/officeDocument/2006/docPropsVTypes"/>
</file>