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DC8214"/>
          <w:sz w:val="19"/>
        </w:rPr>
        <w:t>GOVERNMENT OF INDIA - SOVEREIGN AGRI-TECH INFRASTRUCTURE</w:t>
      </w:r>
    </w:p>
    <w:p>
      <w:pPr>
        <w:spacing w:before="0" w:after="60"/>
      </w:pPr>
      <w:r>
        <w:rPr>
          <w:rFonts w:ascii="Arial" w:hAnsi="Arial"/>
          <w:b/>
          <w:color w:val="0B3D2E"/>
          <w:sz w:val="52"/>
        </w:rPr>
        <w:t>AnnaSutra</w:t>
      </w:r>
    </w:p>
    <w:p>
      <w:pPr>
        <w:spacing w:before="0" w:after="120"/>
      </w:pPr>
      <w:r>
        <w:rPr>
          <w:rFonts w:ascii="Arial" w:hAnsi="Arial"/>
          <w:b/>
          <w:color w:val="0B3D2E"/>
          <w:sz w:val="22"/>
        </w:rPr>
        <w:t>National Agricultural Produce Traceability Platform (Anna = Food/Grain, Sutra = Continuous Thread)</w:t>
      </w:r>
    </w:p>
    <w:p>
      <w:pPr>
        <w:spacing w:before="0" w:after="240"/>
      </w:pPr>
      <w:r>
        <w:rPr>
          <w:rFonts w:ascii="Arial" w:hAnsi="Arial"/>
          <w:color w:val="64748B"/>
          <w:sz w:val="23"/>
        </w:rPr>
        <w:t>Comprehensive Technical Specifications: 5-Tier Entity Logic, Cryptographic Custody Handshakes, Mass-Balance Conservation &amp; Inter-Entity Relational Architecture</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r>
              <w:rPr>
                <w:rFonts w:ascii="Arial" w:hAnsi="Arial"/>
                <w:b/>
                <w:color w:val="0B3D2E"/>
                <w:sz w:val="18"/>
              </w:rPr>
              <w:t xml:space="preserve">Executing Technical Agency: </w:t>
            </w:r>
            <w:r>
              <w:rPr>
                <w:rFonts w:ascii="Arial" w:hAnsi="Arial"/>
                <w:color w:val="1E293B"/>
                <w:sz w:val="17"/>
              </w:rPr>
              <w:t>Centre for Development of Advanced Computing (C-DAC)</w:t>
              <w:br/>
              <w:t>Ministry of Electronics &amp; Information Technology (MeitY)</w:t>
            </w:r>
          </w:p>
        </w:tc>
        <w:tc>
          <w:tcPr>
            <w:tcW w:type="dxa" w:w="5040"/>
            <w:shd w:fill="F8FAFC"/>
            <w:tcMar>
              <w:top w:w="80" w:type="dxa"/>
              <w:bottom w:w="80" w:type="dxa"/>
              <w:left w:w="120" w:type="dxa"/>
              <w:right w:w="120" w:type="dxa"/>
            </w:tcMar>
          </w:tcPr>
          <w:p>
            <w:r>
              <w:rPr>
                <w:rFonts w:ascii="Arial" w:hAnsi="Arial"/>
                <w:b/>
                <w:color w:val="0B3D2E"/>
                <w:sz w:val="18"/>
              </w:rPr>
              <w:t xml:space="preserve">Regulatory &amp; Standard Alignment: </w:t>
            </w:r>
            <w:r>
              <w:rPr>
                <w:rFonts w:ascii="Arial" w:hAnsi="Arial"/>
                <w:color w:val="1E293B"/>
                <w:sz w:val="17"/>
              </w:rPr>
              <w:t>Department of Agriculture &amp; Farmers Welfare</w:t>
              <w:br/>
              <w:t>APMC Mandi Act | Agmarknet Standards | FSSAI | DPDP Act 2023</w:t>
            </w:r>
          </w:p>
        </w:tc>
      </w:tr>
      <w:tr>
        <w:tc>
          <w:tcPr>
            <w:tcW w:type="dxa" w:w="5040"/>
            <w:shd w:fill="F8FAFC"/>
            <w:tcMar>
              <w:top w:w="80" w:type="dxa"/>
              <w:bottom w:w="80" w:type="dxa"/>
              <w:left w:w="120" w:type="dxa"/>
              <w:right w:w="120" w:type="dxa"/>
            </w:tcMar>
          </w:tcPr>
          <w:p>
            <w:r>
              <w:rPr>
                <w:rFonts w:ascii="Arial" w:hAnsi="Arial"/>
                <w:b/>
                <w:color w:val="0B3D2E"/>
                <w:sz w:val="18"/>
              </w:rPr>
              <w:t xml:space="preserve">Platform Version &amp; Deployment: </w:t>
            </w:r>
            <w:r>
              <w:rPr>
                <w:rFonts w:ascii="Arial" w:hAnsi="Arial"/>
                <w:color w:val="1E293B"/>
                <w:sz w:val="17"/>
              </w:rPr>
              <w:t>v1.0 (Production Release) | Live Production: https://annasutra.vercel.app</w:t>
            </w:r>
          </w:p>
        </w:tc>
        <w:tc>
          <w:tcPr>
            <w:tcW w:type="dxa" w:w="5040"/>
            <w:shd w:fill="F8FAFC"/>
            <w:tcMar>
              <w:top w:w="80" w:type="dxa"/>
              <w:bottom w:w="80" w:type="dxa"/>
              <w:left w:w="120" w:type="dxa"/>
              <w:right w:w="120" w:type="dxa"/>
            </w:tcMar>
          </w:tcPr>
          <w:p>
            <w:r>
              <w:rPr>
                <w:rFonts w:ascii="Arial" w:hAnsi="Arial"/>
                <w:b/>
                <w:color w:val="0B3D2E"/>
                <w:sz w:val="18"/>
              </w:rPr>
              <w:t xml:space="preserve">Document Classification: </w:t>
            </w:r>
            <w:r>
              <w:rPr>
                <w:rFonts w:ascii="Arial" w:hAnsi="Arial"/>
                <w:color w:val="1E293B"/>
                <w:sz w:val="17"/>
              </w:rPr>
              <w:t>Official Architectural Specification &amp; Operational User Guide</w:t>
            </w:r>
          </w:p>
        </w:tc>
      </w:tr>
    </w:tbl>
    <w:p>
      <w:pPr>
        <w:spacing w:after="120"/>
      </w:pPr>
    </w:p>
    <w:p>
      <w:pPr>
        <w:pStyle w:val="Heading1"/>
        <w:spacing w:before="280" w:after="120"/>
      </w:pPr>
      <w:r>
        <w:rPr>
          <w:rFonts w:ascii="Arial" w:hAnsi="Arial"/>
          <w:b/>
          <w:color w:val="0B3D2E"/>
          <w:sz w:val="28"/>
        </w:rPr>
        <w:t>1. Executive Overview and National Platform Mandate</w:t>
      </w:r>
    </w:p>
    <w:p>
      <w:r>
        <w:t>AnnaSutra (derived from the Sanskrit words 'Anna' meaning sustenance/grain and 'Sutra' meaning an unbroken thread) is India's national sovereign agricultural produce traceability platform. It is engineered by C-DAC under the aegis of the Ministry of Electronics and Information Technology (MeitY), in institutional alignment with the Ministry of Agriculture and Farmers Welfare.</w:t>
      </w:r>
    </w:p>
    <w:p>
      <w:r>
        <w:t>The primary objective of AnnaSutra is to eliminate the historical opacity that separates primary farm producers from urban consumers. Traditional Indian agricultural supply chains suffer from systemic vulnerabilities: post-harvest weight manipulation at uncalibrated mandi weighbridges, counterfeit organic certification claims, broken cold-chain refrigeration during interstate transit, and paper-based receipt books that are easily falsified. AnnaSutra resolves these challenges by anchoring every event into an immutable, append-only ledger protected by SHA-256 state hashing and bilateral cryptographic verification.</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0B3D2E"/>
              <w:bottom w:val="none"/>
              <w:right w:val="none"/>
            </w:tcBorders>
          </w:tcPr>
          <w:p>
            <w:pPr>
              <w:spacing w:before="60" w:after="60"/>
            </w:pPr>
            <w:r>
              <w:rPr>
                <w:rFonts w:ascii="Arial" w:hAnsi="Arial"/>
                <w:b/>
                <w:color w:val="0B3D2E"/>
                <w:sz w:val="20"/>
              </w:rPr>
              <w:t xml:space="preserve">[SOVEREIGN LEDGER INTEGRITY GUARANTEE] </w:t>
            </w:r>
            <w:r>
              <w:rPr>
                <w:rFonts w:ascii="Arial" w:hAnsi="Arial"/>
                <w:color w:val="1E293B"/>
                <w:sz w:val="19"/>
              </w:rPr>
              <w:t>Every harvest creation, mandi weighbridge entry, commercial lot splitting, reefer transport temperature log, and retail counter sale is recorded as an immutable ledger block secured by SHA-256 state hashing and bilateral cryptographic handshakes. No participant can erase or retrospectively alter historical transactions.</w:t>
            </w:r>
          </w:p>
        </w:tc>
      </w:tr>
    </w:tbl>
    <w:p>
      <w:pPr>
        <w:spacing w:before="0" w:after="80"/>
      </w:pPr>
    </w:p>
    <w:p>
      <w:pPr>
        <w:pStyle w:val="Heading1"/>
        <w:spacing w:before="280" w:after="120"/>
      </w:pPr>
      <w:r>
        <w:rPr>
          <w:rFonts w:ascii="Arial" w:hAnsi="Arial"/>
          <w:b/>
          <w:color w:val="0B3D2E"/>
          <w:sz w:val="28"/>
        </w:rPr>
        <w:t>2. The Unified 5-Tier Supply-Chain Pipeline</w:t>
      </w:r>
    </w:p>
    <w:p>
      <w:r>
        <w:t>AnnaSutra models agricultural commerce as a structured sequence of five distinct operational nodes. Each node operates as an independent cryptographic identity with role-confined access permissions, mutual non-repudiation handshakes, and strict data segregation mandated by the Digital Personal Data Protection (DPDP) Act 2023:</w:t>
      </w:r>
    </w:p>
    <w:p>
      <w:pPr>
        <w:pStyle w:val="ListBullet"/>
        <w:spacing w:after="60"/>
      </w:pPr>
      <w:r>
        <w:rPr>
          <w:rFonts w:ascii="Arial" w:hAnsi="Arial"/>
          <w:b/>
          <w:color w:val="0B3D2E"/>
        </w:rPr>
        <w:t xml:space="preserve">Tier 1: PRODUCER (Primary Farmer / FPO Co-operative / Farm-Gate Cluster): </w:t>
      </w:r>
      <w:r>
        <w:rPr>
          <w:rFonts w:ascii="Arial" w:hAnsi="Arial"/>
        </w:rPr>
        <w:t>Individual smallholder farmers, Farmer Producer Organisations (FPOs), or agricultural co-operatives that register crop lots at the farm gate, declare harvest parameters, and bind physical tamper-evident Crockford Base32 QR crate tags.</w:t>
      </w:r>
    </w:p>
    <w:p>
      <w:pPr>
        <w:pStyle w:val="ListBullet"/>
        <w:spacing w:after="60"/>
      </w:pPr>
      <w:r>
        <w:rPr>
          <w:rFonts w:ascii="Arial" w:hAnsi="Arial"/>
          <w:b/>
          <w:color w:val="0B3D2E"/>
        </w:rPr>
        <w:t xml:space="preserve">Tier 2: AGGREGATOR (APMC Mandi Yard / Commission Agent / Assaying Facility): </w:t>
      </w:r>
      <w:r>
        <w:rPr>
          <w:rFonts w:ascii="Arial" w:hAnsi="Arial"/>
        </w:rPr>
        <w:t>APMC mandi market committees, electronic weighbridge operators, and commission agents who inward produce, certify gross/net weights, perform official Agmarknet quality assaying (Grades A/B/C), and oversee transparent price settlement.</w:t>
      </w:r>
    </w:p>
    <w:p>
      <w:pPr>
        <w:pStyle w:val="ListBullet"/>
        <w:spacing w:after="60"/>
      </w:pPr>
      <w:r>
        <w:rPr>
          <w:rFonts w:ascii="Arial" w:hAnsi="Arial"/>
          <w:b/>
          <w:color w:val="0B3D2E"/>
        </w:rPr>
        <w:t xml:space="preserve">Tier 3: WHOLESALER (Terminal Market / Cold Storage Warehouse / Primary Buyer): </w:t>
      </w:r>
      <w:r>
        <w:rPr>
          <w:rFonts w:ascii="Arial" w:hAnsi="Arial"/>
        </w:rPr>
        <w:t>Large-scale terminal market aggregators and cold-storage facility operators that intake bulk produce, manage controlled refrigerated chambers (4 deg C to 8 deg C), and perform mathematical lot splitting into commercial trade consignments.</w:t>
      </w:r>
    </w:p>
    <w:p>
      <w:pPr>
        <w:pStyle w:val="ListBullet"/>
        <w:spacing w:after="60"/>
      </w:pPr>
      <w:r>
        <w:rPr>
          <w:rFonts w:ascii="Arial" w:hAnsi="Arial"/>
          <w:b/>
          <w:color w:val="0B3D2E"/>
        </w:rPr>
        <w:t xml:space="preserve">Tier 4: DISTRIBUTOR (Cold-Chain Logistics Fleet / Regional Depot / Transporter): </w:t>
      </w:r>
      <w:r>
        <w:rPr>
          <w:rFonts w:ascii="Arial" w:hAnsi="Arial"/>
        </w:rPr>
        <w:t>Refrigerated freight logistics operators and regional depot managers who accept transit custody, monitor real-time IoT temperature sensors, track geofenced GPS routes, and deliver to neighborhood retail hubs.</w:t>
      </w:r>
    </w:p>
    <w:p>
      <w:pPr>
        <w:pStyle w:val="ListBullet"/>
        <w:spacing w:after="60"/>
      </w:pPr>
      <w:r>
        <w:rPr>
          <w:rFonts w:ascii="Arial" w:hAnsi="Arial"/>
          <w:b/>
          <w:color w:val="0B3D2E"/>
        </w:rPr>
        <w:t xml:space="preserve">Tier 5: RETAILER (Local Kirana Store / Supermarket / Point-of-Sale Counter): </w:t>
      </w:r>
      <w:r>
        <w:rPr>
          <w:rFonts w:ascii="Arial" w:hAnsi="Arial"/>
        </w:rPr>
        <w:t>Local kirana stores, supermarket produce managers, and POS merchant counters who receive deliveries, display verified customer QR standees on produce aisles, log consumer retail sales, and process food-safety recalls.</w:t>
      </w:r>
    </w:p>
    <w:p>
      <w:pPr>
        <w:spacing w:before="160" w:after="60"/>
        <w:jc w:val="center"/>
      </w:pPr>
      <w:r>
        <w:drawing>
          <wp:inline xmlns:a="http://schemas.openxmlformats.org/drawingml/2006/main" xmlns:pic="http://schemas.openxmlformats.org/drawingml/2006/picture">
            <wp:extent cx="5669280" cy="2460625"/>
            <wp:docPr id="1" name="Picture 1"/>
            <wp:cNvGraphicFramePr>
              <a:graphicFrameLocks noChangeAspect="1"/>
            </wp:cNvGraphicFramePr>
            <a:graphic>
              <a:graphicData uri="http://schemas.openxmlformats.org/drawingml/2006/picture">
                <pic:pic>
                  <pic:nvPicPr>
                    <pic:cNvPr id="0" name="01_flow_showcase.png"/>
                    <pic:cNvPicPr/>
                  </pic:nvPicPr>
                  <pic:blipFill>
                    <a:blip r:embed="rId9"/>
                    <a:stretch>
                      <a:fillRect/>
                    </a:stretch>
                  </pic:blipFill>
                  <pic:spPr>
                    <a:xfrm>
                      <a:off x="0" y="0"/>
                      <a:ext cx="5669280" cy="2460625"/>
                    </a:xfrm>
                    <a:prstGeom prst="rect"/>
                  </pic:spPr>
                </pic:pic>
              </a:graphicData>
            </a:graphic>
          </wp:inline>
        </w:drawing>
      </w:r>
    </w:p>
    <w:p>
      <w:pPr>
        <w:spacing w:before="0" w:after="240"/>
        <w:jc w:val="center"/>
      </w:pPr>
      <w:r>
        <w:rPr>
          <w:rFonts w:ascii="Arial" w:hAnsi="Arial"/>
          <w:i/>
          <w:color w:val="64748B"/>
          <w:sz w:val="18"/>
        </w:rPr>
        <w:t>Figure: AnnaSutra Sovereign 5-Tier Value Chain Showcase: Producer, Aggregator, Wholesaler, Distributor, and Retailer</w:t>
      </w:r>
    </w:p>
    <w:p>
      <w:r>
        <w:t>Supply-chain participants access their respective operational tools through the Universal Entity Portal, which provides role-confined gateways, credential validation, and clear data protection boundaries:</w:t>
      </w:r>
    </w:p>
    <w:p>
      <w:pPr>
        <w:spacing w:before="160" w:after="60"/>
        <w:jc w:val="center"/>
      </w:pPr>
      <w:r>
        <w:drawing>
          <wp:inline xmlns:a="http://schemas.openxmlformats.org/drawingml/2006/main" xmlns:pic="http://schemas.openxmlformats.org/drawingml/2006/picture">
            <wp:extent cx="5669280" cy="4818888"/>
            <wp:docPr id="2" name="Picture 2"/>
            <wp:cNvGraphicFramePr>
              <a:graphicFrameLocks noChangeAspect="1"/>
            </wp:cNvGraphicFramePr>
            <a:graphic>
              <a:graphicData uri="http://schemas.openxmlformats.org/drawingml/2006/picture">
                <pic:pic>
                  <pic:nvPicPr>
                    <pic:cNvPr id="0" name="02_entity_portal_modal.png"/>
                    <pic:cNvPicPr/>
                  </pic:nvPicPr>
                  <pic:blipFill>
                    <a:blip r:embed="rId10"/>
                    <a:stretch>
                      <a:fillRect/>
                    </a:stretch>
                  </pic:blipFill>
                  <pic:spPr>
                    <a:xfrm>
                      <a:off x="0" y="0"/>
                      <a:ext cx="5669280" cy="4818888"/>
                    </a:xfrm>
                    <a:prstGeom prst="rect"/>
                  </pic:spPr>
                </pic:pic>
              </a:graphicData>
            </a:graphic>
          </wp:inline>
        </w:drawing>
      </w:r>
    </w:p>
    <w:p>
      <w:pPr>
        <w:spacing w:before="0" w:after="240"/>
        <w:jc w:val="center"/>
      </w:pPr>
      <w:r>
        <w:rPr>
          <w:rFonts w:ascii="Arial" w:hAnsi="Arial"/>
          <w:i/>
          <w:color w:val="64748B"/>
          <w:sz w:val="18"/>
        </w:rPr>
        <w:t>Figure: Universal Entity Log In Portal: 5-Tier Role Selection and Sovereign Operational Gateways</w:t>
      </w:r>
    </w:p>
    <w:p>
      <w:pPr>
        <w:pStyle w:val="Heading1"/>
        <w:spacing w:before="280" w:after="120"/>
      </w:pPr>
      <w:r>
        <w:rPr>
          <w:rFonts w:ascii="Arial" w:hAnsi="Arial"/>
          <w:b/>
          <w:color w:val="0B3D2E"/>
          <w:sz w:val="28"/>
        </w:rPr>
        <w:t>3. Multilingual Accessibility and Mobile OTP Authentication</w:t>
      </w:r>
    </w:p>
    <w:p>
      <w:r>
        <w:t>To ensure universal adoption across India's linguistically diverse agricultural belts, AnnaSutra features an integrated translation engine supporting English alongside the Top 10 Indian Regional Languages, strictly sorted alphabetically in the interface header dropdown: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0B3D2E"/>
            <w:tcMar>
              <w:top w:w="100" w:type="dxa"/>
              <w:bottom w:w="100" w:type="dxa"/>
              <w:left w:w="100" w:type="dxa"/>
              <w:right w:w="100" w:type="dxa"/>
            </w:tcMar>
          </w:tcPr>
          <w:p>
            <w:r>
              <w:rPr>
                <w:rFonts w:ascii="Arial" w:hAnsi="Arial"/>
                <w:b/>
                <w:color w:val="FFFFFF"/>
                <w:sz w:val="18"/>
              </w:rPr>
              <w:t>Code</w:t>
            </w:r>
          </w:p>
        </w:tc>
        <w:tc>
          <w:tcPr>
            <w:tcW w:type="dxa" w:w="2520"/>
            <w:shd w:fill="0B3D2E"/>
            <w:tcMar>
              <w:top w:w="100" w:type="dxa"/>
              <w:bottom w:w="100" w:type="dxa"/>
              <w:left w:w="100" w:type="dxa"/>
              <w:right w:w="100" w:type="dxa"/>
            </w:tcMar>
          </w:tcPr>
          <w:p>
            <w:r>
              <w:rPr>
                <w:rFonts w:ascii="Arial" w:hAnsi="Arial"/>
                <w:b/>
                <w:color w:val="FFFFFF"/>
                <w:sz w:val="18"/>
              </w:rPr>
              <w:t>Language Name</w:t>
            </w:r>
          </w:p>
        </w:tc>
        <w:tc>
          <w:tcPr>
            <w:tcW w:type="dxa" w:w="2520"/>
            <w:shd w:fill="0B3D2E"/>
            <w:tcMar>
              <w:top w:w="100" w:type="dxa"/>
              <w:bottom w:w="100" w:type="dxa"/>
              <w:left w:w="100" w:type="dxa"/>
              <w:right w:w="100" w:type="dxa"/>
            </w:tcMar>
          </w:tcPr>
          <w:p>
            <w:r>
              <w:rPr>
                <w:rFonts w:ascii="Arial" w:hAnsi="Arial"/>
                <w:b/>
                <w:color w:val="FFFFFF"/>
                <w:sz w:val="18"/>
              </w:rPr>
              <w:t>Script Classification</w:t>
            </w:r>
          </w:p>
        </w:tc>
        <w:tc>
          <w:tcPr>
            <w:tcW w:type="dxa" w:w="2520"/>
            <w:shd w:fill="0B3D2E"/>
            <w:tcMar>
              <w:top w:w="100" w:type="dxa"/>
              <w:bottom w:w="100" w:type="dxa"/>
              <w:left w:w="100" w:type="dxa"/>
              <w:right w:w="100" w:type="dxa"/>
            </w:tcMar>
          </w:tcPr>
          <w:p>
            <w:r>
              <w:rPr>
                <w:rFonts w:ascii="Arial" w:hAnsi="Arial"/>
                <w:b/>
                <w:color w:val="FFFFFF"/>
                <w:sz w:val="18"/>
              </w:rPr>
              <w:t>Primary Agricultural Regions</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en</w:t>
            </w:r>
          </w:p>
        </w:tc>
        <w:tc>
          <w:tcPr>
            <w:tcW w:type="dxa" w:w="2520"/>
            <w:shd w:fill="F8FAFC"/>
            <w:tcMar>
              <w:top w:w="60" w:type="dxa"/>
              <w:bottom w:w="60" w:type="dxa"/>
              <w:left w:w="80" w:type="dxa"/>
              <w:right w:w="80" w:type="dxa"/>
            </w:tcMar>
          </w:tcPr>
          <w:p>
            <w:pPr>
              <w:spacing w:before="40" w:after="40"/>
            </w:pPr>
            <w:r>
              <w:rPr>
                <w:rFonts w:ascii="Arial" w:hAnsi="Arial"/>
                <w:sz w:val="17"/>
              </w:rPr>
              <w:t>English</w:t>
            </w:r>
          </w:p>
        </w:tc>
        <w:tc>
          <w:tcPr>
            <w:tcW w:type="dxa" w:w="2520"/>
            <w:shd w:fill="F8FAFC"/>
            <w:tcMar>
              <w:top w:w="60" w:type="dxa"/>
              <w:bottom w:w="60" w:type="dxa"/>
              <w:left w:w="80" w:type="dxa"/>
              <w:right w:w="80" w:type="dxa"/>
            </w:tcMar>
          </w:tcPr>
          <w:p>
            <w:pPr>
              <w:spacing w:before="40" w:after="40"/>
            </w:pPr>
            <w:r>
              <w:rPr>
                <w:rFonts w:ascii="Arial" w:hAnsi="Arial"/>
                <w:sz w:val="17"/>
              </w:rPr>
              <w:t>Latin / Roman Script</w:t>
            </w:r>
          </w:p>
        </w:tc>
        <w:tc>
          <w:tcPr>
            <w:tcW w:type="dxa" w:w="2520"/>
            <w:shd w:fill="F8FAFC"/>
            <w:tcMar>
              <w:top w:w="60" w:type="dxa"/>
              <w:bottom w:w="60" w:type="dxa"/>
              <w:left w:w="80" w:type="dxa"/>
              <w:right w:w="80" w:type="dxa"/>
            </w:tcMar>
          </w:tcPr>
          <w:p>
            <w:pPr>
              <w:spacing w:before="40" w:after="40"/>
            </w:pPr>
            <w:r>
              <w:rPr>
                <w:rFonts w:ascii="Arial" w:hAnsi="Arial"/>
                <w:sz w:val="17"/>
              </w:rPr>
              <w:t>National &amp; Administrative</w:t>
            </w:r>
          </w:p>
        </w:tc>
      </w:tr>
      <w:tr>
        <w:tc>
          <w:tcPr>
            <w:tcW w:type="dxa" w:w="2520"/>
            <w:shd w:fill="FFFFFF"/>
            <w:tcMar>
              <w:top w:w="60" w:type="dxa"/>
              <w:bottom w:w="60" w:type="dxa"/>
              <w:left w:w="80" w:type="dxa"/>
              <w:right w:w="80" w:type="dxa"/>
            </w:tcMar>
          </w:tcPr>
          <w:p>
            <w:pPr>
              <w:spacing w:before="40" w:after="40"/>
            </w:pPr>
            <w:r>
              <w:rPr>
                <w:rFonts w:ascii="Arial" w:hAnsi="Arial"/>
                <w:b/>
                <w:color w:val="0B3D2E"/>
                <w:sz w:val="17"/>
              </w:rPr>
              <w:t>bn</w:t>
            </w:r>
          </w:p>
        </w:tc>
        <w:tc>
          <w:tcPr>
            <w:tcW w:type="dxa" w:w="2520"/>
            <w:shd w:fill="FFFFFF"/>
            <w:tcMar>
              <w:top w:w="60" w:type="dxa"/>
              <w:bottom w:w="60" w:type="dxa"/>
              <w:left w:w="80" w:type="dxa"/>
              <w:right w:w="80" w:type="dxa"/>
            </w:tcMar>
          </w:tcPr>
          <w:p>
            <w:pPr>
              <w:spacing w:before="40" w:after="40"/>
            </w:pPr>
            <w:r>
              <w:rPr>
                <w:rFonts w:ascii="Arial" w:hAnsi="Arial"/>
                <w:sz w:val="17"/>
              </w:rPr>
              <w:t>Bengali</w:t>
            </w:r>
          </w:p>
        </w:tc>
        <w:tc>
          <w:tcPr>
            <w:tcW w:type="dxa" w:w="2520"/>
            <w:shd w:fill="FFFFFF"/>
            <w:tcMar>
              <w:top w:w="60" w:type="dxa"/>
              <w:bottom w:w="60" w:type="dxa"/>
              <w:left w:w="80" w:type="dxa"/>
              <w:right w:w="80" w:type="dxa"/>
            </w:tcMar>
          </w:tcPr>
          <w:p>
            <w:pPr>
              <w:spacing w:before="40" w:after="40"/>
            </w:pPr>
            <w:r>
              <w:rPr>
                <w:rFonts w:ascii="Arial" w:hAnsi="Arial"/>
                <w:sz w:val="17"/>
              </w:rPr>
              <w:t>Eastern Nagari (Bangla)</w:t>
            </w:r>
          </w:p>
        </w:tc>
        <w:tc>
          <w:tcPr>
            <w:tcW w:type="dxa" w:w="2520"/>
            <w:shd w:fill="FFFFFF"/>
            <w:tcMar>
              <w:top w:w="60" w:type="dxa"/>
              <w:bottom w:w="60" w:type="dxa"/>
              <w:left w:w="80" w:type="dxa"/>
              <w:right w:w="80" w:type="dxa"/>
            </w:tcMar>
          </w:tcPr>
          <w:p>
            <w:pPr>
              <w:spacing w:before="40" w:after="40"/>
            </w:pPr>
            <w:r>
              <w:rPr>
                <w:rFonts w:ascii="Arial" w:hAnsi="Arial"/>
                <w:sz w:val="17"/>
              </w:rPr>
              <w:t>West Bengal, Tripura, Assam (Barak Valley)</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gu</w:t>
            </w:r>
          </w:p>
        </w:tc>
        <w:tc>
          <w:tcPr>
            <w:tcW w:type="dxa" w:w="2520"/>
            <w:shd w:fill="F8FAFC"/>
            <w:tcMar>
              <w:top w:w="60" w:type="dxa"/>
              <w:bottom w:w="60" w:type="dxa"/>
              <w:left w:w="80" w:type="dxa"/>
              <w:right w:w="80" w:type="dxa"/>
            </w:tcMar>
          </w:tcPr>
          <w:p>
            <w:pPr>
              <w:spacing w:before="40" w:after="40"/>
            </w:pPr>
            <w:r>
              <w:rPr>
                <w:rFonts w:ascii="Arial" w:hAnsi="Arial"/>
                <w:sz w:val="17"/>
              </w:rPr>
              <w:t>Gujarati</w:t>
            </w:r>
          </w:p>
        </w:tc>
        <w:tc>
          <w:tcPr>
            <w:tcW w:type="dxa" w:w="2520"/>
            <w:shd w:fill="F8FAFC"/>
            <w:tcMar>
              <w:top w:w="60" w:type="dxa"/>
              <w:bottom w:w="60" w:type="dxa"/>
              <w:left w:w="80" w:type="dxa"/>
              <w:right w:w="80" w:type="dxa"/>
            </w:tcMar>
          </w:tcPr>
          <w:p>
            <w:pPr>
              <w:spacing w:before="40" w:after="40"/>
            </w:pPr>
            <w:r>
              <w:rPr>
                <w:rFonts w:ascii="Arial" w:hAnsi="Arial"/>
                <w:sz w:val="17"/>
              </w:rPr>
              <w:t>Gujarati Script</w:t>
            </w:r>
          </w:p>
        </w:tc>
        <w:tc>
          <w:tcPr>
            <w:tcW w:type="dxa" w:w="2520"/>
            <w:shd w:fill="F8FAFC"/>
            <w:tcMar>
              <w:top w:w="60" w:type="dxa"/>
              <w:bottom w:w="60" w:type="dxa"/>
              <w:left w:w="80" w:type="dxa"/>
              <w:right w:w="80" w:type="dxa"/>
            </w:tcMar>
          </w:tcPr>
          <w:p>
            <w:pPr>
              <w:spacing w:before="40" w:after="40"/>
            </w:pPr>
            <w:r>
              <w:rPr>
                <w:rFonts w:ascii="Arial" w:hAnsi="Arial"/>
                <w:sz w:val="17"/>
              </w:rPr>
              <w:t>Gujarat, Saurashtra, Kutch</w:t>
            </w:r>
          </w:p>
        </w:tc>
      </w:tr>
      <w:tr>
        <w:tc>
          <w:tcPr>
            <w:tcW w:type="dxa" w:w="2520"/>
            <w:shd w:fill="FFFFFF"/>
            <w:tcMar>
              <w:top w:w="60" w:type="dxa"/>
              <w:bottom w:w="60" w:type="dxa"/>
              <w:left w:w="80" w:type="dxa"/>
              <w:right w:w="80" w:type="dxa"/>
            </w:tcMar>
          </w:tcPr>
          <w:p>
            <w:pPr>
              <w:spacing w:before="40" w:after="40"/>
            </w:pPr>
            <w:r>
              <w:rPr>
                <w:rFonts w:ascii="Arial" w:hAnsi="Arial"/>
                <w:b/>
                <w:color w:val="0B3D2E"/>
                <w:sz w:val="17"/>
              </w:rPr>
              <w:t>hi</w:t>
            </w:r>
          </w:p>
        </w:tc>
        <w:tc>
          <w:tcPr>
            <w:tcW w:type="dxa" w:w="2520"/>
            <w:shd w:fill="FFFFFF"/>
            <w:tcMar>
              <w:top w:w="60" w:type="dxa"/>
              <w:bottom w:w="60" w:type="dxa"/>
              <w:left w:w="80" w:type="dxa"/>
              <w:right w:w="80" w:type="dxa"/>
            </w:tcMar>
          </w:tcPr>
          <w:p>
            <w:pPr>
              <w:spacing w:before="40" w:after="40"/>
            </w:pPr>
            <w:r>
              <w:rPr>
                <w:rFonts w:ascii="Arial" w:hAnsi="Arial"/>
                <w:sz w:val="17"/>
              </w:rPr>
              <w:t>Hindi</w:t>
            </w:r>
          </w:p>
        </w:tc>
        <w:tc>
          <w:tcPr>
            <w:tcW w:type="dxa" w:w="2520"/>
            <w:shd w:fill="FFFFFF"/>
            <w:tcMar>
              <w:top w:w="60" w:type="dxa"/>
              <w:bottom w:w="60" w:type="dxa"/>
              <w:left w:w="80" w:type="dxa"/>
              <w:right w:w="80" w:type="dxa"/>
            </w:tcMar>
          </w:tcPr>
          <w:p>
            <w:pPr>
              <w:spacing w:before="40" w:after="40"/>
            </w:pPr>
            <w:r>
              <w:rPr>
                <w:rFonts w:ascii="Arial" w:hAnsi="Arial"/>
                <w:sz w:val="17"/>
              </w:rPr>
              <w:t>Devanagari Script</w:t>
            </w:r>
          </w:p>
        </w:tc>
        <w:tc>
          <w:tcPr>
            <w:tcW w:type="dxa" w:w="2520"/>
            <w:shd w:fill="FFFFFF"/>
            <w:tcMar>
              <w:top w:w="60" w:type="dxa"/>
              <w:bottom w:w="60" w:type="dxa"/>
              <w:left w:w="80" w:type="dxa"/>
              <w:right w:w="80" w:type="dxa"/>
            </w:tcMar>
          </w:tcPr>
          <w:p>
            <w:pPr>
              <w:spacing w:before="40" w:after="40"/>
            </w:pPr>
            <w:r>
              <w:rPr>
                <w:rFonts w:ascii="Arial" w:hAnsi="Arial"/>
                <w:sz w:val="17"/>
              </w:rPr>
              <w:t>UP, MP, Bihar, Rajasthan, Haryana, Delhi</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kn</w:t>
            </w:r>
          </w:p>
        </w:tc>
        <w:tc>
          <w:tcPr>
            <w:tcW w:type="dxa" w:w="2520"/>
            <w:shd w:fill="F8FAFC"/>
            <w:tcMar>
              <w:top w:w="60" w:type="dxa"/>
              <w:bottom w:w="60" w:type="dxa"/>
              <w:left w:w="80" w:type="dxa"/>
              <w:right w:w="80" w:type="dxa"/>
            </w:tcMar>
          </w:tcPr>
          <w:p>
            <w:pPr>
              <w:spacing w:before="40" w:after="40"/>
            </w:pPr>
            <w:r>
              <w:rPr>
                <w:rFonts w:ascii="Arial" w:hAnsi="Arial"/>
                <w:sz w:val="17"/>
              </w:rPr>
              <w:t>Kannada</w:t>
            </w:r>
          </w:p>
        </w:tc>
        <w:tc>
          <w:tcPr>
            <w:tcW w:type="dxa" w:w="2520"/>
            <w:shd w:fill="F8FAFC"/>
            <w:tcMar>
              <w:top w:w="60" w:type="dxa"/>
              <w:bottom w:w="60" w:type="dxa"/>
              <w:left w:w="80" w:type="dxa"/>
              <w:right w:w="80" w:type="dxa"/>
            </w:tcMar>
          </w:tcPr>
          <w:p>
            <w:pPr>
              <w:spacing w:before="40" w:after="40"/>
            </w:pPr>
            <w:r>
              <w:rPr>
                <w:rFonts w:ascii="Arial" w:hAnsi="Arial"/>
                <w:sz w:val="17"/>
              </w:rPr>
              <w:t>Kannada Script</w:t>
            </w:r>
          </w:p>
        </w:tc>
        <w:tc>
          <w:tcPr>
            <w:tcW w:type="dxa" w:w="2520"/>
            <w:shd w:fill="F8FAFC"/>
            <w:tcMar>
              <w:top w:w="60" w:type="dxa"/>
              <w:bottom w:w="60" w:type="dxa"/>
              <w:left w:w="80" w:type="dxa"/>
              <w:right w:w="80" w:type="dxa"/>
            </w:tcMar>
          </w:tcPr>
          <w:p>
            <w:pPr>
              <w:spacing w:before="40" w:after="40"/>
            </w:pPr>
            <w:r>
              <w:rPr>
                <w:rFonts w:ascii="Arial" w:hAnsi="Arial"/>
                <w:sz w:val="17"/>
              </w:rPr>
              <w:t>Karnataka</w:t>
            </w:r>
          </w:p>
        </w:tc>
      </w:tr>
      <w:tr>
        <w:tc>
          <w:tcPr>
            <w:tcW w:type="dxa" w:w="2520"/>
            <w:shd w:fill="FFFFFF"/>
            <w:tcMar>
              <w:top w:w="60" w:type="dxa"/>
              <w:bottom w:w="60" w:type="dxa"/>
              <w:left w:w="80" w:type="dxa"/>
              <w:right w:w="80" w:type="dxa"/>
            </w:tcMar>
          </w:tcPr>
          <w:p>
            <w:pPr>
              <w:spacing w:before="40" w:after="40"/>
            </w:pPr>
            <w:r>
              <w:rPr>
                <w:rFonts w:ascii="Arial" w:hAnsi="Arial"/>
                <w:b/>
                <w:color w:val="0B3D2E"/>
                <w:sz w:val="17"/>
              </w:rPr>
              <w:t>ml</w:t>
            </w:r>
          </w:p>
        </w:tc>
        <w:tc>
          <w:tcPr>
            <w:tcW w:type="dxa" w:w="2520"/>
            <w:shd w:fill="FFFFFF"/>
            <w:tcMar>
              <w:top w:w="60" w:type="dxa"/>
              <w:bottom w:w="60" w:type="dxa"/>
              <w:left w:w="80" w:type="dxa"/>
              <w:right w:w="80" w:type="dxa"/>
            </w:tcMar>
          </w:tcPr>
          <w:p>
            <w:pPr>
              <w:spacing w:before="40" w:after="40"/>
            </w:pPr>
            <w:r>
              <w:rPr>
                <w:rFonts w:ascii="Arial" w:hAnsi="Arial"/>
                <w:sz w:val="17"/>
              </w:rPr>
              <w:t>Malayalam</w:t>
            </w:r>
          </w:p>
        </w:tc>
        <w:tc>
          <w:tcPr>
            <w:tcW w:type="dxa" w:w="2520"/>
            <w:shd w:fill="FFFFFF"/>
            <w:tcMar>
              <w:top w:w="60" w:type="dxa"/>
              <w:bottom w:w="60" w:type="dxa"/>
              <w:left w:w="80" w:type="dxa"/>
              <w:right w:w="80" w:type="dxa"/>
            </w:tcMar>
          </w:tcPr>
          <w:p>
            <w:pPr>
              <w:spacing w:before="40" w:after="40"/>
            </w:pPr>
            <w:r>
              <w:rPr>
                <w:rFonts w:ascii="Arial" w:hAnsi="Arial"/>
                <w:sz w:val="17"/>
              </w:rPr>
              <w:t>Malayalam Script</w:t>
            </w:r>
          </w:p>
        </w:tc>
        <w:tc>
          <w:tcPr>
            <w:tcW w:type="dxa" w:w="2520"/>
            <w:shd w:fill="FFFFFF"/>
            <w:tcMar>
              <w:top w:w="60" w:type="dxa"/>
              <w:bottom w:w="60" w:type="dxa"/>
              <w:left w:w="80" w:type="dxa"/>
              <w:right w:w="80" w:type="dxa"/>
            </w:tcMar>
          </w:tcPr>
          <w:p>
            <w:pPr>
              <w:spacing w:before="40" w:after="40"/>
            </w:pPr>
            <w:r>
              <w:rPr>
                <w:rFonts w:ascii="Arial" w:hAnsi="Arial"/>
                <w:sz w:val="17"/>
              </w:rPr>
              <w:t>Kerala</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mr</w:t>
            </w:r>
          </w:p>
        </w:tc>
        <w:tc>
          <w:tcPr>
            <w:tcW w:type="dxa" w:w="2520"/>
            <w:shd w:fill="F8FAFC"/>
            <w:tcMar>
              <w:top w:w="60" w:type="dxa"/>
              <w:bottom w:w="60" w:type="dxa"/>
              <w:left w:w="80" w:type="dxa"/>
              <w:right w:w="80" w:type="dxa"/>
            </w:tcMar>
          </w:tcPr>
          <w:p>
            <w:pPr>
              <w:spacing w:before="40" w:after="40"/>
            </w:pPr>
            <w:r>
              <w:rPr>
                <w:rFonts w:ascii="Arial" w:hAnsi="Arial"/>
                <w:sz w:val="17"/>
              </w:rPr>
              <w:t>Marathi</w:t>
            </w:r>
          </w:p>
        </w:tc>
        <w:tc>
          <w:tcPr>
            <w:tcW w:type="dxa" w:w="2520"/>
            <w:shd w:fill="F8FAFC"/>
            <w:tcMar>
              <w:top w:w="60" w:type="dxa"/>
              <w:bottom w:w="60" w:type="dxa"/>
              <w:left w:w="80" w:type="dxa"/>
              <w:right w:w="80" w:type="dxa"/>
            </w:tcMar>
          </w:tcPr>
          <w:p>
            <w:pPr>
              <w:spacing w:before="40" w:after="40"/>
            </w:pPr>
            <w:r>
              <w:rPr>
                <w:rFonts w:ascii="Arial" w:hAnsi="Arial"/>
                <w:sz w:val="17"/>
              </w:rPr>
              <w:t>Devanagari Script</w:t>
            </w:r>
          </w:p>
        </w:tc>
        <w:tc>
          <w:tcPr>
            <w:tcW w:type="dxa" w:w="2520"/>
            <w:shd w:fill="F8FAFC"/>
            <w:tcMar>
              <w:top w:w="60" w:type="dxa"/>
              <w:bottom w:w="60" w:type="dxa"/>
              <w:left w:w="80" w:type="dxa"/>
              <w:right w:w="80" w:type="dxa"/>
            </w:tcMar>
          </w:tcPr>
          <w:p>
            <w:pPr>
              <w:spacing w:before="40" w:after="40"/>
            </w:pPr>
            <w:r>
              <w:rPr>
                <w:rFonts w:ascii="Arial" w:hAnsi="Arial"/>
                <w:sz w:val="17"/>
              </w:rPr>
              <w:t>Maharashtra</w:t>
            </w:r>
          </w:p>
        </w:tc>
      </w:tr>
      <w:tr>
        <w:tc>
          <w:tcPr>
            <w:tcW w:type="dxa" w:w="2520"/>
            <w:shd w:fill="FFFFFF"/>
            <w:tcMar>
              <w:top w:w="60" w:type="dxa"/>
              <w:bottom w:w="60" w:type="dxa"/>
              <w:left w:w="80" w:type="dxa"/>
              <w:right w:w="80" w:type="dxa"/>
            </w:tcMar>
          </w:tcPr>
          <w:p>
            <w:pPr>
              <w:spacing w:before="40" w:after="40"/>
            </w:pPr>
            <w:r>
              <w:rPr>
                <w:rFonts w:ascii="Arial" w:hAnsi="Arial"/>
                <w:b/>
                <w:color w:val="0B3D2E"/>
                <w:sz w:val="17"/>
              </w:rPr>
              <w:t>or</w:t>
            </w:r>
          </w:p>
        </w:tc>
        <w:tc>
          <w:tcPr>
            <w:tcW w:type="dxa" w:w="2520"/>
            <w:shd w:fill="FFFFFF"/>
            <w:tcMar>
              <w:top w:w="60" w:type="dxa"/>
              <w:bottom w:w="60" w:type="dxa"/>
              <w:left w:w="80" w:type="dxa"/>
              <w:right w:w="80" w:type="dxa"/>
            </w:tcMar>
          </w:tcPr>
          <w:p>
            <w:pPr>
              <w:spacing w:before="40" w:after="40"/>
            </w:pPr>
            <w:r>
              <w:rPr>
                <w:rFonts w:ascii="Arial" w:hAnsi="Arial"/>
                <w:sz w:val="17"/>
              </w:rPr>
              <w:t>Odia</w:t>
            </w:r>
          </w:p>
        </w:tc>
        <w:tc>
          <w:tcPr>
            <w:tcW w:type="dxa" w:w="2520"/>
            <w:shd w:fill="FFFFFF"/>
            <w:tcMar>
              <w:top w:w="60" w:type="dxa"/>
              <w:bottom w:w="60" w:type="dxa"/>
              <w:left w:w="80" w:type="dxa"/>
              <w:right w:w="80" w:type="dxa"/>
            </w:tcMar>
          </w:tcPr>
          <w:p>
            <w:pPr>
              <w:spacing w:before="40" w:after="40"/>
            </w:pPr>
            <w:r>
              <w:rPr>
                <w:rFonts w:ascii="Arial" w:hAnsi="Arial"/>
                <w:sz w:val="17"/>
              </w:rPr>
              <w:t>Odia Script</w:t>
            </w:r>
          </w:p>
        </w:tc>
        <w:tc>
          <w:tcPr>
            <w:tcW w:type="dxa" w:w="2520"/>
            <w:shd w:fill="FFFFFF"/>
            <w:tcMar>
              <w:top w:w="60" w:type="dxa"/>
              <w:bottom w:w="60" w:type="dxa"/>
              <w:left w:w="80" w:type="dxa"/>
              <w:right w:w="80" w:type="dxa"/>
            </w:tcMar>
          </w:tcPr>
          <w:p>
            <w:pPr>
              <w:spacing w:before="40" w:after="40"/>
            </w:pPr>
            <w:r>
              <w:rPr>
                <w:rFonts w:ascii="Arial" w:hAnsi="Arial"/>
                <w:sz w:val="17"/>
              </w:rPr>
              <w:t>Odisha</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pa</w:t>
            </w:r>
          </w:p>
        </w:tc>
        <w:tc>
          <w:tcPr>
            <w:tcW w:type="dxa" w:w="2520"/>
            <w:shd w:fill="F8FAFC"/>
            <w:tcMar>
              <w:top w:w="60" w:type="dxa"/>
              <w:bottom w:w="60" w:type="dxa"/>
              <w:left w:w="80" w:type="dxa"/>
              <w:right w:w="80" w:type="dxa"/>
            </w:tcMar>
          </w:tcPr>
          <w:p>
            <w:pPr>
              <w:spacing w:before="40" w:after="40"/>
            </w:pPr>
            <w:r>
              <w:rPr>
                <w:rFonts w:ascii="Arial" w:hAnsi="Arial"/>
                <w:sz w:val="17"/>
              </w:rPr>
              <w:t>Punjabi</w:t>
            </w:r>
          </w:p>
        </w:tc>
        <w:tc>
          <w:tcPr>
            <w:tcW w:type="dxa" w:w="2520"/>
            <w:shd w:fill="F8FAFC"/>
            <w:tcMar>
              <w:top w:w="60" w:type="dxa"/>
              <w:bottom w:w="60" w:type="dxa"/>
              <w:left w:w="80" w:type="dxa"/>
              <w:right w:w="80" w:type="dxa"/>
            </w:tcMar>
          </w:tcPr>
          <w:p>
            <w:pPr>
              <w:spacing w:before="40" w:after="40"/>
            </w:pPr>
            <w:r>
              <w:rPr>
                <w:rFonts w:ascii="Arial" w:hAnsi="Arial"/>
                <w:sz w:val="17"/>
              </w:rPr>
              <w:t>Gurmukhi Script</w:t>
            </w:r>
          </w:p>
        </w:tc>
        <w:tc>
          <w:tcPr>
            <w:tcW w:type="dxa" w:w="2520"/>
            <w:shd w:fill="F8FAFC"/>
            <w:tcMar>
              <w:top w:w="60" w:type="dxa"/>
              <w:bottom w:w="60" w:type="dxa"/>
              <w:left w:w="80" w:type="dxa"/>
              <w:right w:w="80" w:type="dxa"/>
            </w:tcMar>
          </w:tcPr>
          <w:p>
            <w:pPr>
              <w:spacing w:before="40" w:after="40"/>
            </w:pPr>
            <w:r>
              <w:rPr>
                <w:rFonts w:ascii="Arial" w:hAnsi="Arial"/>
                <w:sz w:val="17"/>
              </w:rPr>
              <w:t>Punjab, Haryana</w:t>
            </w:r>
          </w:p>
        </w:tc>
      </w:tr>
      <w:tr>
        <w:tc>
          <w:tcPr>
            <w:tcW w:type="dxa" w:w="2520"/>
            <w:shd w:fill="FFFFFF"/>
            <w:tcMar>
              <w:top w:w="60" w:type="dxa"/>
              <w:bottom w:w="60" w:type="dxa"/>
              <w:left w:w="80" w:type="dxa"/>
              <w:right w:w="80" w:type="dxa"/>
            </w:tcMar>
          </w:tcPr>
          <w:p>
            <w:pPr>
              <w:spacing w:before="40" w:after="40"/>
            </w:pPr>
            <w:r>
              <w:rPr>
                <w:rFonts w:ascii="Arial" w:hAnsi="Arial"/>
                <w:b/>
                <w:color w:val="0B3D2E"/>
                <w:sz w:val="17"/>
              </w:rPr>
              <w:t>ta</w:t>
            </w:r>
          </w:p>
        </w:tc>
        <w:tc>
          <w:tcPr>
            <w:tcW w:type="dxa" w:w="2520"/>
            <w:shd w:fill="FFFFFF"/>
            <w:tcMar>
              <w:top w:w="60" w:type="dxa"/>
              <w:bottom w:w="60" w:type="dxa"/>
              <w:left w:w="80" w:type="dxa"/>
              <w:right w:w="80" w:type="dxa"/>
            </w:tcMar>
          </w:tcPr>
          <w:p>
            <w:pPr>
              <w:spacing w:before="40" w:after="40"/>
            </w:pPr>
            <w:r>
              <w:rPr>
                <w:rFonts w:ascii="Arial" w:hAnsi="Arial"/>
                <w:sz w:val="17"/>
              </w:rPr>
              <w:t>Tamil</w:t>
            </w:r>
          </w:p>
        </w:tc>
        <w:tc>
          <w:tcPr>
            <w:tcW w:type="dxa" w:w="2520"/>
            <w:shd w:fill="FFFFFF"/>
            <w:tcMar>
              <w:top w:w="60" w:type="dxa"/>
              <w:bottom w:w="60" w:type="dxa"/>
              <w:left w:w="80" w:type="dxa"/>
              <w:right w:w="80" w:type="dxa"/>
            </w:tcMar>
          </w:tcPr>
          <w:p>
            <w:pPr>
              <w:spacing w:before="40" w:after="40"/>
            </w:pPr>
            <w:r>
              <w:rPr>
                <w:rFonts w:ascii="Arial" w:hAnsi="Arial"/>
                <w:sz w:val="17"/>
              </w:rPr>
              <w:t>Tamil Script</w:t>
            </w:r>
          </w:p>
        </w:tc>
        <w:tc>
          <w:tcPr>
            <w:tcW w:type="dxa" w:w="2520"/>
            <w:shd w:fill="FFFFFF"/>
            <w:tcMar>
              <w:top w:w="60" w:type="dxa"/>
              <w:bottom w:w="60" w:type="dxa"/>
              <w:left w:w="80" w:type="dxa"/>
              <w:right w:w="80" w:type="dxa"/>
            </w:tcMar>
          </w:tcPr>
          <w:p>
            <w:pPr>
              <w:spacing w:before="40" w:after="40"/>
            </w:pPr>
            <w:r>
              <w:rPr>
                <w:rFonts w:ascii="Arial" w:hAnsi="Arial"/>
                <w:sz w:val="17"/>
              </w:rPr>
              <w:t>Tamil Nadu, Puducherry</w:t>
            </w:r>
          </w:p>
        </w:tc>
      </w:tr>
      <w:tr>
        <w:tc>
          <w:tcPr>
            <w:tcW w:type="dxa" w:w="2520"/>
            <w:shd w:fill="F8FAFC"/>
            <w:tcMar>
              <w:top w:w="60" w:type="dxa"/>
              <w:bottom w:w="60" w:type="dxa"/>
              <w:left w:w="80" w:type="dxa"/>
              <w:right w:w="80" w:type="dxa"/>
            </w:tcMar>
          </w:tcPr>
          <w:p>
            <w:pPr>
              <w:spacing w:before="40" w:after="40"/>
            </w:pPr>
            <w:r>
              <w:rPr>
                <w:rFonts w:ascii="Arial" w:hAnsi="Arial"/>
                <w:b/>
                <w:color w:val="0B3D2E"/>
                <w:sz w:val="17"/>
              </w:rPr>
              <w:t>te</w:t>
            </w:r>
          </w:p>
        </w:tc>
        <w:tc>
          <w:tcPr>
            <w:tcW w:type="dxa" w:w="2520"/>
            <w:shd w:fill="F8FAFC"/>
            <w:tcMar>
              <w:top w:w="60" w:type="dxa"/>
              <w:bottom w:w="60" w:type="dxa"/>
              <w:left w:w="80" w:type="dxa"/>
              <w:right w:w="80" w:type="dxa"/>
            </w:tcMar>
          </w:tcPr>
          <w:p>
            <w:pPr>
              <w:spacing w:before="40" w:after="40"/>
            </w:pPr>
            <w:r>
              <w:rPr>
                <w:rFonts w:ascii="Arial" w:hAnsi="Arial"/>
                <w:sz w:val="17"/>
              </w:rPr>
              <w:t>Telugu</w:t>
            </w:r>
          </w:p>
        </w:tc>
        <w:tc>
          <w:tcPr>
            <w:tcW w:type="dxa" w:w="2520"/>
            <w:shd w:fill="F8FAFC"/>
            <w:tcMar>
              <w:top w:w="60" w:type="dxa"/>
              <w:bottom w:w="60" w:type="dxa"/>
              <w:left w:w="80" w:type="dxa"/>
              <w:right w:w="80" w:type="dxa"/>
            </w:tcMar>
          </w:tcPr>
          <w:p>
            <w:pPr>
              <w:spacing w:before="40" w:after="40"/>
            </w:pPr>
            <w:r>
              <w:rPr>
                <w:rFonts w:ascii="Arial" w:hAnsi="Arial"/>
                <w:sz w:val="17"/>
              </w:rPr>
              <w:t>Telugu Script</w:t>
            </w:r>
          </w:p>
        </w:tc>
        <w:tc>
          <w:tcPr>
            <w:tcW w:type="dxa" w:w="2520"/>
            <w:shd w:fill="F8FAFC"/>
            <w:tcMar>
              <w:top w:w="60" w:type="dxa"/>
              <w:bottom w:w="60" w:type="dxa"/>
              <w:left w:w="80" w:type="dxa"/>
              <w:right w:w="80" w:type="dxa"/>
            </w:tcMar>
          </w:tcPr>
          <w:p>
            <w:pPr>
              <w:spacing w:before="40" w:after="40"/>
            </w:pPr>
            <w:r>
              <w:rPr>
                <w:rFonts w:ascii="Arial" w:hAnsi="Arial"/>
                <w:sz w:val="17"/>
              </w:rPr>
              <w:t>Andhra Pradesh, Telangana</w:t>
            </w:r>
          </w:p>
        </w:tc>
      </w:tr>
    </w:tbl>
    <w:p>
      <w:pPr>
        <w:spacing w:after="120"/>
      </w:pPr>
    </w:p>
    <w:p>
      <w:r>
        <w:t>Authentication is passwordless and cryptographically verified. Field operators enter their official mobile number. The phone component features inline SVG country flag badges with clean dial codes (+91, +1, +44, +880, +971, +65, +977) without confusing country abbreviations. The Android SMS Gateway dispatches localized OTP messages rendered in the user's chosen regional language with automated 5-minute expiry windows.</w:t>
      </w:r>
    </w:p>
    <w:p>
      <w:pPr>
        <w:spacing w:before="160" w:after="60"/>
        <w:jc w:val="center"/>
      </w:pPr>
      <w:r>
        <w:drawing>
          <wp:inline xmlns:a="http://schemas.openxmlformats.org/drawingml/2006/main" xmlns:pic="http://schemas.openxmlformats.org/drawingml/2006/picture">
            <wp:extent cx="5669280" cy="3259836"/>
            <wp:docPr id="3" name="Picture 3"/>
            <wp:cNvGraphicFramePr>
              <a:graphicFrameLocks noChangeAspect="1"/>
            </wp:cNvGraphicFramePr>
            <a:graphic>
              <a:graphicData uri="http://schemas.openxmlformats.org/drawingml/2006/picture">
                <pic:pic>
                  <pic:nvPicPr>
                    <pic:cNvPr id="0" name="08_producer_login_modal.png"/>
                    <pic:cNvPicPr/>
                  </pic:nvPicPr>
                  <pic:blipFill>
                    <a:blip r:embed="rId11"/>
                    <a:stretch>
                      <a:fillRect/>
                    </a:stretch>
                  </pic:blipFill>
                  <pic:spPr>
                    <a:xfrm>
                      <a:off x="0" y="0"/>
                      <a:ext cx="5669280" cy="3259836"/>
                    </a:xfrm>
                    <a:prstGeom prst="rect"/>
                  </pic:spPr>
                </pic:pic>
              </a:graphicData>
            </a:graphic>
          </wp:inline>
        </w:drawing>
      </w:r>
    </w:p>
    <w:p>
      <w:pPr>
        <w:spacing w:before="0" w:after="240"/>
        <w:jc w:val="center"/>
      </w:pPr>
      <w:r>
        <w:rPr>
          <w:rFonts w:ascii="Arial" w:hAnsi="Arial"/>
          <w:i/>
          <w:color w:val="64748B"/>
          <w:sz w:val="18"/>
        </w:rPr>
        <w:t>Figure: Official Role-Confined Mobile Authentication with Clean Dial Codes and Inline SVG Country Flag Badge</w:t>
      </w:r>
    </w:p>
    <w:p>
      <w:pPr>
        <w:pStyle w:val="Heading1"/>
        <w:spacing w:before="280" w:after="120"/>
      </w:pPr>
      <w:r>
        <w:rPr>
          <w:rFonts w:ascii="Arial" w:hAnsi="Arial"/>
          <w:b/>
          <w:color w:val="0B3D2E"/>
          <w:sz w:val="28"/>
        </w:rPr>
        <w:t>4. Entity-by-Entity Operational Logic and System Capabilities</w:t>
      </w:r>
    </w:p>
    <w:p>
      <w:pPr>
        <w:pStyle w:val="Heading2"/>
        <w:spacing w:before="280" w:after="120"/>
      </w:pPr>
      <w:r>
        <w:rPr>
          <w:rFonts w:ascii="Arial" w:hAnsi="Arial"/>
          <w:b/>
          <w:color w:val="0B3D2E"/>
          <w:sz w:val="24"/>
        </w:rPr>
        <w:t>4.1 Tier 1: Producer Node (Primary Farmer / FPO Co-operative)</w:t>
      </w:r>
    </w:p>
    <w:p>
      <w:r>
        <w:t>The Producer node is the origin point of all agricultural provenance on AnnaSutra. Primary producers operate either as independent farmers or through aggregated Farmer Producer Company (FPC) cooperatives.</w:t>
      </w:r>
    </w:p>
    <w:p>
      <w:r>
        <w:t>Key Operational Responsibilities:</w:t>
      </w:r>
    </w:p>
    <w:p>
      <w:pPr>
        <w:pStyle w:val="ListBullet"/>
        <w:spacing w:after="40"/>
      </w:pPr>
      <w:r>
        <w:rPr>
          <w:rFonts w:ascii="Arial" w:hAnsi="Arial"/>
        </w:rPr>
        <w:t>Genesis Harvest Lot Registration: Declare crop name, botanic variety (e.g. Tomato Himsona), harvest date, and estimated initial quantity in kilograms.</w:t>
      </w:r>
    </w:p>
    <w:p>
      <w:pPr>
        <w:pStyle w:val="ListBullet"/>
        <w:spacing w:after="40"/>
      </w:pPr>
      <w:r>
        <w:rPr>
          <w:rFonts w:ascii="Arial" w:hAnsi="Arial"/>
        </w:rPr>
        <w:t>Crate Label Allocation: Request pre-approved blocks of 13-character Crockford Base32 tamper-evident serialized QR codes.</w:t>
      </w:r>
    </w:p>
    <w:p>
      <w:pPr>
        <w:pStyle w:val="ListBullet"/>
        <w:spacing w:after="40"/>
      </w:pPr>
      <w:r>
        <w:rPr>
          <w:rFonts w:ascii="Arial" w:hAnsi="Arial"/>
        </w:rPr>
        <w:t>Farming Input Attestation: Record certified seed source batches, soil health card parameters, organic composting logs, and zero-residue pesticide declarations.</w:t>
      </w:r>
    </w:p>
    <w:p>
      <w:pPr>
        <w:pStyle w:val="ListBullet"/>
        <w:spacing w:after="40"/>
      </w:pPr>
      <w:r>
        <w:rPr>
          <w:rFonts w:ascii="Arial" w:hAnsi="Arial"/>
        </w:rPr>
        <w:t>Bilateral Dispatch Notice: Issue digital handover offers directed toward authorized APMC mandi aggregators.</w:t>
      </w:r>
    </w:p>
    <w:p>
      <w:pPr>
        <w:spacing w:before="160" w:after="60"/>
        <w:jc w:val="center"/>
      </w:pPr>
      <w:r>
        <w:drawing>
          <wp:inline xmlns:a="http://schemas.openxmlformats.org/drawingml/2006/main" xmlns:pic="http://schemas.openxmlformats.org/drawingml/2006/picture">
            <wp:extent cx="5669280" cy="3114167"/>
            <wp:docPr id="4" name="Picture 4"/>
            <wp:cNvGraphicFramePr>
              <a:graphicFrameLocks noChangeAspect="1"/>
            </wp:cNvGraphicFramePr>
            <a:graphic>
              <a:graphicData uri="http://schemas.openxmlformats.org/drawingml/2006/picture">
                <pic:pic>
                  <pic:nvPicPr>
                    <pic:cNvPr id="0" name="03_producer_console.png"/>
                    <pic:cNvPicPr/>
                  </pic:nvPicPr>
                  <pic:blipFill>
                    <a:blip r:embed="rId12"/>
                    <a:stretch>
                      <a:fillRect/>
                    </a:stretch>
                  </pic:blipFill>
                  <pic:spPr>
                    <a:xfrm>
                      <a:off x="0" y="0"/>
                      <a:ext cx="5669280" cy="3114167"/>
                    </a:xfrm>
                    <a:prstGeom prst="rect"/>
                  </pic:spPr>
                </pic:pic>
              </a:graphicData>
            </a:graphic>
          </wp:inline>
        </w:drawing>
      </w:r>
    </w:p>
    <w:p>
      <w:pPr>
        <w:spacing w:before="0" w:after="240"/>
        <w:jc w:val="center"/>
      </w:pPr>
      <w:r>
        <w:rPr>
          <w:rFonts w:ascii="Arial" w:hAnsi="Arial"/>
          <w:i/>
          <w:color w:val="64748B"/>
          <w:sz w:val="18"/>
        </w:rPr>
        <w:t>Figure: Producer Operations Console: Harvest Yield Metrics, Active QR Lots, Mandi Dispatches, and Field Actions</w:t>
      </w:r>
    </w:p>
    <w:p>
      <w:pPr>
        <w:pStyle w:val="Heading2"/>
        <w:spacing w:before="280" w:after="120"/>
      </w:pPr>
      <w:r>
        <w:rPr>
          <w:rFonts w:ascii="Arial" w:hAnsi="Arial"/>
          <w:b/>
          <w:color w:val="0B3D2E"/>
          <w:sz w:val="24"/>
        </w:rPr>
        <w:t>4.2 Tier 2: Aggregator Node (APMC Mandi / Assaying Facility)</w:t>
      </w:r>
    </w:p>
    <w:p>
      <w:r>
        <w:t>Aggregators operate at the physical junction between rural farms and wholesale commercial markets. They are statutorily registered APMC mandi market operators, government commission agents, or certified grain assaying laboratories.</w:t>
      </w:r>
    </w:p>
    <w:p>
      <w:r>
        <w:t>Key Operational Responsibilities:</w:t>
      </w:r>
    </w:p>
    <w:p>
      <w:pPr>
        <w:pStyle w:val="ListBullet"/>
        <w:spacing w:after="40"/>
      </w:pPr>
      <w:r>
        <w:rPr>
          <w:rFonts w:ascii="Arial" w:hAnsi="Arial"/>
        </w:rPr>
        <w:t>Certified Electronic Weighbridge Inward: Physical vehicle arrival at Mandi Gate triggers digital gross and tare weighment, stamping verified weight on the lot ledger.</w:t>
      </w:r>
    </w:p>
    <w:p>
      <w:pPr>
        <w:pStyle w:val="ListBullet"/>
        <w:spacing w:after="40"/>
      </w:pPr>
      <w:r>
        <w:rPr>
          <w:rFonts w:ascii="Arial" w:hAnsi="Arial"/>
        </w:rPr>
        <w:t>Agmarknet Quality &amp; Grading Assaying: Official inspectors evaluate moisture content, visual cleanliness, and blemish indices, issuing digital Agmarknet Grade A, Grade B, or Grade C assaying certificates.</w:t>
      </w:r>
    </w:p>
    <w:p>
      <w:pPr>
        <w:pStyle w:val="ListBullet"/>
        <w:spacing w:after="40"/>
      </w:pPr>
      <w:r>
        <w:rPr>
          <w:rFonts w:ascii="Arial" w:hAnsi="Arial"/>
        </w:rPr>
        <w:t>Shrinkage and Variance Settlement: Any post-harvest drying shrinkage is recorded as documented variance, preserving total ledger mass balance.</w:t>
      </w:r>
    </w:p>
    <w:p>
      <w:pPr>
        <w:pStyle w:val="ListBullet"/>
        <w:spacing w:after="40"/>
      </w:pPr>
      <w:r>
        <w:rPr>
          <w:rFonts w:ascii="Arial" w:hAnsi="Arial"/>
        </w:rPr>
        <w:t>Mandi Auction Clearing and Handover: Lots are auctioned via e-NAM integration or bilateral contracts and offered onward to registered Wholesalers.</w:t>
      </w:r>
    </w:p>
    <w:p>
      <w:pPr>
        <w:spacing w:before="160" w:after="60"/>
        <w:jc w:val="center"/>
      </w:pPr>
      <w:r>
        <w:drawing>
          <wp:inline xmlns:a="http://schemas.openxmlformats.org/drawingml/2006/main" xmlns:pic="http://schemas.openxmlformats.org/drawingml/2006/picture">
            <wp:extent cx="5669280" cy="3114167"/>
            <wp:docPr id="5" name="Picture 5"/>
            <wp:cNvGraphicFramePr>
              <a:graphicFrameLocks noChangeAspect="1"/>
            </wp:cNvGraphicFramePr>
            <a:graphic>
              <a:graphicData uri="http://schemas.openxmlformats.org/drawingml/2006/picture">
                <pic:pic>
                  <pic:nvPicPr>
                    <pic:cNvPr id="0" name="04_aggregator_console.png"/>
                    <pic:cNvPicPr/>
                  </pic:nvPicPr>
                  <pic:blipFill>
                    <a:blip r:embed="rId13"/>
                    <a:stretch>
                      <a:fillRect/>
                    </a:stretch>
                  </pic:blipFill>
                  <pic:spPr>
                    <a:xfrm>
                      <a:off x="0" y="0"/>
                      <a:ext cx="5669280" cy="3114167"/>
                    </a:xfrm>
                    <a:prstGeom prst="rect"/>
                  </pic:spPr>
                </pic:pic>
              </a:graphicData>
            </a:graphic>
          </wp:inline>
        </w:drawing>
      </w:r>
    </w:p>
    <w:p>
      <w:pPr>
        <w:spacing w:before="0" w:after="240"/>
        <w:jc w:val="center"/>
      </w:pPr>
      <w:r>
        <w:rPr>
          <w:rFonts w:ascii="Arial" w:hAnsi="Arial"/>
          <w:i/>
          <w:color w:val="64748B"/>
          <w:sz w:val="18"/>
        </w:rPr>
        <w:t>Figure: Aggregator Mandi Console: Weighbridge Tonnage, Agmarknet Grade A Certifications, and Mandi Yard Receipts</w:t>
      </w:r>
    </w:p>
    <w:p>
      <w:pPr>
        <w:pStyle w:val="Heading2"/>
        <w:spacing w:before="280" w:after="120"/>
      </w:pPr>
      <w:r>
        <w:rPr>
          <w:rFonts w:ascii="Arial" w:hAnsi="Arial"/>
          <w:b/>
          <w:color w:val="0B3D2E"/>
          <w:sz w:val="24"/>
        </w:rPr>
        <w:t>4.3 Tier 3: Wholesaler Node (Terminal Market / Cold Storage)</w:t>
      </w:r>
    </w:p>
    <w:p>
      <w:r>
        <w:t>Wholesalers manage central terminal commerce in major consumption metropolises (such as Kolkata Posta Market, Delhi Azadpur Mandi, or Mumbai Vashi Market). They handle bulk intake, lot splitting, and temperature-controlled storage.</w:t>
      </w:r>
    </w:p>
    <w:p>
      <w:r>
        <w:t>Key Operational Responsibilities:</w:t>
      </w:r>
    </w:p>
    <w:p>
      <w:pPr>
        <w:pStyle w:val="ListBullet"/>
        <w:spacing w:after="40"/>
      </w:pPr>
      <w:r>
        <w:rPr>
          <w:rFonts w:ascii="Arial" w:hAnsi="Arial"/>
        </w:rPr>
        <w:t>Terminal Consignment Intake: Verify incoming APMC lot block authenticity and accept custody from mandi aggregators.</w:t>
      </w:r>
    </w:p>
    <w:p>
      <w:pPr>
        <w:pStyle w:val="ListBullet"/>
        <w:spacing w:after="40"/>
      </w:pPr>
      <w:r>
        <w:rPr>
          <w:rFonts w:ascii="Arial" w:hAnsi="Arial"/>
        </w:rPr>
        <w:t>Commercial Lot Splitting: Subdivide large harvest lots (e.g. 10,000 kg) into trade pallets (e.g. 500 kg each) for independent commercial distribution while preserving child-parent genealogy edges.</w:t>
      </w:r>
    </w:p>
    <w:p>
      <w:pPr>
        <w:pStyle w:val="ListBullet"/>
        <w:spacing w:after="40"/>
      </w:pPr>
      <w:r>
        <w:rPr>
          <w:rFonts w:ascii="Arial" w:hAnsi="Arial"/>
        </w:rPr>
        <w:t>Controlled Cold-Storage Chamber Management: Allocate produce to climate-controlled bays (4 deg C to 8 deg C, 90% RH) to maximize freshness and halt enzymatic decay.</w:t>
      </w:r>
    </w:p>
    <w:p>
      <w:pPr>
        <w:pStyle w:val="ListBullet"/>
        <w:spacing w:after="40"/>
      </w:pPr>
      <w:r>
        <w:rPr>
          <w:rFonts w:ascii="Arial" w:hAnsi="Arial"/>
        </w:rPr>
        <w:t>Reefer Freight Dispatch: Assign palletized sub-lots to authorized regional distribution fleets.</w:t>
      </w:r>
    </w:p>
    <w:p>
      <w:pPr>
        <w:spacing w:before="160" w:after="60"/>
        <w:jc w:val="center"/>
      </w:pPr>
      <w:r>
        <w:drawing>
          <wp:inline xmlns:a="http://schemas.openxmlformats.org/drawingml/2006/main" xmlns:pic="http://schemas.openxmlformats.org/drawingml/2006/picture">
            <wp:extent cx="5669280" cy="3114167"/>
            <wp:docPr id="6" name="Picture 6"/>
            <wp:cNvGraphicFramePr>
              <a:graphicFrameLocks noChangeAspect="1"/>
            </wp:cNvGraphicFramePr>
            <a:graphic>
              <a:graphicData uri="http://schemas.openxmlformats.org/drawingml/2006/picture">
                <pic:pic>
                  <pic:nvPicPr>
                    <pic:cNvPr id="0" name="05_wholesaler_console.png"/>
                    <pic:cNvPicPr/>
                  </pic:nvPicPr>
                  <pic:blipFill>
                    <a:blip r:embed="rId14"/>
                    <a:stretch>
                      <a:fillRect/>
                    </a:stretch>
                  </pic:blipFill>
                  <pic:spPr>
                    <a:xfrm>
                      <a:off x="0" y="0"/>
                      <a:ext cx="5669280" cy="3114167"/>
                    </a:xfrm>
                    <a:prstGeom prst="rect"/>
                  </pic:spPr>
                </pic:pic>
              </a:graphicData>
            </a:graphic>
          </wp:inline>
        </w:drawing>
      </w:r>
    </w:p>
    <w:p>
      <w:pPr>
        <w:spacing w:before="0" w:after="240"/>
        <w:jc w:val="center"/>
      </w:pPr>
      <w:r>
        <w:rPr>
          <w:rFonts w:ascii="Arial" w:hAnsi="Arial"/>
          <w:i/>
          <w:color w:val="64748B"/>
          <w:sz w:val="18"/>
        </w:rPr>
        <w:t>Figure: Wholesaler Terminal Console: Cold Storage Tonnage, Lot Splitting Ledger, and Reefer Freight Allocations</w:t>
      </w:r>
    </w:p>
    <w:p>
      <w:pPr>
        <w:pStyle w:val="Heading2"/>
        <w:spacing w:before="280" w:after="120"/>
      </w:pPr>
      <w:r>
        <w:rPr>
          <w:rFonts w:ascii="Arial" w:hAnsi="Arial"/>
          <w:b/>
          <w:color w:val="0B3D2E"/>
          <w:sz w:val="24"/>
        </w:rPr>
        <w:t>4.4 Tier 4: Distributor Node (Logistics Fleet / Regional Depot)</w:t>
      </w:r>
    </w:p>
    <w:p>
      <w:r>
        <w:t>Distributors operate regional distribution depots and secondary freight fleets. They ensure the physical integrity and thermal continuity of perishables across highways and urban thoroughfares.</w:t>
      </w:r>
    </w:p>
    <w:p>
      <w:r>
        <w:t>Key Operational Responsibilities:</w:t>
      </w:r>
    </w:p>
    <w:p>
      <w:pPr>
        <w:pStyle w:val="ListBullet"/>
        <w:spacing w:after="40"/>
      </w:pPr>
      <w:r>
        <w:rPr>
          <w:rFonts w:ascii="Arial" w:hAnsi="Arial"/>
        </w:rPr>
        <w:t>Reefer Fleet Custody Intake: Scan sealed truck QR manifests and verify cryptographic unbroken custody before transit departure.</w:t>
      </w:r>
    </w:p>
    <w:p>
      <w:pPr>
        <w:pStyle w:val="ListBullet"/>
        <w:spacing w:after="40"/>
      </w:pPr>
      <w:r>
        <w:rPr>
          <w:rFonts w:ascii="Arial" w:hAnsi="Arial"/>
        </w:rPr>
        <w:t>Live Temperature &amp; Telemetry Logging: Ingest automated IoT sensor telemetry ensuring continuous cold-chain compliance (average 7.4 deg C with zero thermal spikes).</w:t>
      </w:r>
    </w:p>
    <w:p>
      <w:pPr>
        <w:pStyle w:val="ListBullet"/>
        <w:spacing w:after="40"/>
      </w:pPr>
      <w:r>
        <w:rPr>
          <w:rFonts w:ascii="Arial" w:hAnsi="Arial"/>
        </w:rPr>
        <w:t>Geofenced Route Tracking: Log highway transit checkpoints and arrival timestamps at secondary urban distribution depots.</w:t>
      </w:r>
    </w:p>
    <w:p>
      <w:pPr>
        <w:pStyle w:val="ListBullet"/>
        <w:spacing w:after="40"/>
      </w:pPr>
      <w:r>
        <w:rPr>
          <w:rFonts w:ascii="Arial" w:hAnsi="Arial"/>
        </w:rPr>
        <w:t>Last-Mile Store Delivery: Deliver palletized crates to individual kirana stores and modern supermarket backdoors.</w:t>
      </w:r>
    </w:p>
    <w:p>
      <w:pPr>
        <w:spacing w:before="160" w:after="60"/>
        <w:jc w:val="center"/>
      </w:pPr>
      <w:r>
        <w:drawing>
          <wp:inline xmlns:a="http://schemas.openxmlformats.org/drawingml/2006/main" xmlns:pic="http://schemas.openxmlformats.org/drawingml/2006/picture">
            <wp:extent cx="5669280" cy="3114167"/>
            <wp:docPr id="7" name="Picture 7"/>
            <wp:cNvGraphicFramePr>
              <a:graphicFrameLocks noChangeAspect="1"/>
            </wp:cNvGraphicFramePr>
            <a:graphic>
              <a:graphicData uri="http://schemas.openxmlformats.org/drawingml/2006/picture">
                <pic:pic>
                  <pic:nvPicPr>
                    <pic:cNvPr id="0" name="06_distributor_console.png"/>
                    <pic:cNvPicPr/>
                  </pic:nvPicPr>
                  <pic:blipFill>
                    <a:blip r:embed="rId15"/>
                    <a:stretch>
                      <a:fillRect/>
                    </a:stretch>
                  </pic:blipFill>
                  <pic:spPr>
                    <a:xfrm>
                      <a:off x="0" y="0"/>
                      <a:ext cx="5669280" cy="3114167"/>
                    </a:xfrm>
                    <a:prstGeom prst="rect"/>
                  </pic:spPr>
                </pic:pic>
              </a:graphicData>
            </a:graphic>
          </wp:inline>
        </w:drawing>
      </w:r>
    </w:p>
    <w:p>
      <w:pPr>
        <w:spacing w:before="0" w:after="240"/>
        <w:jc w:val="center"/>
      </w:pPr>
      <w:r>
        <w:rPr>
          <w:rFonts w:ascii="Arial" w:hAnsi="Arial"/>
          <w:i/>
          <w:color w:val="64748B"/>
          <w:sz w:val="18"/>
        </w:rPr>
        <w:t>Figure: Distributor Logistics Console: Active Reefer Fleets, Geofenced Transit Telemetry, and On-Time Deliveries</w:t>
      </w:r>
    </w:p>
    <w:p>
      <w:pPr>
        <w:pStyle w:val="Heading2"/>
        <w:spacing w:before="280" w:after="120"/>
      </w:pPr>
      <w:r>
        <w:rPr>
          <w:rFonts w:ascii="Arial" w:hAnsi="Arial"/>
          <w:b/>
          <w:color w:val="0B3D2E"/>
          <w:sz w:val="24"/>
        </w:rPr>
        <w:t>4.5 Tier 5: Retailer Node (Kirana Store / Supermarket / POS)</w:t>
      </w:r>
    </w:p>
    <w:p>
      <w:r>
        <w:t>Retailers represent the consumer-facing interface of the entire value chain. They range from traditional family-owned kirana stores to large supermarket chains and organized quick-commerce fulfillment dark stores.</w:t>
      </w:r>
    </w:p>
    <w:p>
      <w:r>
        <w:t>Key Operational Responsibilities:</w:t>
      </w:r>
    </w:p>
    <w:p>
      <w:pPr>
        <w:pStyle w:val="ListBullet"/>
        <w:spacing w:after="40"/>
      </w:pPr>
      <w:r>
        <w:rPr>
          <w:rFonts w:ascii="Arial" w:hAnsi="Arial"/>
        </w:rPr>
        <w:t>Store Inward Receipt: Scan delivery van arrival manifests, inspect crate tamper seals, and accept produce into retail inventory.</w:t>
      </w:r>
    </w:p>
    <w:p>
      <w:pPr>
        <w:pStyle w:val="ListBullet"/>
        <w:spacing w:after="40"/>
      </w:pPr>
      <w:r>
        <w:rPr>
          <w:rFonts w:ascii="Arial" w:hAnsi="Arial"/>
        </w:rPr>
        <w:t>Consumer Shelf QR Standee Generation: Generate and print customer-facing QR cards and price standees placed prominently above vegetable and fruit display bins.</w:t>
      </w:r>
    </w:p>
    <w:p>
      <w:pPr>
        <w:pStyle w:val="ListBullet"/>
        <w:spacing w:after="40"/>
      </w:pPr>
      <w:r>
        <w:rPr>
          <w:rFonts w:ascii="Arial" w:hAnsi="Arial"/>
        </w:rPr>
        <w:t>Point-of-Sale (POS) Checkout Logging: Record billed consumer transactions (e.g. 2.5 kg tomato purchase), automatically deducting quantity from the store's on-shelf ledger balance.</w:t>
      </w:r>
    </w:p>
    <w:p>
      <w:pPr>
        <w:pStyle w:val="ListBullet"/>
        <w:spacing w:after="40"/>
      </w:pPr>
      <w:r>
        <w:rPr>
          <w:rFonts w:ascii="Arial" w:hAnsi="Arial"/>
        </w:rPr>
        <w:t>Shelf Spoilage and Waste Write-Off: Record unsaleable or bruised organic produce with documented composting handover logs.</w:t>
      </w:r>
    </w:p>
    <w:p>
      <w:pPr>
        <w:pStyle w:val="ListBullet"/>
        <w:spacing w:after="40"/>
      </w:pPr>
      <w:r>
        <w:rPr>
          <w:rFonts w:ascii="Arial" w:hAnsi="Arial"/>
        </w:rPr>
        <w:t>Provenance Auditing and Food Safety Recall: Perform floor audits to view unbroken genesis-to-retail history; immediately lockdown contaminated batches upon public health safety notices.</w:t>
      </w:r>
    </w:p>
    <w:p>
      <w:pPr>
        <w:spacing w:before="160" w:after="60"/>
        <w:jc w:val="center"/>
      </w:pPr>
      <w:r>
        <w:drawing>
          <wp:inline xmlns:a="http://schemas.openxmlformats.org/drawingml/2006/main" xmlns:pic="http://schemas.openxmlformats.org/drawingml/2006/picture">
            <wp:extent cx="5669280" cy="3114167"/>
            <wp:docPr id="8" name="Picture 8"/>
            <wp:cNvGraphicFramePr>
              <a:graphicFrameLocks noChangeAspect="1"/>
            </wp:cNvGraphicFramePr>
            <a:graphic>
              <a:graphicData uri="http://schemas.openxmlformats.org/drawingml/2006/picture">
                <pic:pic>
                  <pic:nvPicPr>
                    <pic:cNvPr id="0" name="07_retailer_console.png"/>
                    <pic:cNvPicPr/>
                  </pic:nvPicPr>
                  <pic:blipFill>
                    <a:blip r:embed="rId16"/>
                    <a:stretch>
                      <a:fillRect/>
                    </a:stretch>
                  </pic:blipFill>
                  <pic:spPr>
                    <a:xfrm>
                      <a:off x="0" y="0"/>
                      <a:ext cx="5669280" cy="3114167"/>
                    </a:xfrm>
                    <a:prstGeom prst="rect"/>
                  </pic:spPr>
                </pic:pic>
              </a:graphicData>
            </a:graphic>
          </wp:inline>
        </w:drawing>
      </w:r>
    </w:p>
    <w:p>
      <w:pPr>
        <w:spacing w:before="0" w:after="240"/>
        <w:jc w:val="center"/>
      </w:pPr>
      <w:r>
        <w:rPr>
          <w:rFonts w:ascii="Arial" w:hAnsi="Arial"/>
          <w:i/>
          <w:color w:val="64748B"/>
          <w:sz w:val="18"/>
        </w:rPr>
        <w:t>Figure: Retailer Point-of-Sale Console: On-Shelf Inventory Volume, Consumer QR Scan Engagement, and Spoilage Control</w:t>
      </w:r>
    </w:p>
    <w:p>
      <w:pPr>
        <w:pStyle w:val="Heading1"/>
        <w:spacing w:before="280" w:after="120"/>
      </w:pPr>
      <w:r>
        <w:rPr>
          <w:rFonts w:ascii="Arial" w:hAnsi="Arial"/>
          <w:b/>
          <w:color w:val="0B3D2E"/>
          <w:sz w:val="28"/>
        </w:rPr>
        <w:t>5. Inter-Entity Relations, Handshake Protocols and Cryptographic Invariants</w:t>
      </w:r>
    </w:p>
    <w:p>
      <w:r>
        <w:t>The software architecture enforces rigorous mathematical invariants and cryptographic constraints that govern every interaction between any two entities in the network.</w:t>
      </w:r>
    </w:p>
    <w:p>
      <w:pPr>
        <w:pStyle w:val="Heading2"/>
        <w:spacing w:before="280" w:after="120"/>
      </w:pPr>
      <w:r>
        <w:rPr>
          <w:rFonts w:ascii="Arial" w:hAnsi="Arial"/>
          <w:b/>
          <w:color w:val="0B3D2E"/>
          <w:sz w:val="24"/>
        </w:rPr>
        <w:t>5.1 Two-Phase Custody Transfer Handshake Protocol</w:t>
      </w:r>
    </w:p>
    <w:p>
      <w:r>
        <w:t>Custody transfer is NEVER unilateral. An entity cannot simply 'push' produce onto another entity's ledger without bilateral acknowledgment. AnnaSutra executes a strict two-phase handshake:</w:t>
      </w:r>
    </w:p>
    <w:p>
      <w:pPr>
        <w:pStyle w:val="ListBullet"/>
        <w:spacing w:after="40"/>
      </w:pPr>
      <w:r>
        <w:rPr>
          <w:rFonts w:ascii="Arial" w:hAnsi="Arial"/>
        </w:rPr>
        <w:t>Phase 1 (Dispatch Offer): Entity A initiates a transfer by generating an offer block containing: lot ID, dispatch quantity, vehicle registration number, driver identity, and timestamp. The lot state shifts to IN_TRANSIT with pending_receiver_org set to Entity B.</w:t>
      </w:r>
    </w:p>
    <w:p>
      <w:pPr>
        <w:pStyle w:val="ListBullet"/>
        <w:spacing w:after="40"/>
      </w:pPr>
      <w:r>
        <w:rPr>
          <w:rFonts w:ascii="Arial" w:hAnsi="Arial"/>
        </w:rPr>
        <w:t>Phase 2 (Acceptance / Dispute): Entity B physically inspects the arrived shipment, scans the crate QR serials, and performs verification. Upon acceptance, Entity B triggers EVENT_CUSTODY_ACCEPTED, transferring custodian_org to Entity B. If damaged or mismatched, Entity B triggers EVENT_CUSTODY_DISPUTED, creating an auditable dispute incident requiring administrative arbitration.</w:t>
      </w:r>
    </w:p>
    <w:p>
      <w:pPr>
        <w:pStyle w:val="Heading2"/>
        <w:spacing w:before="280" w:after="120"/>
      </w:pPr>
      <w:r>
        <w:rPr>
          <w:rFonts w:ascii="Arial" w:hAnsi="Arial"/>
          <w:b/>
          <w:color w:val="0B3D2E"/>
          <w:sz w:val="24"/>
        </w:rPr>
        <w:t>5.2 The Law of Mass-Balance Conservation</w:t>
      </w:r>
    </w:p>
    <w:p>
      <w:r>
        <w:t>A critical vulnerability in traditional supply-chain software is 'inventory phantom creation' - where intermediaries artificially inflate quantities or sell more certified organic produce than they legitimately received. AnnaSutra models mass balance at the database kernel level through the LotBalance table and PostgreSQL check constraints:</w:t>
      </w:r>
    </w:p>
    <w:p>
      <w:r>
        <w:t>Invariant Equation:</w:t>
        <w:br/>
        <w:t>Unexplained Variance = Qty_In - (Qty_Transferred + Qty_Split_Out + Qty_Rejected + Qty_Waste + Qty_Sold + Qty_Variance + On_Hand) == 0.000 kg</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0B3D2E"/>
              <w:bottom w:val="none"/>
              <w:right w:val="none"/>
            </w:tcBorders>
          </w:tcPr>
          <w:p>
            <w:pPr>
              <w:spacing w:before="60" w:after="60"/>
            </w:pPr>
            <w:r>
              <w:rPr>
                <w:rFonts w:ascii="Arial" w:hAnsi="Arial"/>
                <w:b/>
                <w:color w:val="0B3D2E"/>
                <w:sz w:val="20"/>
              </w:rPr>
              <w:t xml:space="preserve">[MASS-BALANCE INVARIANT PROPERTY] </w:t>
            </w:r>
            <w:r>
              <w:rPr>
                <w:rFonts w:ascii="Arial" w:hAnsi="Arial"/>
                <w:color w:val="1E293B"/>
                <w:sz w:val="19"/>
              </w:rPr>
              <w:t>The on-hand inventory balance can NEVER become negative under any valid permutation of splitting, transferring, selling, or discarding. Any transaction attempting to over-allocate produce is atomically aborted with a database IntegrityError, preventing phantom inventory creation.</w:t>
            </w:r>
          </w:p>
        </w:tc>
      </w:tr>
    </w:tbl>
    <w:p>
      <w:pPr>
        <w:spacing w:before="0" w:after="80"/>
      </w:pPr>
    </w:p>
    <w:p>
      <w:pPr>
        <w:pStyle w:val="Heading2"/>
        <w:spacing w:before="280" w:after="120"/>
      </w:pPr>
      <w:r>
        <w:rPr>
          <w:rFonts w:ascii="Arial" w:hAnsi="Arial"/>
          <w:b/>
          <w:color w:val="0B3D2E"/>
          <w:sz w:val="24"/>
        </w:rPr>
        <w:t>5.3 Lot Genealogy and Crockford Base32 Serialization</w:t>
      </w:r>
    </w:p>
    <w:p>
      <w:r>
        <w:t>Every batch in AnnaSutra is identified by a 13-character Crockford Base32 serial (e.g. 7K3Q9XMD4T2B). The Crockford Base32 alphabet excludes visually ambiguous characters (I, L, O, U) to eliminate human reading errors, and embeds a modulo-37 check symbol at the terminal position to detect typographical and scanning errors instantaneously.</w:t>
      </w:r>
    </w:p>
    <w:p>
      <w:r>
        <w:t>When Wholesalers split large lots into trade packages, the system creates directed edges in the LotEdge table. This forms a Directed Acyclic Graph (DAG) enabling instantaneous bi-directional traceability:</w:t>
      </w:r>
    </w:p>
    <w:p>
      <w:pPr>
        <w:pStyle w:val="ListBullet"/>
        <w:spacing w:after="40"/>
      </w:pPr>
      <w:r>
        <w:rPr>
          <w:rFonts w:ascii="Arial" w:hAnsi="Arial"/>
        </w:rPr>
        <w:t>Upstream Provenance (Consumer to Farm): Given any consumer retail tomato package, trace back through the delivery van, regional cold store, APMC Mandi gate, and identify the exact originating Farmer Producer Co-op and harvest date.</w:t>
      </w:r>
    </w:p>
    <w:p>
      <w:pPr>
        <w:pStyle w:val="ListBullet"/>
        <w:spacing w:after="40"/>
      </w:pPr>
      <w:r>
        <w:rPr>
          <w:rFonts w:ascii="Arial" w:hAnsi="Arial"/>
        </w:rPr>
        <w:t>Downstream Recall (Farm to Consumer): Given an agricultural water contamination alert at a specific farm yard, identify every split child lot, transit vehicle, and retail store shelf currently holding produce from that harvest within milliseconds.</w:t>
      </w:r>
    </w:p>
    <w:p>
      <w:pPr>
        <w:spacing w:before="160" w:after="60"/>
        <w:jc w:val="center"/>
      </w:pPr>
      <w:r>
        <w:drawing>
          <wp:inline xmlns:a="http://schemas.openxmlformats.org/drawingml/2006/main" xmlns:pic="http://schemas.openxmlformats.org/drawingml/2006/picture">
            <wp:extent cx="5669280" cy="5464556"/>
            <wp:docPr id="9" name="Picture 9"/>
            <wp:cNvGraphicFramePr>
              <a:graphicFrameLocks noChangeAspect="1"/>
            </wp:cNvGraphicFramePr>
            <a:graphic>
              <a:graphicData uri="http://schemas.openxmlformats.org/drawingml/2006/picture">
                <pic:pic>
                  <pic:nvPicPr>
                    <pic:cNvPr id="0" name="09_lot_summary_timeline.png"/>
                    <pic:cNvPicPr/>
                  </pic:nvPicPr>
                  <pic:blipFill>
                    <a:blip r:embed="rId17"/>
                    <a:stretch>
                      <a:fillRect/>
                    </a:stretch>
                  </pic:blipFill>
                  <pic:spPr>
                    <a:xfrm>
                      <a:off x="0" y="0"/>
                      <a:ext cx="5669280" cy="5464556"/>
                    </a:xfrm>
                    <a:prstGeom prst="rect"/>
                  </pic:spPr>
                </pic:pic>
              </a:graphicData>
            </a:graphic>
          </wp:inline>
        </w:drawing>
      </w:r>
    </w:p>
    <w:p>
      <w:pPr>
        <w:spacing w:before="0" w:after="240"/>
        <w:jc w:val="center"/>
      </w:pPr>
      <w:r>
        <w:rPr>
          <w:rFonts w:ascii="Arial" w:hAnsi="Arial"/>
          <w:i/>
          <w:color w:val="64748B"/>
          <w:sz w:val="18"/>
        </w:rPr>
        <w:t>Figure: Verified Consumer Produce Lot Summary: Cryptographic Ledger Attestation, Agmarknet Grade A, and Farm-to-Shelf Chain</w:t>
      </w:r>
    </w:p>
    <w:p>
      <w:pPr>
        <w:pStyle w:val="Heading1"/>
        <w:spacing w:before="280" w:after="120"/>
      </w:pPr>
      <w:r>
        <w:rPr>
          <w:rFonts w:ascii="Arial" w:hAnsi="Arial"/>
          <w:b/>
          <w:color w:val="0B3D2E"/>
          <w:sz w:val="28"/>
        </w:rPr>
        <w:t>6. Digital Personal Data Protection (DPDP) Act 2023 Compliance</w:t>
      </w:r>
    </w:p>
    <w:p>
      <w:r>
        <w:t>AnnaSutra was engineered under strict zero-PII (Personally Identifiable Information) data segregation principles in complete conformance with India's Digital Personal Data Protection (DPDP) Act 2023:</w:t>
      </w:r>
    </w:p>
    <w:p>
      <w:pPr>
        <w:pStyle w:val="ListBullet"/>
        <w:spacing w:after="60"/>
      </w:pPr>
      <w:r>
        <w:rPr>
          <w:rFonts w:ascii="Arial" w:hAnsi="Arial"/>
          <w:b/>
          <w:color w:val="0B3D2E"/>
        </w:rPr>
        <w:t xml:space="preserve">Farmer Identity Protection: </w:t>
      </w:r>
      <w:r>
        <w:rPr>
          <w:rFonts w:ascii="Arial" w:hAnsi="Arial"/>
        </w:rPr>
        <w:t>The personal Aadhaar numbers, residential phone numbers, and individual domestic identities of smallholder farmers are NEVER exposed in consumer-facing scans or public APIs. Only authorized FPO cooperative names and regional cluster districts (e.g. Purba Bardhaman) are public.</w:t>
      </w:r>
    </w:p>
    <w:p>
      <w:pPr>
        <w:pStyle w:val="ListBullet"/>
        <w:spacing w:after="60"/>
      </w:pPr>
      <w:r>
        <w:rPr>
          <w:rFonts w:ascii="Arial" w:hAnsi="Arial"/>
          <w:b/>
          <w:color w:val="0B3D2E"/>
        </w:rPr>
        <w:t xml:space="preserve">Geographic Obfuscation: </w:t>
      </w:r>
      <w:r>
        <w:rPr>
          <w:rFonts w:ascii="Arial" w:hAnsi="Arial"/>
        </w:rPr>
        <w:t>Precise high-resolution GPS farm coordinates are masked. Only village/taluk centroids and authorized APMC market hub locations are shared to prevent commercial exploitation and rural land scouting.</w:t>
      </w:r>
    </w:p>
    <w:p>
      <w:pPr>
        <w:pStyle w:val="ListBullet"/>
        <w:spacing w:after="60"/>
      </w:pPr>
      <w:r>
        <w:rPr>
          <w:rFonts w:ascii="Arial" w:hAnsi="Arial"/>
          <w:b/>
          <w:color w:val="0B3D2E"/>
        </w:rPr>
        <w:t xml:space="preserve">Commercial Price Confidentiality: </w:t>
      </w:r>
      <w:r>
        <w:rPr>
          <w:rFonts w:ascii="Arial" w:hAnsi="Arial"/>
        </w:rPr>
        <w:t>Farm-gate procurement prices and wholesale transaction bids are encrypted at rest with AES-256 and restricted strictly to transacting parties and the Ministry of Agriculture. Consumers only see retail store price standees.</w:t>
      </w:r>
    </w:p>
    <w:p>
      <w:pPr>
        <w:pStyle w:val="ListBullet"/>
        <w:spacing w:after="60"/>
      </w:pPr>
      <w:r>
        <w:rPr>
          <w:rFonts w:ascii="Arial" w:hAnsi="Arial"/>
          <w:b/>
          <w:color w:val="0B3D2E"/>
        </w:rPr>
        <w:t xml:space="preserve">PublicView Table Isolation: </w:t>
      </w:r>
      <w:r>
        <w:rPr>
          <w:rFonts w:ascii="Arial" w:hAnsi="Arial"/>
        </w:rPr>
        <w:t>Public QR code scans never query internal transaction tables directly. Instead, a materialized PublicView cache isolates public consumer traffic from core transactional databases, eliminating any possibility of internal data leaks.</w:t>
      </w:r>
    </w:p>
    <w:p>
      <w:pPr>
        <w:pStyle w:val="Heading1"/>
        <w:spacing w:before="280" w:after="120"/>
      </w:pPr>
      <w:r>
        <w:rPr>
          <w:rFonts w:ascii="Arial" w:hAnsi="Arial"/>
          <w:b/>
          <w:color w:val="0B3D2E"/>
          <w:sz w:val="28"/>
        </w:rPr>
        <w:t>7. Complete 5-Entity Specification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0B3D2E"/>
            <w:tcMar>
              <w:top w:w="100" w:type="dxa"/>
              <w:bottom w:w="100" w:type="dxa"/>
              <w:left w:w="80" w:type="dxa"/>
              <w:right w:w="80" w:type="dxa"/>
            </w:tcMar>
          </w:tcPr>
          <w:p>
            <w:r>
              <w:rPr>
                <w:rFonts w:ascii="Arial" w:hAnsi="Arial"/>
                <w:b/>
                <w:color w:val="FFFFFF"/>
                <w:sz w:val="17"/>
              </w:rPr>
              <w:t>Entity Role</w:t>
            </w:r>
          </w:p>
        </w:tc>
        <w:tc>
          <w:tcPr>
            <w:tcW w:type="dxa" w:w="2016"/>
            <w:shd w:fill="0B3D2E"/>
            <w:tcMar>
              <w:top w:w="100" w:type="dxa"/>
              <w:bottom w:w="100" w:type="dxa"/>
              <w:left w:w="80" w:type="dxa"/>
              <w:right w:w="80" w:type="dxa"/>
            </w:tcMar>
          </w:tcPr>
          <w:p>
            <w:r>
              <w:rPr>
                <w:rFonts w:ascii="Arial" w:hAnsi="Arial"/>
                <w:b/>
                <w:color w:val="FFFFFF"/>
                <w:sz w:val="17"/>
              </w:rPr>
              <w:t>Node Mandate</w:t>
            </w:r>
          </w:p>
        </w:tc>
        <w:tc>
          <w:tcPr>
            <w:tcW w:type="dxa" w:w="2016"/>
            <w:shd w:fill="0B3D2E"/>
            <w:tcMar>
              <w:top w:w="100" w:type="dxa"/>
              <w:bottom w:w="100" w:type="dxa"/>
              <w:left w:w="80" w:type="dxa"/>
              <w:right w:w="80" w:type="dxa"/>
            </w:tcMar>
          </w:tcPr>
          <w:p>
            <w:r>
              <w:rPr>
                <w:rFonts w:ascii="Arial" w:hAnsi="Arial"/>
                <w:b/>
                <w:color w:val="FFFFFF"/>
                <w:sz w:val="17"/>
              </w:rPr>
              <w:t>Key Inward Inputs</w:t>
            </w:r>
          </w:p>
        </w:tc>
        <w:tc>
          <w:tcPr>
            <w:tcW w:type="dxa" w:w="2016"/>
            <w:shd w:fill="0B3D2E"/>
            <w:tcMar>
              <w:top w:w="100" w:type="dxa"/>
              <w:bottom w:w="100" w:type="dxa"/>
              <w:left w:w="80" w:type="dxa"/>
              <w:right w:w="80" w:type="dxa"/>
            </w:tcMar>
          </w:tcPr>
          <w:p>
            <w:r>
              <w:rPr>
                <w:rFonts w:ascii="Arial" w:hAnsi="Arial"/>
                <w:b/>
                <w:color w:val="FFFFFF"/>
                <w:sz w:val="17"/>
              </w:rPr>
              <w:t>Key Outward Outputs</w:t>
            </w:r>
          </w:p>
        </w:tc>
        <w:tc>
          <w:tcPr>
            <w:tcW w:type="dxa" w:w="2016"/>
            <w:shd w:fill="0B3D2E"/>
            <w:tcMar>
              <w:top w:w="100" w:type="dxa"/>
              <w:bottom w:w="100" w:type="dxa"/>
              <w:left w:w="80" w:type="dxa"/>
              <w:right w:w="80" w:type="dxa"/>
            </w:tcMar>
          </w:tcPr>
          <w:p>
            <w:r>
              <w:rPr>
                <w:rFonts w:ascii="Arial" w:hAnsi="Arial"/>
                <w:b/>
                <w:color w:val="FFFFFF"/>
                <w:sz w:val="17"/>
              </w:rPr>
              <w:t>Statutory Alignment</w:t>
            </w:r>
          </w:p>
        </w:tc>
      </w:tr>
      <w:tr>
        <w:tc>
          <w:tcPr>
            <w:tcW w:type="dxa" w:w="2016"/>
            <w:shd w:fill="F8FAFC"/>
            <w:tcMar>
              <w:top w:w="60" w:type="dxa"/>
              <w:bottom w:w="60" w:type="dxa"/>
              <w:left w:w="80" w:type="dxa"/>
              <w:right w:w="80" w:type="dxa"/>
            </w:tcMar>
          </w:tcPr>
          <w:p>
            <w:pPr>
              <w:spacing w:before="40" w:after="40"/>
            </w:pPr>
            <w:r>
              <w:rPr>
                <w:rFonts w:ascii="Arial" w:hAnsi="Arial"/>
                <w:b/>
                <w:color w:val="0B3D2E"/>
                <w:sz w:val="16"/>
              </w:rPr>
              <w:t>PRODUCER</w:t>
            </w:r>
          </w:p>
        </w:tc>
        <w:tc>
          <w:tcPr>
            <w:tcW w:type="dxa" w:w="2016"/>
            <w:shd w:fill="F8FAFC"/>
            <w:tcMar>
              <w:top w:w="60" w:type="dxa"/>
              <w:bottom w:w="60" w:type="dxa"/>
              <w:left w:w="80" w:type="dxa"/>
              <w:right w:w="80" w:type="dxa"/>
            </w:tcMar>
          </w:tcPr>
          <w:p>
            <w:pPr>
              <w:spacing w:before="40" w:after="40"/>
            </w:pPr>
            <w:r>
              <w:rPr>
                <w:rFonts w:ascii="Arial" w:hAnsi="Arial"/>
                <w:sz w:val="16"/>
              </w:rPr>
              <w:t>Primary Farm Gate &amp; Harvest Origin</w:t>
            </w:r>
          </w:p>
        </w:tc>
        <w:tc>
          <w:tcPr>
            <w:tcW w:type="dxa" w:w="2016"/>
            <w:shd w:fill="F8FAFC"/>
            <w:tcMar>
              <w:top w:w="60" w:type="dxa"/>
              <w:bottom w:w="60" w:type="dxa"/>
              <w:left w:w="80" w:type="dxa"/>
              <w:right w:w="80" w:type="dxa"/>
            </w:tcMar>
          </w:tcPr>
          <w:p>
            <w:pPr>
              <w:spacing w:before="40" w:after="40"/>
            </w:pPr>
            <w:r>
              <w:rPr>
                <w:rFonts w:ascii="Arial" w:hAnsi="Arial"/>
                <w:sz w:val="16"/>
              </w:rPr>
              <w:t>Seed lots, Soil health metrics, Fertilizer declarations</w:t>
            </w:r>
          </w:p>
        </w:tc>
        <w:tc>
          <w:tcPr>
            <w:tcW w:type="dxa" w:w="2016"/>
            <w:shd w:fill="F8FAFC"/>
            <w:tcMar>
              <w:top w:w="60" w:type="dxa"/>
              <w:bottom w:w="60" w:type="dxa"/>
              <w:left w:w="80" w:type="dxa"/>
              <w:right w:w="80" w:type="dxa"/>
            </w:tcMar>
          </w:tcPr>
          <w:p>
            <w:pPr>
              <w:spacing w:before="40" w:after="40"/>
            </w:pPr>
            <w:r>
              <w:rPr>
                <w:rFonts w:ascii="Arial" w:hAnsi="Arial"/>
                <w:sz w:val="16"/>
              </w:rPr>
              <w:t>Harvest lot declaration, Crockford Base32 crate labels</w:t>
            </w:r>
          </w:p>
        </w:tc>
        <w:tc>
          <w:tcPr>
            <w:tcW w:type="dxa" w:w="2016"/>
            <w:shd w:fill="F8FAFC"/>
            <w:tcMar>
              <w:top w:w="60" w:type="dxa"/>
              <w:bottom w:w="60" w:type="dxa"/>
              <w:left w:w="80" w:type="dxa"/>
              <w:right w:w="80" w:type="dxa"/>
            </w:tcMar>
          </w:tcPr>
          <w:p>
            <w:pPr>
              <w:spacing w:before="40" w:after="40"/>
            </w:pPr>
            <w:r>
              <w:rPr>
                <w:rFonts w:ascii="Arial" w:hAnsi="Arial"/>
                <w:sz w:val="16"/>
              </w:rPr>
              <w:t>FPO Co-op Guidelines, Organic Certification Standards</w:t>
            </w:r>
          </w:p>
        </w:tc>
      </w:tr>
      <w:tr>
        <w:tc>
          <w:tcPr>
            <w:tcW w:type="dxa" w:w="2016"/>
            <w:shd w:fill="FFFFFF"/>
            <w:tcMar>
              <w:top w:w="60" w:type="dxa"/>
              <w:bottom w:w="60" w:type="dxa"/>
              <w:left w:w="80" w:type="dxa"/>
              <w:right w:w="80" w:type="dxa"/>
            </w:tcMar>
          </w:tcPr>
          <w:p>
            <w:pPr>
              <w:spacing w:before="40" w:after="40"/>
            </w:pPr>
            <w:r>
              <w:rPr>
                <w:rFonts w:ascii="Arial" w:hAnsi="Arial"/>
                <w:b/>
                <w:color w:val="0B3D2E"/>
                <w:sz w:val="16"/>
              </w:rPr>
              <w:t>AGGREGATOR</w:t>
            </w:r>
          </w:p>
        </w:tc>
        <w:tc>
          <w:tcPr>
            <w:tcW w:type="dxa" w:w="2016"/>
            <w:shd w:fill="FFFFFF"/>
            <w:tcMar>
              <w:top w:w="60" w:type="dxa"/>
              <w:bottom w:w="60" w:type="dxa"/>
              <w:left w:w="80" w:type="dxa"/>
              <w:right w:w="80" w:type="dxa"/>
            </w:tcMar>
          </w:tcPr>
          <w:p>
            <w:pPr>
              <w:spacing w:before="40" w:after="40"/>
            </w:pPr>
            <w:r>
              <w:rPr>
                <w:rFonts w:ascii="Arial" w:hAnsi="Arial"/>
                <w:sz w:val="16"/>
              </w:rPr>
              <w:t>APMC Mandi Custody &amp; Assaying</w:t>
            </w:r>
          </w:p>
        </w:tc>
        <w:tc>
          <w:tcPr>
            <w:tcW w:type="dxa" w:w="2016"/>
            <w:shd w:fill="FFFFFF"/>
            <w:tcMar>
              <w:top w:w="60" w:type="dxa"/>
              <w:bottom w:w="60" w:type="dxa"/>
              <w:left w:w="80" w:type="dxa"/>
              <w:right w:w="80" w:type="dxa"/>
            </w:tcMar>
          </w:tcPr>
          <w:p>
            <w:pPr>
              <w:spacing w:before="40" w:after="40"/>
            </w:pPr>
            <w:r>
              <w:rPr>
                <w:rFonts w:ascii="Arial" w:hAnsi="Arial"/>
                <w:sz w:val="16"/>
              </w:rPr>
              <w:t>Farmer harvest lots, Physical delivery vehicles</w:t>
            </w:r>
          </w:p>
        </w:tc>
        <w:tc>
          <w:tcPr>
            <w:tcW w:type="dxa" w:w="2016"/>
            <w:shd w:fill="FFFFFF"/>
            <w:tcMar>
              <w:top w:w="60" w:type="dxa"/>
              <w:bottom w:w="60" w:type="dxa"/>
              <w:left w:w="80" w:type="dxa"/>
              <w:right w:w="80" w:type="dxa"/>
            </w:tcMar>
          </w:tcPr>
          <w:p>
            <w:pPr>
              <w:spacing w:before="40" w:after="40"/>
            </w:pPr>
            <w:r>
              <w:rPr>
                <w:rFonts w:ascii="Arial" w:hAnsi="Arial"/>
                <w:sz w:val="16"/>
              </w:rPr>
              <w:t>Digital weighbridge slips, Agmarknet Grade certificates</w:t>
            </w:r>
          </w:p>
        </w:tc>
        <w:tc>
          <w:tcPr>
            <w:tcW w:type="dxa" w:w="2016"/>
            <w:shd w:fill="FFFFFF"/>
            <w:tcMar>
              <w:top w:w="60" w:type="dxa"/>
              <w:bottom w:w="60" w:type="dxa"/>
              <w:left w:w="80" w:type="dxa"/>
              <w:right w:w="80" w:type="dxa"/>
            </w:tcMar>
          </w:tcPr>
          <w:p>
            <w:pPr>
              <w:spacing w:before="40" w:after="40"/>
            </w:pPr>
            <w:r>
              <w:rPr>
                <w:rFonts w:ascii="Arial" w:hAnsi="Arial"/>
                <w:sz w:val="16"/>
              </w:rPr>
              <w:t>Agricultural Produce Market Committee (APMC) Act, Agmarknet</w:t>
            </w:r>
          </w:p>
        </w:tc>
      </w:tr>
      <w:tr>
        <w:tc>
          <w:tcPr>
            <w:tcW w:type="dxa" w:w="2016"/>
            <w:shd w:fill="F8FAFC"/>
            <w:tcMar>
              <w:top w:w="60" w:type="dxa"/>
              <w:bottom w:w="60" w:type="dxa"/>
              <w:left w:w="80" w:type="dxa"/>
              <w:right w:w="80" w:type="dxa"/>
            </w:tcMar>
          </w:tcPr>
          <w:p>
            <w:pPr>
              <w:spacing w:before="40" w:after="40"/>
            </w:pPr>
            <w:r>
              <w:rPr>
                <w:rFonts w:ascii="Arial" w:hAnsi="Arial"/>
                <w:b/>
                <w:color w:val="0B3D2E"/>
                <w:sz w:val="16"/>
              </w:rPr>
              <w:t>WHOLESALER</w:t>
            </w:r>
          </w:p>
        </w:tc>
        <w:tc>
          <w:tcPr>
            <w:tcW w:type="dxa" w:w="2016"/>
            <w:shd w:fill="F8FAFC"/>
            <w:tcMar>
              <w:top w:w="60" w:type="dxa"/>
              <w:bottom w:w="60" w:type="dxa"/>
              <w:left w:w="80" w:type="dxa"/>
              <w:right w:w="80" w:type="dxa"/>
            </w:tcMar>
          </w:tcPr>
          <w:p>
            <w:pPr>
              <w:spacing w:before="40" w:after="40"/>
            </w:pPr>
            <w:r>
              <w:rPr>
                <w:rFonts w:ascii="Arial" w:hAnsi="Arial"/>
                <w:sz w:val="16"/>
              </w:rPr>
              <w:t>Terminal Market &amp; Cold Chain Storage</w:t>
            </w:r>
          </w:p>
        </w:tc>
        <w:tc>
          <w:tcPr>
            <w:tcW w:type="dxa" w:w="2016"/>
            <w:shd w:fill="F8FAFC"/>
            <w:tcMar>
              <w:top w:w="60" w:type="dxa"/>
              <w:bottom w:w="60" w:type="dxa"/>
              <w:left w:w="80" w:type="dxa"/>
              <w:right w:w="80" w:type="dxa"/>
            </w:tcMar>
          </w:tcPr>
          <w:p>
            <w:pPr>
              <w:spacing w:before="40" w:after="40"/>
            </w:pPr>
            <w:r>
              <w:rPr>
                <w:rFonts w:ascii="Arial" w:hAnsi="Arial"/>
                <w:sz w:val="16"/>
              </w:rPr>
              <w:t>Mandi verified consignments, Mandi receipts</w:t>
            </w:r>
          </w:p>
        </w:tc>
        <w:tc>
          <w:tcPr>
            <w:tcW w:type="dxa" w:w="2016"/>
            <w:shd w:fill="F8FAFC"/>
            <w:tcMar>
              <w:top w:w="60" w:type="dxa"/>
              <w:bottom w:w="60" w:type="dxa"/>
              <w:left w:w="80" w:type="dxa"/>
              <w:right w:w="80" w:type="dxa"/>
            </w:tcMar>
          </w:tcPr>
          <w:p>
            <w:pPr>
              <w:spacing w:before="40" w:after="40"/>
            </w:pPr>
            <w:r>
              <w:rPr>
                <w:rFonts w:ascii="Arial" w:hAnsi="Arial"/>
                <w:sz w:val="16"/>
              </w:rPr>
              <w:t>Subdivided child lot pallets, Reefer dispatch orders</w:t>
            </w:r>
          </w:p>
        </w:tc>
        <w:tc>
          <w:tcPr>
            <w:tcW w:type="dxa" w:w="2016"/>
            <w:shd w:fill="F8FAFC"/>
            <w:tcMar>
              <w:top w:w="60" w:type="dxa"/>
              <w:bottom w:w="60" w:type="dxa"/>
              <w:left w:w="80" w:type="dxa"/>
              <w:right w:w="80" w:type="dxa"/>
            </w:tcMar>
          </w:tcPr>
          <w:p>
            <w:pPr>
              <w:spacing w:before="40" w:after="40"/>
            </w:pPr>
            <w:r>
              <w:rPr>
                <w:rFonts w:ascii="Arial" w:hAnsi="Arial"/>
                <w:sz w:val="16"/>
              </w:rPr>
              <w:t>Warehousing Development &amp; Regulatory Authority (WDRA) Standards</w:t>
            </w:r>
          </w:p>
        </w:tc>
      </w:tr>
      <w:tr>
        <w:tc>
          <w:tcPr>
            <w:tcW w:type="dxa" w:w="2016"/>
            <w:shd w:fill="FFFFFF"/>
            <w:tcMar>
              <w:top w:w="60" w:type="dxa"/>
              <w:bottom w:w="60" w:type="dxa"/>
              <w:left w:w="80" w:type="dxa"/>
              <w:right w:w="80" w:type="dxa"/>
            </w:tcMar>
          </w:tcPr>
          <w:p>
            <w:pPr>
              <w:spacing w:before="40" w:after="40"/>
            </w:pPr>
            <w:r>
              <w:rPr>
                <w:rFonts w:ascii="Arial" w:hAnsi="Arial"/>
                <w:b/>
                <w:color w:val="0B3D2E"/>
                <w:sz w:val="16"/>
              </w:rPr>
              <w:t>DISTRIBUTOR</w:t>
            </w:r>
          </w:p>
        </w:tc>
        <w:tc>
          <w:tcPr>
            <w:tcW w:type="dxa" w:w="2016"/>
            <w:shd w:fill="FFFFFF"/>
            <w:tcMar>
              <w:top w:w="60" w:type="dxa"/>
              <w:bottom w:w="60" w:type="dxa"/>
              <w:left w:w="80" w:type="dxa"/>
              <w:right w:w="80" w:type="dxa"/>
            </w:tcMar>
          </w:tcPr>
          <w:p>
            <w:pPr>
              <w:spacing w:before="40" w:after="40"/>
            </w:pPr>
            <w:r>
              <w:rPr>
                <w:rFonts w:ascii="Arial" w:hAnsi="Arial"/>
                <w:sz w:val="16"/>
              </w:rPr>
              <w:t>Highway Reefer Transit &amp; Regional Hub</w:t>
            </w:r>
          </w:p>
        </w:tc>
        <w:tc>
          <w:tcPr>
            <w:tcW w:type="dxa" w:w="2016"/>
            <w:shd w:fill="FFFFFF"/>
            <w:tcMar>
              <w:top w:w="60" w:type="dxa"/>
              <w:bottom w:w="60" w:type="dxa"/>
              <w:left w:w="80" w:type="dxa"/>
              <w:right w:w="80" w:type="dxa"/>
            </w:tcMar>
          </w:tcPr>
          <w:p>
            <w:pPr>
              <w:spacing w:before="40" w:after="40"/>
            </w:pPr>
            <w:r>
              <w:rPr>
                <w:rFonts w:ascii="Arial" w:hAnsi="Arial"/>
                <w:sz w:val="16"/>
              </w:rPr>
              <w:t>Wholesaler trade pallets, Reefer truck cargo</w:t>
            </w:r>
          </w:p>
        </w:tc>
        <w:tc>
          <w:tcPr>
            <w:tcW w:type="dxa" w:w="2016"/>
            <w:shd w:fill="FFFFFF"/>
            <w:tcMar>
              <w:top w:w="60" w:type="dxa"/>
              <w:bottom w:w="60" w:type="dxa"/>
              <w:left w:w="80" w:type="dxa"/>
              <w:right w:w="80" w:type="dxa"/>
            </w:tcMar>
          </w:tcPr>
          <w:p>
            <w:pPr>
              <w:spacing w:before="40" w:after="40"/>
            </w:pPr>
            <w:r>
              <w:rPr>
                <w:rFonts w:ascii="Arial" w:hAnsi="Arial"/>
                <w:sz w:val="16"/>
              </w:rPr>
              <w:t>Live GPS geofence logs, Cold-chain temperature logs</w:t>
            </w:r>
          </w:p>
        </w:tc>
        <w:tc>
          <w:tcPr>
            <w:tcW w:type="dxa" w:w="2016"/>
            <w:shd w:fill="FFFFFF"/>
            <w:tcMar>
              <w:top w:w="60" w:type="dxa"/>
              <w:bottom w:w="60" w:type="dxa"/>
              <w:left w:w="80" w:type="dxa"/>
              <w:right w:w="80" w:type="dxa"/>
            </w:tcMar>
          </w:tcPr>
          <w:p>
            <w:pPr>
              <w:spacing w:before="40" w:after="40"/>
            </w:pPr>
            <w:r>
              <w:rPr>
                <w:rFonts w:ascii="Arial" w:hAnsi="Arial"/>
                <w:sz w:val="16"/>
              </w:rPr>
              <w:t>National Cold Chain Development Guidelines, Motor Vehicle Act</w:t>
            </w:r>
          </w:p>
        </w:tc>
      </w:tr>
      <w:tr>
        <w:tc>
          <w:tcPr>
            <w:tcW w:type="dxa" w:w="2016"/>
            <w:shd w:fill="F8FAFC"/>
            <w:tcMar>
              <w:top w:w="60" w:type="dxa"/>
              <w:bottom w:w="60" w:type="dxa"/>
              <w:left w:w="80" w:type="dxa"/>
              <w:right w:w="80" w:type="dxa"/>
            </w:tcMar>
          </w:tcPr>
          <w:p>
            <w:pPr>
              <w:spacing w:before="40" w:after="40"/>
            </w:pPr>
            <w:r>
              <w:rPr>
                <w:rFonts w:ascii="Arial" w:hAnsi="Arial"/>
                <w:b/>
                <w:color w:val="0B3D2E"/>
                <w:sz w:val="16"/>
              </w:rPr>
              <w:t>RETAILER</w:t>
            </w:r>
          </w:p>
        </w:tc>
        <w:tc>
          <w:tcPr>
            <w:tcW w:type="dxa" w:w="2016"/>
            <w:shd w:fill="F8FAFC"/>
            <w:tcMar>
              <w:top w:w="60" w:type="dxa"/>
              <w:bottom w:w="60" w:type="dxa"/>
              <w:left w:w="80" w:type="dxa"/>
              <w:right w:w="80" w:type="dxa"/>
            </w:tcMar>
          </w:tcPr>
          <w:p>
            <w:pPr>
              <w:spacing w:before="40" w:after="40"/>
            </w:pPr>
            <w:r>
              <w:rPr>
                <w:rFonts w:ascii="Arial" w:hAnsi="Arial"/>
                <w:sz w:val="16"/>
              </w:rPr>
              <w:t>Local Consumer Point of Sale</w:t>
            </w:r>
          </w:p>
        </w:tc>
        <w:tc>
          <w:tcPr>
            <w:tcW w:type="dxa" w:w="2016"/>
            <w:shd w:fill="F8FAFC"/>
            <w:tcMar>
              <w:top w:w="60" w:type="dxa"/>
              <w:bottom w:w="60" w:type="dxa"/>
              <w:left w:w="80" w:type="dxa"/>
              <w:right w:w="80" w:type="dxa"/>
            </w:tcMar>
          </w:tcPr>
          <w:p>
            <w:pPr>
              <w:spacing w:before="40" w:after="40"/>
            </w:pPr>
            <w:r>
              <w:rPr>
                <w:rFonts w:ascii="Arial" w:hAnsi="Arial"/>
                <w:sz w:val="16"/>
              </w:rPr>
              <w:t>Logistics van deliveries, Store arrival manifests</w:t>
            </w:r>
          </w:p>
        </w:tc>
        <w:tc>
          <w:tcPr>
            <w:tcW w:type="dxa" w:w="2016"/>
            <w:shd w:fill="F8FAFC"/>
            <w:tcMar>
              <w:top w:w="60" w:type="dxa"/>
              <w:bottom w:w="60" w:type="dxa"/>
              <w:left w:w="80" w:type="dxa"/>
              <w:right w:w="80" w:type="dxa"/>
            </w:tcMar>
          </w:tcPr>
          <w:p>
            <w:pPr>
              <w:spacing w:before="40" w:after="40"/>
            </w:pPr>
            <w:r>
              <w:rPr>
                <w:rFonts w:ascii="Arial" w:hAnsi="Arial"/>
                <w:sz w:val="16"/>
              </w:rPr>
              <w:t>Consumer aisle QR standees, Billed POS receipts</w:t>
            </w:r>
          </w:p>
        </w:tc>
        <w:tc>
          <w:tcPr>
            <w:tcW w:type="dxa" w:w="2016"/>
            <w:shd w:fill="F8FAFC"/>
            <w:tcMar>
              <w:top w:w="60" w:type="dxa"/>
              <w:bottom w:w="60" w:type="dxa"/>
              <w:left w:w="80" w:type="dxa"/>
              <w:right w:w="80" w:type="dxa"/>
            </w:tcMar>
          </w:tcPr>
          <w:p>
            <w:pPr>
              <w:spacing w:before="40" w:after="40"/>
            </w:pPr>
            <w:r>
              <w:rPr>
                <w:rFonts w:ascii="Arial" w:hAnsi="Arial"/>
                <w:sz w:val="16"/>
              </w:rPr>
              <w:t>Food Safety and Standards Act (FSSAI), Legal Metrology Act</w:t>
            </w:r>
          </w:p>
        </w:tc>
      </w:tr>
    </w:tbl>
    <w:p>
      <w:pPr>
        <w:spacing w:after="240"/>
      </w:pPr>
    </w:p>
    <w:p>
      <w:pPr>
        <w:pStyle w:val="Heading1"/>
        <w:spacing w:before="280" w:after="120"/>
      </w:pPr>
      <w:r>
        <w:rPr>
          <w:rFonts w:ascii="Arial" w:hAnsi="Arial"/>
          <w:b/>
          <w:color w:val="0B3D2E"/>
          <w:sz w:val="28"/>
        </w:rPr>
        <w:t>8. Verification and Production Readiness</w:t>
      </w:r>
    </w:p>
    <w:p>
      <w:r>
        <w:t>AnnaSutra represents a milestone in India's sovereign digital public infrastructure for agriculture. By enforcing strict mathematical mass-balance constraints, multi-tier bilateral handshakes, tamper-evident Crockford Base32 physical labeling, and zero-PII DPDP Act data protection, the platform delivers transparency without compromising farmer privacy or commercial security.</w:t>
      </w:r>
    </w:p>
    <w:p>
      <w:r>
        <w:t>The software has undergone full regression testing (89 out of 89 tests passing) and is officially live in production at: https://annasutra.vercel.app with verified real-time database connectivity to the sovereign Aiven PostgreSQL ledger.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