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F8" w:rsidRDefault="00B26038">
      <w:r>
        <w:t xml:space="preserve">Assume our data </w:t>
      </w:r>
      <w:proofErr w:type="gramStart"/>
      <w:r>
        <w:t>i</w:t>
      </w:r>
      <w:bookmarkStart w:id="0" w:name="_GoBack"/>
      <w:bookmarkEnd w:id="0"/>
      <w:r>
        <w:t>s given</w:t>
      </w:r>
      <w:proofErr w:type="gramEnd"/>
      <w:r>
        <w:t xml:space="preserve"> by:</w:t>
      </w:r>
    </w:p>
    <w:p w:rsidR="00B26038" w:rsidRPr="00B26038" w:rsidRDefault="00B260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(ωt)</m:t>
          </m:r>
        </m:oMath>
      </m:oMathPara>
    </w:p>
    <w:p w:rsidR="00B26038" w:rsidRDefault="00B26038">
      <w:pPr>
        <w:rPr>
          <w:rFonts w:eastAsiaTheme="minorEastAsia"/>
        </w:rPr>
      </w:pPr>
      <w:r>
        <w:rPr>
          <w:rFonts w:eastAsiaTheme="minorEastAsia"/>
        </w:rPr>
        <w:t xml:space="preserve">Then, </w:t>
      </w:r>
    </w:p>
    <w:p w:rsidR="00B26038" w:rsidRPr="00BE00F9" w:rsidRDefault="00B260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τ)dt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ωτ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2ωt+ωτ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ωτ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ωT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2ωt+ωτ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ωt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ωτ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4ωT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ωτ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T+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ωτ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ωT</m:t>
              </m:r>
            </m:den>
          </m:f>
        </m:oMath>
      </m:oMathPara>
    </w:p>
    <w:p w:rsidR="00BE00F9" w:rsidRDefault="00BE00F9">
      <w:pPr>
        <w:rPr>
          <w:rFonts w:eastAsiaTheme="minorEastAsia"/>
        </w:rPr>
      </w:pPr>
      <w:r>
        <w:rPr>
          <w:rFonts w:eastAsiaTheme="minorEastAsia"/>
        </w:rPr>
        <w:t>Normalized ACF:</w:t>
      </w:r>
    </w:p>
    <w:p w:rsidR="00BE00F9" w:rsidRPr="00827571" w:rsidRDefault="00BE00F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ACF(τ)</m:t>
              </m:r>
            </m:num>
            <m:den>
              <m:r>
                <w:rPr>
                  <w:rFonts w:ascii="Cambria Math" w:hAnsi="Cambria Math"/>
                </w:rPr>
                <m:t>ACF(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ωτ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ωT+ωτ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2ωT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ωT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ωT+ωτ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ωT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ωT</m:t>
                  </m:r>
                </m:den>
              </m:f>
            </m:den>
          </m:f>
        </m:oMath>
      </m:oMathPara>
    </w:p>
    <w:p w:rsidR="00827571" w:rsidRDefault="00827571">
      <w:pPr>
        <w:rPr>
          <w:rFonts w:eastAsiaTheme="minorEastAsia"/>
        </w:rPr>
      </w:pPr>
      <w:r>
        <w:rPr>
          <w:rFonts w:eastAsiaTheme="minorEastAsia"/>
        </w:rPr>
        <w:t xml:space="preserve">In the limit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 xml:space="preserve">, the normalized ACF approaches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ωτ</m:t>
                </m:r>
              </m:e>
            </m:d>
          </m:e>
        </m:func>
      </m:oMath>
      <w:r>
        <w:rPr>
          <w:rFonts w:eastAsiaTheme="minorEastAsia"/>
        </w:rPr>
        <w:t>.</w:t>
      </w:r>
    </w:p>
    <w:p w:rsidR="00827571" w:rsidRDefault="00827571">
      <w:pPr>
        <w:rPr>
          <w:rFonts w:eastAsiaTheme="minorEastAsia"/>
        </w:rPr>
      </w:pPr>
      <w:r>
        <w:rPr>
          <w:rFonts w:eastAsiaTheme="minorEastAsia"/>
        </w:rPr>
        <w:t>Note</w:t>
      </w:r>
      <w:proofErr w:type="gramStart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this definition of the ACF uses constant T for each lag times. This definition is more common in chemistry.</w:t>
      </w:r>
    </w:p>
    <w:p w:rsidR="006852E0" w:rsidRDefault="006852E0">
      <w:pPr>
        <w:rPr>
          <w:rFonts w:eastAsiaTheme="minorEastAsia"/>
        </w:rPr>
      </w:pPr>
    </w:p>
    <w:p w:rsidR="00827571" w:rsidRDefault="00827571">
      <w:pPr>
        <w:rPr>
          <w:rFonts w:eastAsiaTheme="minorEastAsia"/>
        </w:rPr>
      </w:pPr>
      <w:r>
        <w:rPr>
          <w:rFonts w:eastAsiaTheme="minorEastAsia"/>
        </w:rPr>
        <w:t>Consider another definition:</w:t>
      </w:r>
    </w:p>
    <w:p w:rsidR="00827571" w:rsidRPr="00827571" w:rsidRDefault="008275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ACF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-τ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-τ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827571" w:rsidRDefault="00827571">
      <w:pPr>
        <w:rPr>
          <w:rFonts w:eastAsiaTheme="minorEastAsia"/>
        </w:rPr>
      </w:pPr>
      <w:r>
        <w:rPr>
          <w:rFonts w:eastAsiaTheme="minorEastAsia"/>
        </w:rPr>
        <w:t>For the sine function, this gives:</w:t>
      </w:r>
    </w:p>
    <w:p w:rsidR="00827571" w:rsidRPr="006852E0" w:rsidRDefault="00827571" w:rsidP="008275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ACF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ωτ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4ω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-τ)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2ωt+ωτ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-τ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ωτ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2ωT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ωτ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ωτ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4ω(T-τ)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ωτ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-τ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(ωT)</m:t>
              </m:r>
            </m:num>
            <m:den>
              <m:r>
                <w:rPr>
                  <w:rFonts w:ascii="Cambria Math" w:hAnsi="Cambria Math"/>
                </w:rPr>
                <m:t>2ω(T-τ)</m:t>
              </m:r>
            </m:den>
          </m:f>
        </m:oMath>
      </m:oMathPara>
    </w:p>
    <w:p w:rsidR="006852E0" w:rsidRDefault="006852E0" w:rsidP="00827571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normalized ACF is:</w:t>
      </w:r>
    </w:p>
    <w:p w:rsidR="006852E0" w:rsidRPr="00BE00F9" w:rsidRDefault="006852E0" w:rsidP="008275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ACF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(τ)</m:t>
              </m:r>
            </m:num>
            <m:den>
              <m:r>
                <w:rPr>
                  <w:rFonts w:ascii="Cambria Math" w:hAnsi="Cambria Math"/>
                </w:rPr>
                <m:t>ACF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ωτ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T-τ</m:t>
                              </m:r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(ωT)</m:t>
                  </m:r>
                </m:num>
                <m:den>
                  <m:r>
                    <w:rPr>
                      <w:rFonts w:ascii="Cambria Math" w:hAnsi="Cambria Math"/>
                    </w:rPr>
                    <m:t>2ω(T-τ)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(ωT)</m:t>
                  </m:r>
                </m:num>
                <m:den>
                  <m:r>
                    <w:rPr>
                      <w:rFonts w:ascii="Cambria Math" w:hAnsi="Cambria Math"/>
                    </w:rPr>
                    <m:t>2ω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T-τ</m:t>
                              </m:r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(ωT)</m:t>
                  </m:r>
                </m:num>
                <m:den>
                  <m:r>
                    <w:rPr>
                      <w:rFonts w:ascii="Cambria Math" w:hAnsi="Cambria Math"/>
                    </w:rPr>
                    <m:t>ω(T-τ)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(ωT)</m:t>
                  </m:r>
                </m:num>
                <m:den>
                  <m:r>
                    <w:rPr>
                      <w:rFonts w:ascii="Cambria Math" w:hAnsi="Cambria Math"/>
                    </w:rPr>
                    <m:t>ωT</m:t>
                  </m:r>
                </m:den>
              </m:f>
            </m:den>
          </m:f>
        </m:oMath>
      </m:oMathPara>
    </w:p>
    <w:p w:rsidR="00827571" w:rsidRDefault="006852E0">
      <w:pPr>
        <w:rPr>
          <w:rFonts w:eastAsiaTheme="minorEastAsia"/>
        </w:rPr>
      </w:pPr>
      <w:r>
        <w:rPr>
          <w:rFonts w:eastAsiaTheme="minorEastAsia"/>
        </w:rPr>
        <w:t>This definition is very similar to the one above. In the limit of sufficiently large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the two definitions are equivalent. </w:t>
      </w:r>
    </w:p>
    <w:sectPr w:rsidR="0082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5F"/>
    <w:rsid w:val="004D7686"/>
    <w:rsid w:val="006372F8"/>
    <w:rsid w:val="006852E0"/>
    <w:rsid w:val="006911CB"/>
    <w:rsid w:val="00827571"/>
    <w:rsid w:val="00AA305F"/>
    <w:rsid w:val="00B26038"/>
    <w:rsid w:val="00B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E139"/>
  <w15:chartTrackingRefBased/>
  <w15:docId w15:val="{D6FFF950-C99B-4F6C-8B24-7A390D38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0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2</cp:revision>
  <dcterms:created xsi:type="dcterms:W3CDTF">2019-01-16T18:02:00Z</dcterms:created>
  <dcterms:modified xsi:type="dcterms:W3CDTF">2019-01-16T18:47:00Z</dcterms:modified>
</cp:coreProperties>
</file>