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22"/>
          <w:szCs w:val="22"/>
        </w:rPr>
      </w:pPr>
      <w:bookmarkStart w:colFirst="0" w:colLast="0" w:name="_ayrxz26o4q4m" w:id="0"/>
      <w:bookmarkEnd w:id="0"/>
      <w:r w:rsidDel="00000000" w:rsidR="00000000" w:rsidRPr="00000000">
        <w:rPr>
          <w:b w:val="1"/>
          <w:bCs w:val="1"/>
          <w:sz w:val="22"/>
          <w:szCs w:val="22"/>
          <w:rtl w:val="0"/>
        </w:rPr>
        <w:t xml:space="preserve">Table of Contents</w:t>
      </w:r>
    </w:p>
    <w:p w:rsidR="00000000" w:rsidDel="00000000" w:rsidP="00000000" w:rsidRDefault="00000000" w:rsidRPr="00000000" w14:paraId="00000002">
      <w:pPr>
        <w:rPr/>
      </w:pPr>
      <w:r w:rsidDel="00000000" w:rsidR="00000000" w:rsidRPr="00000000">
        <w:rPr>
          <w:rtl w:val="0"/>
        </w:rPr>
      </w:r>
    </w:p>
    <w:sdt>
      <w:sdtPr>
        <w:id w:val="1641767865"/>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wefrax6fjt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5.Methodology: Simulation-Based Stress Testing</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color w:val="000000"/>
              <w:u w:val="none"/>
            </w:rPr>
          </w:pPr>
          <w:hyperlink w:anchor="_sbl7ajh3zb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Purpose and Non-Goals (What the model is / is not)</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color w:val="000000"/>
              <w:u w:val="none"/>
            </w:rPr>
          </w:pPr>
          <w:hyperlink w:anchor="_45kvrg4h7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Model Scope and Agent Representation</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color w:val="000000"/>
              <w:u w:val="none"/>
            </w:rPr>
          </w:pPr>
          <w:hyperlink w:anchor="_mujoo66wye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Inputs, Parameters, and Exogenous vs Endogenous Variables</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wjsra2rpek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Stress Dimensions and Scenario Design</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z9tgsm8p7k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Metrics and Computation (Dashboard-aligned)</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gq5gep7tqh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Reproducibility and Validation Strategy</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7p95kp91l2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Limitations of the Model</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kitf5x38xle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Results</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ja2rm8r68z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Baseline Behavior (Sanity Check)</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color w:val="000000"/>
              <w:u w:val="none"/>
            </w:rPr>
          </w:pPr>
          <w:hyperlink w:anchor="_3m8pukque8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Experimental Setup</w:t>
              <w:tab/>
              <w:t xml:space="preserve">12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color w:val="000000"/>
              <w:u w:val="none"/>
            </w:rPr>
          </w:pPr>
          <w:hyperlink w:anchor="_t18m7sj98e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Baseline Trajectories</w:t>
              <w:tab/>
              <w:t xml:space="preserve">12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color w:val="000000"/>
              <w:u w:val="none"/>
            </w:rPr>
          </w:pPr>
          <w:hyperlink w:anchor="_a31yshswvy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Provider Economics and Retention</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color w:val="000000"/>
              <w:u w:val="none"/>
            </w:rPr>
          </w:pPr>
          <w:hyperlink w:anchor="_et96adocco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 Interpretation Boundaries of Baseline Results</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k4pohlo6cp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Stress Scenarios: Definition and Execution</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000000"/>
              <w:u w:val="none"/>
            </w:rPr>
          </w:pPr>
          <w:hyperlink w:anchor="_vnrc15hc6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Rationale for Scenario-Based Stress Testing</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yqjdkf3k89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Scenario S1: Demand Contraction</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000000"/>
              <w:u w:val="none"/>
            </w:rPr>
          </w:pPr>
          <w:hyperlink w:anchor="_ozp4tob7yk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Scenario S2: Liquidity Shock</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xz6yy88fed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6.2.4 Scenario S3: Competitive Yield Pressure</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7zx8ac5vk3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6.2.5 Scenario S4: Provider Cost Inflation</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w88uxu4rnf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 Execution and Comparability</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r7h4vqlxir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Stress Scenario Results (Comparative Outcomes)</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m2fc1jlb7g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Demand Contraction Scenario</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5uf6fygmaz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Liquidity Shock Scenario</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thrj0bry2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 Competitive Yield Pressure Scenario</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ipkja5o2bh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6.3.4 Provider Cost Inflation Scenario</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k7h5fsdcx9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6.3.5 Cross-Scenario Comparison</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lo02z8e102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Failure Modes Observed (Operational Definitions)</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qp0u2zm8n9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Reward–Demand Decoupling</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u w:val="none"/>
            </w:rPr>
          </w:pPr>
          <w:hyperlink w:anchor="_vq1lxun0np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Profitability-Induced Provider Churn</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u w:val="none"/>
            </w:rPr>
          </w:pPr>
          <w:hyperlink w:anchor="_q76kfv7qd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 Liquidity-Driven Incentive Compression</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color w:val="000000"/>
              <w:u w:val="none"/>
            </w:rPr>
          </w:pPr>
          <w:hyperlink w:anchor="_9vjw00jkf1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6.4.4 Elastic Provider Exit Under External Yield Pressure</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color w:val="000000"/>
              <w:u w:val="none"/>
            </w:rPr>
          </w:pPr>
          <w:hyperlink w:anchor="_b533ldgt1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6.4.5 Latent Capacity Degradation</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000000"/>
              <w:u w:val="none"/>
            </w:rPr>
          </w:pPr>
          <w:hyperlink w:anchor="_2hmxm69ngs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of Failure Mode Definitions</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qihpoif3s5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Implications</w:t>
              <w:br w:type="textWrapping"/>
              <w:br w:type="textWrapping"/>
              <w:t xml:space="preserve">7.1 Implications for Builders (Design Recommendations)</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000000"/>
              <w:u w:val="none"/>
            </w:rPr>
          </w:pPr>
          <w:hyperlink w:anchor="_7wcrkteqv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Align Emissions More Tightly with Realized Demand</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u w:val="none"/>
            </w:rPr>
          </w:pPr>
          <w:hyperlink w:anchor="_66lvnw20te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 Design for Provider Margin Resilience, Not Peak Returns</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dsfprni7z4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 Treat Liquidity Events as Infrastructure Risks, Not Just Market Events</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_4x7e0hkpm5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 Assume Provider Capital Is Mobile</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000000"/>
              <w:u w:val="none"/>
            </w:rPr>
          </w:pPr>
          <w:hyperlink w:anchor="_pmfc70pmaf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 Account for Delayed Infrastructure Degradation</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u w:val="none"/>
            </w:rPr>
          </w:pPr>
          <w:hyperlink w:anchor="_m824equue7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Positioning Note (important)</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ogbw8ftxai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Implications for Onocoy (Actionable Suggestions)</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color w:val="000000"/>
              <w:u w:val="none"/>
            </w:rPr>
          </w:pPr>
          <w:hyperlink w:anchor="_tak28z4wq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Strengthen the Coupling Between Usage and Rewards</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color w:val="000000"/>
              <w:u w:val="none"/>
            </w:rPr>
          </w:pPr>
          <w:hyperlink w:anchor="_lhfny9tgm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Monitor Provider Margins as a Leading Indicator</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color w:val="000000"/>
              <w:u w:val="none"/>
            </w:rPr>
          </w:pPr>
          <w:hyperlink w:anchor="_xiuyf5vqc0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 Account for Token Price Sensitivity in Reward Design</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u w:val="none"/>
            </w:rPr>
          </w:pPr>
          <w:hyperlink w:anchor="_1ttl6q9fs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 Differentiate Incentives by Provider Commitment Level</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z1nz8zf3pt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7.2.5 Use Stress Testing as an Ongoing Governance Tool</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9pas2vu3dg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Positioning Note</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242c7zv44j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Implications for Researchers (What This Enables and What It Does Not)</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rpl9waxmu2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 What This Framework Enables</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color w:val="000000"/>
              <w:u w:val="none"/>
            </w:rPr>
          </w:pPr>
          <w:hyperlink w:anchor="_ej6hin88w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 What This Framework Does Not Enable</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_je9uhceqgj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7.3.3 Research Directions Opened by This Work</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000000"/>
              <w:u w:val="none"/>
            </w:rPr>
          </w:pPr>
          <w:hyperlink w:anchor="_pgtyjoopt9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Positioning Note</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color w:val="000000"/>
              <w:u w:val="none"/>
            </w:rPr>
          </w:pPr>
          <w:hyperlink w:anchor="_k85qvquvvgy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Human Decision-Making Under Stress: DePIN Response Archetypes</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000000"/>
              <w:u w:val="none"/>
            </w:rPr>
          </w:pPr>
          <w:hyperlink w:anchor="_t95cskaqmsl1">
            <w:r w:rsidDel="00000000" w:rsidR="00000000" w:rsidRPr="00000000">
              <w:rPr>
                <w:color w:val="000000"/>
                <w:u w:val="none"/>
                <w:rtl w:val="0"/>
              </w:rPr>
              <w:t xml:space="preserve">8.1 Why Mechanism Design Alone Is Insufficient</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u w:val="none"/>
            </w:rPr>
          </w:pPr>
          <w:hyperlink w:anchor="_71n1v1x4r3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Archetype I: Subsidy Inertia</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_gvehovg5b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Archetype II: Incentive Expansion vs Incentive Re-Targeting</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color w:val="000000"/>
              <w:u w:val="none"/>
            </w:rPr>
          </w:pPr>
          <w:hyperlink w:anchor="_762w55k4ed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 Subsidy Expansion (Incentive Overfitting)</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color w:val="000000"/>
              <w:u w:val="none"/>
            </w:rPr>
          </w:pPr>
          <w:hyperlink w:anchor="_1q3x7iggix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 Incentive Re-Targeting (Adaptive Alignment)</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u w:val="none"/>
            </w:rPr>
          </w:pPr>
          <w:hyperlink w:anchor="_ly2s05ocqd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Archetype III: Narrative Repositioning Without Structural Adjustment</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color w:val="000000"/>
              <w:u w:val="none"/>
            </w:rPr>
          </w:pPr>
          <w:hyperlink w:anchor="_s2zl9qp605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Archetype IV: Emergency Centralization and Operational Intervention</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u w:val="none"/>
            </w:rPr>
          </w:pPr>
          <w:hyperlink w:anchor="_gtmmbq87bz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Why These Archetypes Matter for the Stress-Testing Framework</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000000"/>
              <w:u w:val="none"/>
            </w:rPr>
          </w:pPr>
          <w:hyperlink w:anchor="_day159wxul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Positioning of This Contribution</w:t>
              <w:tab/>
              <w:t xml:space="preserve">33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u w:val="none"/>
            </w:rPr>
          </w:pPr>
          <w:hyperlink w:anchor="_64nxhr7fhf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Counterexamples, Edge Cases, and Deliberate Exclusions</w:t>
              <w:tab/>
              <w:t xml:space="preserve">34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color w:val="000000"/>
              <w:u w:val="none"/>
            </w:rPr>
          </w:pPr>
          <w:hyperlink w:anchor="_jny6eccwty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8.8.1 Counterexample I: Demand-Dominant DePIN Regimes</w:t>
              <w:tab/>
              <w:t xml:space="preserve">34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color w:val="000000"/>
              <w:u w:val="none"/>
            </w:rPr>
          </w:pPr>
          <w:hyperlink w:anchor="_u41vuhd11z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8.8.2 Counterexample II: Structurally Centralized Infrastructure Networks</w:t>
              <w:tab/>
              <w:t xml:space="preserve">35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color w:val="000000"/>
              <w:u w:val="none"/>
            </w:rPr>
          </w:pPr>
          <w:hyperlink w:anchor="_ettsbilq0i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8.8.3 Honourable-Mention Archetypes Considered but Excluded</w:t>
              <w:tab/>
              <w:t xml:space="preserve">35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color w:val="000000"/>
              <w:u w:val="none"/>
            </w:rPr>
          </w:pPr>
          <w:hyperlink w:anchor="_64tfvurxuz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8.8.4 Honourable-Mention Metrics Considered but Excluded</w:t>
              <w:tab/>
              <w:t xml:space="preserve">36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color w:val="000000"/>
              <w:u w:val="none"/>
            </w:rPr>
          </w:pPr>
          <w:hyperlink w:anchor="_vdh6rb4tfj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8.8.5 Implications for Interpretation</w:t>
              <w:tab/>
              <w:t xml:space="preserve">36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b w:val="1"/>
              <w:bCs w:val="1"/>
              <w:color w:val="000000"/>
              <w:u w:val="none"/>
            </w:rPr>
          </w:pPr>
          <w:hyperlink w:anchor="_fpkg329xmjz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Citations TODO</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rPr>
          <w:sz w:val="22"/>
          <w:szCs w:val="22"/>
        </w:rPr>
      </w:pPr>
      <w:bookmarkStart w:colFirst="0" w:colLast="0" w:name="_36a2rtjg4wjw" w:id="1"/>
      <w:bookmarkEnd w:id="1"/>
      <w:r w:rsidDel="00000000" w:rsidR="00000000" w:rsidRPr="00000000">
        <w:rPr>
          <w:rtl w:val="0"/>
        </w:rPr>
      </w:r>
    </w:p>
    <w:p w:rsidR="00000000" w:rsidDel="00000000" w:rsidP="00000000" w:rsidRDefault="00000000" w:rsidRPr="00000000" w14:paraId="0000004A">
      <w:pPr>
        <w:pStyle w:val="Heading1"/>
        <w:rPr>
          <w:sz w:val="22"/>
          <w:szCs w:val="22"/>
        </w:rPr>
      </w:pPr>
      <w:bookmarkStart w:colFirst="0" w:colLast="0" w:name="_o5wf2e9xz75k" w:id="2"/>
      <w:bookmarkEnd w:id="2"/>
      <w:r w:rsidDel="00000000" w:rsidR="00000000" w:rsidRPr="00000000">
        <w:rPr>
          <w:rtl w:val="0"/>
        </w:rPr>
      </w:r>
    </w:p>
    <w:p w:rsidR="00000000" w:rsidDel="00000000" w:rsidP="00000000" w:rsidRDefault="00000000" w:rsidRPr="00000000" w14:paraId="0000004B">
      <w:pPr>
        <w:pStyle w:val="Heading1"/>
        <w:rPr>
          <w:sz w:val="22"/>
          <w:szCs w:val="22"/>
        </w:rPr>
      </w:pPr>
      <w:bookmarkStart w:colFirst="0" w:colLast="0" w:name="_3o01a9i2am4a" w:id="3"/>
      <w:bookmarkEnd w:id="3"/>
      <w:r w:rsidDel="00000000" w:rsidR="00000000" w:rsidRPr="00000000">
        <w:rPr>
          <w:rtl w:val="0"/>
        </w:rPr>
      </w:r>
    </w:p>
    <w:p w:rsidR="00000000" w:rsidDel="00000000" w:rsidP="00000000" w:rsidRDefault="00000000" w:rsidRPr="00000000" w14:paraId="0000004C">
      <w:pPr>
        <w:pStyle w:val="Heading1"/>
        <w:rPr>
          <w:sz w:val="22"/>
          <w:szCs w:val="22"/>
        </w:rPr>
      </w:pPr>
      <w:bookmarkStart w:colFirst="0" w:colLast="0" w:name="_9i43amjcjpve" w:id="4"/>
      <w:bookmarkEnd w:id="4"/>
      <w:r w:rsidDel="00000000" w:rsidR="00000000" w:rsidRPr="00000000">
        <w:rPr>
          <w:rtl w:val="0"/>
        </w:rPr>
      </w:r>
    </w:p>
    <w:p w:rsidR="00000000" w:rsidDel="00000000" w:rsidP="00000000" w:rsidRDefault="00000000" w:rsidRPr="00000000" w14:paraId="0000004D">
      <w:pPr>
        <w:pStyle w:val="Heading1"/>
        <w:rPr>
          <w:sz w:val="22"/>
          <w:szCs w:val="22"/>
        </w:rPr>
      </w:pPr>
      <w:bookmarkStart w:colFirst="0" w:colLast="0" w:name="_uwar1fft93ef" w:id="5"/>
      <w:bookmarkEnd w:id="5"/>
      <w:r w:rsidDel="00000000" w:rsidR="00000000" w:rsidRPr="00000000">
        <w:rPr>
          <w:rtl w:val="0"/>
        </w:rPr>
      </w:r>
    </w:p>
    <w:p w:rsidR="00000000" w:rsidDel="00000000" w:rsidP="00000000" w:rsidRDefault="00000000" w:rsidRPr="00000000" w14:paraId="0000004E">
      <w:pPr>
        <w:pStyle w:val="Heading1"/>
        <w:rPr>
          <w:sz w:val="22"/>
          <w:szCs w:val="22"/>
        </w:rPr>
      </w:pPr>
      <w:bookmarkStart w:colFirst="0" w:colLast="0" w:name="_5uo4a2l10az8" w:id="6"/>
      <w:bookmarkEnd w:id="6"/>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sz w:val="22"/>
          <w:szCs w:val="22"/>
        </w:rPr>
      </w:pPr>
      <w:bookmarkStart w:colFirst="0" w:colLast="0" w:name="_8wefrax6fjtw" w:id="7"/>
      <w:bookmarkEnd w:id="7"/>
      <w:r w:rsidDel="00000000" w:rsidR="00000000" w:rsidRPr="00000000">
        <w:rPr>
          <w:sz w:val="22"/>
          <w:szCs w:val="22"/>
          <w:rtl w:val="0"/>
        </w:rPr>
        <w:t xml:space="preserve">5.Methodology: Simulation-Based Stress Testing</w:t>
      </w:r>
    </w:p>
    <w:p w:rsidR="00000000" w:rsidDel="00000000" w:rsidP="00000000" w:rsidRDefault="00000000" w:rsidRPr="00000000" w14:paraId="00000053">
      <w:pPr>
        <w:pStyle w:val="Heading2"/>
        <w:rPr>
          <w:sz w:val="22"/>
          <w:szCs w:val="22"/>
        </w:rPr>
      </w:pPr>
      <w:bookmarkStart w:colFirst="0" w:colLast="0" w:name="_sbl7ajh3zb6e" w:id="8"/>
      <w:bookmarkEnd w:id="8"/>
      <w:r w:rsidDel="00000000" w:rsidR="00000000" w:rsidRPr="00000000">
        <w:rPr>
          <w:sz w:val="22"/>
          <w:szCs w:val="22"/>
          <w:rtl w:val="0"/>
        </w:rPr>
        <w:t xml:space="preserve">5.1 Purpose and Non-Goals (What the model is / is not)</w:t>
      </w:r>
    </w:p>
    <w:p w:rsidR="00000000" w:rsidDel="00000000" w:rsidP="00000000" w:rsidRDefault="00000000" w:rsidRPr="00000000" w14:paraId="00000054">
      <w:pPr>
        <w:spacing w:after="240" w:before="240" w:lineRule="auto"/>
        <w:rPr/>
      </w:pPr>
      <w:r w:rsidDel="00000000" w:rsidR="00000000" w:rsidRPr="00000000">
        <w:rPr>
          <w:rtl w:val="0"/>
        </w:rPr>
        <w:t xml:space="preserve">The simulation framework used in this thesis is intended to examine how tokenomic mechanisms in Decentralized Physical Infrastructure Networks (DePIN) behave when conditions deteriorate. The aim is not to predict future outcomes or identify winning designs, but to compare how different incentive structures respond when exposed to the same adverse scenarios. The emphasis is therefore on </w:t>
      </w:r>
      <w:r w:rsidDel="00000000" w:rsidR="00000000" w:rsidRPr="00000000">
        <w:rPr>
          <w:i w:val="1"/>
          <w:iCs w:val="1"/>
          <w:rtl w:val="0"/>
        </w:rPr>
        <w:t xml:space="preserve">relative behavior</w:t>
      </w:r>
      <w:r w:rsidDel="00000000" w:rsidR="00000000" w:rsidRPr="00000000">
        <w:rPr>
          <w:rtl w:val="0"/>
        </w:rPr>
        <w:t xml:space="preserve"> under stress, rather than on absolute performance or forecasting accuracy.</w:t>
      </w:r>
    </w:p>
    <w:p w:rsidR="00000000" w:rsidDel="00000000" w:rsidP="00000000" w:rsidRDefault="00000000" w:rsidRPr="00000000" w14:paraId="00000055">
      <w:pPr>
        <w:spacing w:after="240" w:before="240" w:lineRule="auto"/>
        <w:rPr/>
      </w:pPr>
      <w:r w:rsidDel="00000000" w:rsidR="00000000" w:rsidRPr="00000000">
        <w:rPr>
          <w:rtl w:val="0"/>
        </w:rPr>
        <w:t xml:space="preserve">Simulation is chosen because DePIN systems combine several features that are difficult to study analytically. Infrastructure providers are heterogeneous, incentives operate through protocol rules rather than direct contracts, and external conditions such as demand or market sentiment can change abruptly. These elements interact in non-linear ways, especially once feedback effects emerge, for example when provider exits reduce service capacity and alter the incentive environment for remaining participants. A simulation-based approach makes it possible to examine these interactions directly, while keeping assumptions explicit and inspectable.</w:t>
      </w:r>
    </w:p>
    <w:p w:rsidR="00000000" w:rsidDel="00000000" w:rsidP="00000000" w:rsidRDefault="00000000" w:rsidRPr="00000000" w14:paraId="00000056">
      <w:pPr>
        <w:spacing w:after="240" w:before="240" w:lineRule="auto"/>
        <w:rPr/>
      </w:pPr>
      <w:r w:rsidDel="00000000" w:rsidR="00000000" w:rsidRPr="00000000">
        <w:rPr>
          <w:rtl w:val="0"/>
        </w:rPr>
        <w:t xml:space="preserve">To avoid over-interpretation, a number of non-goals are defined upfront. The model does not produce token price forecasts, valuation estimates, or projections of market capitalization. Price dynamics are included only as internal signals that reflect supply, demand, and liquidity assumptions, and are used solely to support comparative analysis across scenarios. Likewise, the results are not treated as causal claims about real-world networks. All observed patterns are conditional on the modeled assumptions and should be understood as indicative rather than predictive.</w:t>
      </w:r>
    </w:p>
    <w:p w:rsidR="00000000" w:rsidDel="00000000" w:rsidP="00000000" w:rsidRDefault="00000000" w:rsidRPr="00000000" w14:paraId="00000057">
      <w:pPr>
        <w:spacing w:after="240" w:before="240" w:lineRule="auto"/>
        <w:rPr/>
      </w:pPr>
      <w:r w:rsidDel="00000000" w:rsidR="00000000" w:rsidRPr="00000000">
        <w:rPr>
          <w:rtl w:val="0"/>
        </w:rPr>
        <w:t xml:space="preserve">The framework is also not intended to identify optimal parameter settings or prescribe specific tokenomic designs. Instead, it is used to surface trade-offs and failure modes that become visible under stress, and to highlight circumstances in which certain mechanisms appear more fragile or more resilient than others. Finally, the model abstracts from governance processes, legal constraints, and off-chain behavioral factors that may be important in practice but cannot be represented in a tractable and reproducible way within the scope of this study.</w:t>
      </w:r>
    </w:p>
    <w:p w:rsidR="00000000" w:rsidDel="00000000" w:rsidP="00000000" w:rsidRDefault="00000000" w:rsidRPr="00000000" w14:paraId="00000058">
      <w:pPr>
        <w:spacing w:after="240" w:before="240" w:lineRule="auto"/>
        <w:rPr/>
      </w:pPr>
      <w:r w:rsidDel="00000000" w:rsidR="00000000" w:rsidRPr="00000000">
        <w:rPr>
          <w:rtl w:val="0"/>
        </w:rPr>
        <w:t xml:space="preserve">This methodological stance follows established practice in simulation-based research on complex systems, where controlled comparison under adverse conditions is preferred over predictive modeling in settings characterized by uncertainty, feedback effects, and heterogeneous agents [[CITE:Morris2019]; [CITE:Braakman2022]].</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sz w:val="22"/>
          <w:szCs w:val="22"/>
        </w:rPr>
      </w:pPr>
      <w:bookmarkStart w:colFirst="0" w:colLast="0" w:name="_45kvrg4h7ms" w:id="9"/>
      <w:bookmarkEnd w:id="9"/>
      <w:r w:rsidDel="00000000" w:rsidR="00000000" w:rsidRPr="00000000">
        <w:rPr>
          <w:sz w:val="22"/>
          <w:szCs w:val="22"/>
          <w:rtl w:val="0"/>
        </w:rPr>
        <w:t xml:space="preserve">5.2 Model Scope and Agent Representation</w:t>
      </w:r>
    </w:p>
    <w:p w:rsidR="00000000" w:rsidDel="00000000" w:rsidP="00000000" w:rsidRDefault="00000000" w:rsidRPr="00000000" w14:paraId="0000005B">
      <w:pPr>
        <w:spacing w:after="240" w:before="240" w:lineRule="auto"/>
        <w:rPr/>
      </w:pPr>
      <w:r w:rsidDel="00000000" w:rsidR="00000000" w:rsidRPr="00000000">
        <w:rPr>
          <w:rtl w:val="0"/>
        </w:rPr>
        <w:t xml:space="preserve">The simulation model represents DePIN dynamics through a limited set of interacting components that capture the core economic relationships relevant to infrastructure sustainability, while deliberately abstracting from elements that cannot be modeled reliably or reproducibly. The scope of the model is therefore defined by what can be meaningfully stress-tested, rather than by an attempt to mirror the full complexity of real-world networks.</w:t>
      </w:r>
    </w:p>
    <w:p w:rsidR="00000000" w:rsidDel="00000000" w:rsidP="00000000" w:rsidRDefault="00000000" w:rsidRPr="00000000" w14:paraId="0000005C">
      <w:pPr>
        <w:spacing w:after="240" w:before="240" w:lineRule="auto"/>
        <w:rPr/>
      </w:pPr>
      <w:r w:rsidDel="00000000" w:rsidR="00000000" w:rsidRPr="00000000">
        <w:rPr>
          <w:rtl w:val="0"/>
        </w:rPr>
        <w:t xml:space="preserve">At the center of the model are </w:t>
      </w:r>
      <w:r w:rsidDel="00000000" w:rsidR="00000000" w:rsidRPr="00000000">
        <w:rPr>
          <w:b w:val="1"/>
          <w:bCs w:val="1"/>
          <w:rtl w:val="0"/>
        </w:rPr>
        <w:t xml:space="preserve">infrastructure providers</w:t>
      </w:r>
      <w:r w:rsidDel="00000000" w:rsidR="00000000" w:rsidRPr="00000000">
        <w:rPr>
          <w:rtl w:val="0"/>
        </w:rPr>
        <w:t xml:space="preserve">, represented as heterogeneous agents. Providers differ along several dimensions that materially affect their economic outcomes, including operational costs, effective capacity contribution, and hardware tier. This heterogeneity is essential, as DePIN networks do not consist of interchangeable participants; instead, they are composed of operators with varying cost structures and exposure to adverse conditions. Provider behavior in the model is limited to economically motivated decisions, primarily continued participation, exit (churn), or entry, based on profitability thresholds and accumulated losses.</w:t>
      </w:r>
    </w:p>
    <w:p w:rsidR="00000000" w:rsidDel="00000000" w:rsidP="00000000" w:rsidRDefault="00000000" w:rsidRPr="00000000" w14:paraId="0000005D">
      <w:pPr>
        <w:spacing w:after="240" w:before="240" w:lineRule="auto"/>
        <w:rPr/>
      </w:pPr>
      <w:r w:rsidDel="00000000" w:rsidR="00000000" w:rsidRPr="00000000">
        <w:rPr>
          <w:rtl w:val="0"/>
        </w:rPr>
        <w:t xml:space="preserve">Users are not modeled as individual agents. Instead, </w:t>
      </w:r>
      <w:r w:rsidDel="00000000" w:rsidR="00000000" w:rsidRPr="00000000">
        <w:rPr>
          <w:b w:val="1"/>
          <w:bCs w:val="1"/>
          <w:rtl w:val="0"/>
        </w:rPr>
        <w:t xml:space="preserve">service demand is treated as an exogenous input</w:t>
      </w:r>
      <w:r w:rsidDel="00000000" w:rsidR="00000000" w:rsidRPr="00000000">
        <w:rPr>
          <w:rtl w:val="0"/>
        </w:rPr>
        <w:t xml:space="preserve">, specified through time-varying demand regimes that reflect different market conditions. This design choice reflects both practical constraints and conceptual clarity. While real demand may respond endogenously to price or service quality, introducing such feedback would require assumptions that cannot be validated within the scope of this thesis. Demand is therefore used as a controlled external driver, allowing the analysis to focus on how tokenomic mechanisms respond to stress rather than on how demand itself forms.</w:t>
      </w:r>
    </w:p>
    <w:p w:rsidR="00000000" w:rsidDel="00000000" w:rsidP="00000000" w:rsidRDefault="00000000" w:rsidRPr="00000000" w14:paraId="0000005E">
      <w:pPr>
        <w:spacing w:after="240" w:before="240" w:lineRule="auto"/>
        <w:rPr/>
      </w:pPr>
      <w:r w:rsidDel="00000000" w:rsidR="00000000" w:rsidRPr="00000000">
        <w:rPr>
          <w:rtl w:val="0"/>
        </w:rPr>
        <w:t xml:space="preserve">The protocol is represented as a </w:t>
      </w:r>
      <w:r w:rsidDel="00000000" w:rsidR="00000000" w:rsidRPr="00000000">
        <w:rPr>
          <w:b w:val="1"/>
          <w:bCs w:val="1"/>
          <w:rtl w:val="0"/>
        </w:rPr>
        <w:t xml:space="preserve">rule-based system</w:t>
      </w:r>
      <w:r w:rsidDel="00000000" w:rsidR="00000000" w:rsidRPr="00000000">
        <w:rPr>
          <w:rtl w:val="0"/>
        </w:rPr>
        <w:t xml:space="preserve"> that governs emissions, reward allocation, burn mechanisms, and price-related dynamics. Protocol behavior is deterministic given a set of parameters and inputs, and does not adapt strategically over time. This abstraction is intentional: the objective is to evaluate the behavior of tokenomic mechanisms as designed, not to model governance interventions or discretionary parameter changes in response to observed outcomes.</w:t>
      </w:r>
    </w:p>
    <w:p w:rsidR="00000000" w:rsidDel="00000000" w:rsidP="00000000" w:rsidRDefault="00000000" w:rsidRPr="00000000" w14:paraId="0000005F">
      <w:pPr>
        <w:spacing w:after="240" w:before="240" w:lineRule="auto"/>
        <w:rPr/>
      </w:pPr>
      <w:r w:rsidDel="00000000" w:rsidR="00000000" w:rsidRPr="00000000">
        <w:rPr>
          <w:rtl w:val="0"/>
        </w:rPr>
        <w:t xml:space="preserve">Within this structure, a clear distinction is maintained between </w:t>
      </w:r>
      <w:r w:rsidDel="00000000" w:rsidR="00000000" w:rsidRPr="00000000">
        <w:rPr>
          <w:b w:val="1"/>
          <w:bCs w:val="1"/>
          <w:rtl w:val="0"/>
        </w:rPr>
        <w:t xml:space="preserve">endogenous variables</w:t>
      </w:r>
      <w:r w:rsidDel="00000000" w:rsidR="00000000" w:rsidRPr="00000000">
        <w:rPr>
          <w:rtl w:val="0"/>
        </w:rPr>
        <w:t xml:space="preserve">—such as token supply, provider profitability, churn, and incentive solvency—and </w:t>
      </w:r>
      <w:r w:rsidDel="00000000" w:rsidR="00000000" w:rsidRPr="00000000">
        <w:rPr>
          <w:b w:val="1"/>
          <w:bCs w:val="1"/>
          <w:rtl w:val="0"/>
        </w:rPr>
        <w:t xml:space="preserve">exogenous variables</w:t>
      </w:r>
      <w:r w:rsidDel="00000000" w:rsidR="00000000" w:rsidRPr="00000000">
        <w:rPr>
          <w:rtl w:val="0"/>
        </w:rPr>
        <w:t xml:space="preserve">, including demand regimes, macroeconomic conditions, and liquidity shocks. This separation allows observed outcomes to be traced back to specific stress inputs and mechanism responses, improving interpretability and comparability across simulation runs.</w:t>
      </w:r>
    </w:p>
    <w:p w:rsidR="00000000" w:rsidDel="00000000" w:rsidP="00000000" w:rsidRDefault="00000000" w:rsidRPr="00000000" w14:paraId="00000060">
      <w:pPr>
        <w:spacing w:after="240" w:before="240" w:lineRule="auto"/>
        <w:rPr/>
      </w:pPr>
      <w:r w:rsidDel="00000000" w:rsidR="00000000" w:rsidRPr="00000000">
        <w:rPr>
          <w:rtl w:val="0"/>
        </w:rPr>
        <w:t xml:space="preserve">Overall, the model is best understood as a stylized representation of DePIN economics. It captures the interactions necessary to examine incentive robustness under stress, while avoiding speculative behavioral assumptions that would undermine reproducibility. The resulting trade-off favors clarity and control over realism, consistent with the comparative and exploratory aims of the study.</w:t>
      </w:r>
    </w:p>
    <w:p w:rsidR="00000000" w:rsidDel="00000000" w:rsidP="00000000" w:rsidRDefault="00000000" w:rsidRPr="00000000" w14:paraId="00000061">
      <w:pPr>
        <w:pStyle w:val="Heading2"/>
        <w:rPr>
          <w:sz w:val="22"/>
          <w:szCs w:val="22"/>
        </w:rPr>
      </w:pPr>
      <w:bookmarkStart w:colFirst="0" w:colLast="0" w:name="_mujoo66wyem6" w:id="10"/>
      <w:bookmarkEnd w:id="10"/>
      <w:r w:rsidDel="00000000" w:rsidR="00000000" w:rsidRPr="00000000">
        <w:rPr>
          <w:sz w:val="22"/>
          <w:szCs w:val="22"/>
          <w:rtl w:val="0"/>
        </w:rPr>
        <w:t xml:space="preserve">5.3 Inputs, Parameters, and Exogenous vs Endogenous Variables</w:t>
      </w:r>
    </w:p>
    <w:p w:rsidR="00000000" w:rsidDel="00000000" w:rsidP="00000000" w:rsidRDefault="00000000" w:rsidRPr="00000000" w14:paraId="00000062">
      <w:pPr>
        <w:spacing w:after="240" w:before="240" w:lineRule="auto"/>
        <w:rPr/>
      </w:pPr>
      <w:r w:rsidDel="00000000" w:rsidR="00000000" w:rsidRPr="00000000">
        <w:rPr>
          <w:rtl w:val="0"/>
        </w:rPr>
        <w:t xml:space="preserve">The simulation framework operates on a clearly defined set of inputs and parameters that determine how the system evolves over time. These inputs are grouped by their role in the model rather than by their real-world source, in order to make assumptions explicit and to support systematic stress testing. A central design principle is that parameters are treated as </w:t>
      </w:r>
      <w:r w:rsidDel="00000000" w:rsidR="00000000" w:rsidRPr="00000000">
        <w:rPr>
          <w:i w:val="1"/>
          <w:iCs w:val="1"/>
          <w:rtl w:val="0"/>
        </w:rPr>
        <w:t xml:space="preserve">ranges and regimes</w:t>
      </w:r>
      <w:r w:rsidDel="00000000" w:rsidR="00000000" w:rsidRPr="00000000">
        <w:rPr>
          <w:rtl w:val="0"/>
        </w:rPr>
        <w:t xml:space="preserve">, not as precise estimates of real-world values.</w:t>
      </w:r>
    </w:p>
    <w:p w:rsidR="00000000" w:rsidDel="00000000" w:rsidP="00000000" w:rsidRDefault="00000000" w:rsidRPr="00000000" w14:paraId="00000063">
      <w:pPr>
        <w:spacing w:after="240" w:before="240" w:lineRule="auto"/>
        <w:rPr/>
      </w:pPr>
      <w:r w:rsidDel="00000000" w:rsidR="00000000" w:rsidRPr="00000000">
        <w:rPr>
          <w:rtl w:val="0"/>
        </w:rPr>
        <w:t xml:space="preserve">Exogenous inputs define the external environment in which the protocol and providers operate. These include demand regimes, macroeconomic conditions, and discrete shock events. Demand is specified as a time series that can follow different patterns, such as steady usage, growth followed by decay, or highly volatile behavior. Macroeconomic conditions are represented through scenario-level modifiers that affect price dynamics and volatility but are not influenced by the internal state of the network. Liquidity shocks, such as large token unlocks or sell events, are introduced as one-time exogenous disturbances with configurable timing and magnitude. Treating these factors as exogenous allows the same stress conditions to be applied consistently across different tokenomic configurations.</w:t>
      </w:r>
    </w:p>
    <w:p w:rsidR="00000000" w:rsidDel="00000000" w:rsidP="00000000" w:rsidRDefault="00000000" w:rsidRPr="00000000" w14:paraId="00000064">
      <w:pPr>
        <w:spacing w:after="240" w:before="240" w:lineRule="auto"/>
        <w:rPr/>
      </w:pPr>
      <w:r w:rsidDel="00000000" w:rsidR="00000000" w:rsidRPr="00000000">
        <w:rPr>
          <w:rtl w:val="0"/>
        </w:rPr>
        <w:t xml:space="preserve">Protocol-level parameters define the incentive mechanisms under evaluation. These include emission limits, burn fractions, reward allocation rules, and treasury handling strategies. Parameters in this category are varied across simulation runs to represent alternative tokenomic designs or policy choices, while keeping the surrounding environment constant. Importantly, the model does not assume that protocol parameters adapt dynamically in response to outcomes. Any change in emissions or incentive structure is introduced explicitly as part of a scenario, rather than emerging endogenously.</w:t>
      </w:r>
    </w:p>
    <w:p w:rsidR="00000000" w:rsidDel="00000000" w:rsidP="00000000" w:rsidRDefault="00000000" w:rsidRPr="00000000" w14:paraId="00000065">
      <w:pPr>
        <w:spacing w:after="240" w:before="240" w:lineRule="auto"/>
        <w:rPr/>
      </w:pPr>
      <w:r w:rsidDel="00000000" w:rsidR="00000000" w:rsidRPr="00000000">
        <w:rPr>
          <w:rtl w:val="0"/>
        </w:rPr>
        <w:t xml:space="preserve">Provider-level parameters describe the economic characteristics of infrastructure operators. These include capital expenditure proxies, ongoing operational costs, effective capacity contribution, and participation thresholds. Provider heterogeneity is introduced by sampling these parameters from predefined distributions rather than assigning uniform values. Where practitioner input is used—such as typical cost ranges or revenue expectations—it is incorporated as broad intervals informed by interviews or public documentation, not as exact figures. All such inputs are treated as indicative and are used solely for model calibration, not for empirical estimation.</w:t>
      </w:r>
    </w:p>
    <w:p w:rsidR="00000000" w:rsidDel="00000000" w:rsidP="00000000" w:rsidRDefault="00000000" w:rsidRPr="00000000" w14:paraId="00000066">
      <w:pPr>
        <w:spacing w:after="240" w:before="240" w:lineRule="auto"/>
        <w:rPr/>
      </w:pPr>
      <w:r w:rsidDel="00000000" w:rsidR="00000000" w:rsidRPr="00000000">
        <w:rPr>
          <w:rtl w:val="0"/>
        </w:rPr>
        <w:t xml:space="preserve">Endogenous variables are those that evolve as a result of interactions within the model. These include token supply, rewards distributed, provider profitability, churn and entry dynamics, service capacity, and incentive solvency measures. Their trajectories are fully determined by the chosen parameters, the specified exogenous inputs, and stochastic elements within the simulation. By maintaining a strict separation between exogenous drivers and endogenous outcomes, the model allows observed behavior to be traced back to specific stressors or mechanism choices.</w:t>
      </w:r>
    </w:p>
    <w:p w:rsidR="00000000" w:rsidDel="00000000" w:rsidP="00000000" w:rsidRDefault="00000000" w:rsidRPr="00000000" w14:paraId="00000067">
      <w:pPr>
        <w:spacing w:after="240" w:before="240" w:lineRule="auto"/>
        <w:rPr/>
      </w:pPr>
      <w:r w:rsidDel="00000000" w:rsidR="00000000" w:rsidRPr="00000000">
        <w:rPr>
          <w:rtl w:val="0"/>
        </w:rPr>
        <w:t xml:space="preserve">This parameterization strategy prioritizes transparency and comparability over realism. While real-world DePIN networks may exhibit adaptive behavior, opaque cost structures, or endogenous demand responses, incorporating such features would require assumptions that cannot be justified or validated within the scope of this study. The chosen abstraction therefore reflects a deliberate trade-off: reducing complexity in order to make stress responses interpretable and reproducible.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sz w:val="22"/>
          <w:szCs w:val="22"/>
        </w:rPr>
      </w:pPr>
      <w:bookmarkStart w:colFirst="0" w:colLast="0" w:name="_wjsra2rpekyr" w:id="11"/>
      <w:bookmarkEnd w:id="11"/>
      <w:r w:rsidDel="00000000" w:rsidR="00000000" w:rsidRPr="00000000">
        <w:rPr>
          <w:sz w:val="22"/>
          <w:szCs w:val="22"/>
          <w:rtl w:val="0"/>
        </w:rPr>
        <w:t xml:space="preserve">5.4 Stress Dimensions and Scenario Design</w:t>
      </w:r>
    </w:p>
    <w:p w:rsidR="00000000" w:rsidDel="00000000" w:rsidP="00000000" w:rsidRDefault="00000000" w:rsidRPr="00000000" w14:paraId="0000006A">
      <w:pPr>
        <w:spacing w:after="240" w:before="240" w:lineRule="auto"/>
        <w:rPr/>
      </w:pPr>
      <w:r w:rsidDel="00000000" w:rsidR="00000000" w:rsidRPr="00000000">
        <w:rPr>
          <w:rtl w:val="0"/>
        </w:rPr>
        <w:t xml:space="preserve">Stress scenarios in the simulation are designed to represent adverse conditions that are plausible for DePIN networks and that materially challenge incentive alignment, provider retention, and service continuity. Rather than attempting to enumerate all possible risks, the model focuses on a limited set of stress dimensions that recur across incentive-driven infrastructure systems and that can be expressed in a controlled and comparable manner.</w:t>
      </w:r>
    </w:p>
    <w:p w:rsidR="00000000" w:rsidDel="00000000" w:rsidP="00000000" w:rsidRDefault="00000000" w:rsidRPr="00000000" w14:paraId="0000006B">
      <w:pPr>
        <w:spacing w:after="240" w:before="240" w:lineRule="auto"/>
        <w:rPr/>
      </w:pPr>
      <w:r w:rsidDel="00000000" w:rsidR="00000000" w:rsidRPr="00000000">
        <w:rPr>
          <w:rtl w:val="0"/>
        </w:rPr>
        <w:t xml:space="preserve">A first category of stress relates to </w:t>
      </w:r>
      <w:r w:rsidDel="00000000" w:rsidR="00000000" w:rsidRPr="00000000">
        <w:rPr>
          <w:b w:val="1"/>
          <w:bCs w:val="1"/>
          <w:rtl w:val="0"/>
        </w:rPr>
        <w:t xml:space="preserve">demand conditions</w:t>
      </w:r>
      <w:r w:rsidDel="00000000" w:rsidR="00000000" w:rsidRPr="00000000">
        <w:rPr>
          <w:rtl w:val="0"/>
        </w:rPr>
        <w:t xml:space="preserve">. Demand regimes are specified exogenously and include stable demand, growth followed by decay, and highly volatile usage patterns. These regimes reflect the well-documented risk that early network adoption does not translate into sustained utilization, particularly in infrastructure networks where demand is tied to external market cycles rather than purely digital usage patterns [[CITE:Messari2024]]. Demand stress directly affects protocol revenue, burn dynamics, and provider profitability, making it a central driver of incentive fragility.</w:t>
      </w:r>
    </w:p>
    <w:p w:rsidR="00000000" w:rsidDel="00000000" w:rsidP="00000000" w:rsidRDefault="00000000" w:rsidRPr="00000000" w14:paraId="0000006C">
      <w:pPr>
        <w:spacing w:after="240" w:before="240" w:lineRule="auto"/>
        <w:rPr/>
      </w:pPr>
      <w:r w:rsidDel="00000000" w:rsidR="00000000" w:rsidRPr="00000000">
        <w:rPr>
          <w:rtl w:val="0"/>
        </w:rPr>
        <w:t xml:space="preserve">A second category concerns </w:t>
      </w:r>
      <w:r w:rsidDel="00000000" w:rsidR="00000000" w:rsidRPr="00000000">
        <w:rPr>
          <w:b w:val="1"/>
          <w:bCs w:val="1"/>
          <w:rtl w:val="0"/>
        </w:rPr>
        <w:t xml:space="preserve">macroeconomic and market conditions</w:t>
      </w:r>
      <w:r w:rsidDel="00000000" w:rsidR="00000000" w:rsidRPr="00000000">
        <w:rPr>
          <w:rtl w:val="0"/>
        </w:rPr>
        <w:t xml:space="preserve">. These are represented through scenario-level modifiers that influence price drift and volatility. While simplified, this dimension aligns with broader findings in incentive-based systems, where unfavorable macro conditions tend to amplify existing structural weaknesses rather than act as isolated shocks [[CITE:Ho2022]]. Macroeconomic stress is applied uniformly across tokenomic configurations, ensuring that observed differences arise from mechanism design rather than external variation.</w:t>
      </w:r>
    </w:p>
    <w:p w:rsidR="00000000" w:rsidDel="00000000" w:rsidP="00000000" w:rsidRDefault="00000000" w:rsidRPr="00000000" w14:paraId="0000006D">
      <w:pPr>
        <w:spacing w:after="240" w:before="240" w:lineRule="auto"/>
        <w:rPr/>
      </w:pPr>
      <w:r w:rsidDel="00000000" w:rsidR="00000000" w:rsidRPr="00000000">
        <w:rPr>
          <w:rtl w:val="0"/>
        </w:rPr>
        <w:t xml:space="preserve">A third stress dimension captures </w:t>
      </w:r>
      <w:r w:rsidDel="00000000" w:rsidR="00000000" w:rsidRPr="00000000">
        <w:rPr>
          <w:b w:val="1"/>
          <w:bCs w:val="1"/>
          <w:rtl w:val="0"/>
        </w:rPr>
        <w:t xml:space="preserve">liquidity and supply-side shocks</w:t>
      </w:r>
      <w:r w:rsidDel="00000000" w:rsidR="00000000" w:rsidRPr="00000000">
        <w:rPr>
          <w:rtl w:val="0"/>
        </w:rPr>
        <w:t xml:space="preserve">, such as large token unlocks or concentrated sell pressure. Similar events have been identified as critical stressors in tokenized systems, where sudden increases in circulating supply can disrupt incentive alignment even in the absence of changes in underlying demand [[CITE:Gauntlet]; [CITE:ChaosLabs]]. In the model, these shocks are introduced as discrete events with configurable timing and magnitude, allowing their impact to be evaluated systematically.</w:t>
      </w:r>
    </w:p>
    <w:p w:rsidR="00000000" w:rsidDel="00000000" w:rsidP="00000000" w:rsidRDefault="00000000" w:rsidRPr="00000000" w14:paraId="0000006E">
      <w:pPr>
        <w:spacing w:after="240" w:before="240" w:lineRule="auto"/>
        <w:rPr/>
      </w:pPr>
      <w:r w:rsidDel="00000000" w:rsidR="00000000" w:rsidRPr="00000000">
        <w:rPr>
          <w:rtl w:val="0"/>
        </w:rPr>
        <w:t xml:space="preserve">Provider-side stress is introduced through </w:t>
      </w:r>
      <w:r w:rsidDel="00000000" w:rsidR="00000000" w:rsidRPr="00000000">
        <w:rPr>
          <w:b w:val="1"/>
          <w:bCs w:val="1"/>
          <w:rtl w:val="0"/>
        </w:rPr>
        <w:t xml:space="preserve">economic viability thresholds</w:t>
      </w:r>
      <w:r w:rsidDel="00000000" w:rsidR="00000000" w:rsidRPr="00000000">
        <w:rPr>
          <w:rtl w:val="0"/>
        </w:rPr>
        <w:t xml:space="preserve">. In scenarios where operational costs increase, rewards decline, or token prices fall, providers may experience sustained losses. The model represents this through probabilistic churn mechanisms that activate after consecutive periods of unprofitability, reflecting empirical observations that infrastructure operators rarely exit immediately, but instead respond to prolonged economic pressure [[CITE:Mardikes2025]].</w:t>
      </w:r>
    </w:p>
    <w:p w:rsidR="00000000" w:rsidDel="00000000" w:rsidP="00000000" w:rsidRDefault="00000000" w:rsidRPr="00000000" w14:paraId="0000006F">
      <w:pPr>
        <w:spacing w:after="240" w:before="240" w:lineRule="auto"/>
        <w:rPr/>
      </w:pPr>
      <w:r w:rsidDel="00000000" w:rsidR="00000000" w:rsidRPr="00000000">
        <w:rPr>
          <w:rtl w:val="0"/>
        </w:rPr>
        <w:t xml:space="preserve">These stress dimensions can be applied individually or in combination, allowing the analysis to explore compound failure conditions. Prior work on complex systems suggests that the interaction of multiple stressors often produces non-linear outcomes that are not apparent when shocks are considered in isolation [[CITE:Braakman2022]]. By standardizing the definition and timing of stress across scenarios, the model enables direct comparison of how different tokenomic mechanisms absorb or amplify adverse conditions.</w:t>
      </w:r>
    </w:p>
    <w:p w:rsidR="00000000" w:rsidDel="00000000" w:rsidP="00000000" w:rsidRDefault="00000000" w:rsidRPr="00000000" w14:paraId="00000070">
      <w:pPr>
        <w:spacing w:after="240" w:before="240" w:lineRule="auto"/>
        <w:rPr/>
      </w:pPr>
      <w:r w:rsidDel="00000000" w:rsidR="00000000" w:rsidRPr="00000000">
        <w:rPr>
          <w:rtl w:val="0"/>
        </w:rPr>
        <w:t xml:space="preserve">Importantly, the stress scenarios are </w:t>
      </w:r>
      <w:r w:rsidDel="00000000" w:rsidR="00000000" w:rsidRPr="00000000">
        <w:rPr>
          <w:b w:val="1"/>
          <w:bCs w:val="1"/>
          <w:rtl w:val="0"/>
        </w:rPr>
        <w:t xml:space="preserve">stylized by design</w:t>
      </w:r>
      <w:r w:rsidDel="00000000" w:rsidR="00000000" w:rsidRPr="00000000">
        <w:rPr>
          <w:rtl w:val="0"/>
        </w:rPr>
        <w:t xml:space="preserve">. They do not attempt to replicate specific historical events, nor do they claim completeness. Their role is to expose structural weaknesses and trade-offs in incentive design under controlled adversity, rather than to simulate any single real-world trajectory.</w:t>
      </w:r>
    </w:p>
    <w:p w:rsidR="00000000" w:rsidDel="00000000" w:rsidP="00000000" w:rsidRDefault="00000000" w:rsidRPr="00000000" w14:paraId="00000071">
      <w:pPr>
        <w:pStyle w:val="Heading2"/>
        <w:rPr>
          <w:sz w:val="22"/>
          <w:szCs w:val="22"/>
        </w:rPr>
      </w:pPr>
      <w:bookmarkStart w:colFirst="0" w:colLast="0" w:name="_z9tgsm8p7kur" w:id="12"/>
      <w:bookmarkEnd w:id="12"/>
      <w:r w:rsidDel="00000000" w:rsidR="00000000" w:rsidRPr="00000000">
        <w:rPr>
          <w:sz w:val="22"/>
          <w:szCs w:val="22"/>
          <w:rtl w:val="0"/>
        </w:rPr>
        <w:t xml:space="preserve">5.5 Metrics and Computation (Dashboard-aligned)</w:t>
      </w:r>
    </w:p>
    <w:p w:rsidR="00000000" w:rsidDel="00000000" w:rsidP="00000000" w:rsidRDefault="00000000" w:rsidRPr="00000000" w14:paraId="00000072">
      <w:pPr>
        <w:spacing w:after="240" w:before="240" w:lineRule="auto"/>
        <w:rPr/>
      </w:pPr>
      <w:r w:rsidDel="00000000" w:rsidR="00000000" w:rsidRPr="00000000">
        <w:rPr>
          <w:rtl w:val="0"/>
        </w:rPr>
        <w:t xml:space="preserve">The evaluation of tokenomic robustness in this study relies on a fixed set of metrics defined prior to analysis. Metrics are selected based on their ability to capture incentive sustainability, provider behavior, and system-level stress responses, rather than short-term market performance. This approach is intended to reduce the risk of post hoc interpretation and to ensure that comparisons across scenarios and mechanisms remain consistent.</w:t>
      </w:r>
    </w:p>
    <w:p w:rsidR="00000000" w:rsidDel="00000000" w:rsidP="00000000" w:rsidRDefault="00000000" w:rsidRPr="00000000" w14:paraId="00000073">
      <w:pPr>
        <w:spacing w:after="240" w:before="240" w:lineRule="auto"/>
        <w:rPr/>
      </w:pPr>
      <w:r w:rsidDel="00000000" w:rsidR="00000000" w:rsidRPr="00000000">
        <w:rPr>
          <w:rtl w:val="0"/>
        </w:rPr>
        <w:t xml:space="preserve">Metrics are computed at each simulation timestep and aggregated across multiple stochastic runs. Where appropriate, results are summarized using central tendencies and dispersion measures to reflect the inherent variability of the system. The focus is on comparative patterns across scenarios rather than on single-run outcomes.</w:t>
      </w:r>
    </w:p>
    <w:p w:rsidR="00000000" w:rsidDel="00000000" w:rsidP="00000000" w:rsidRDefault="00000000" w:rsidRPr="00000000" w14:paraId="00000074">
      <w:pPr>
        <w:spacing w:after="240" w:before="240" w:lineRule="auto"/>
        <w:rPr/>
      </w:pPr>
      <w:r w:rsidDel="00000000" w:rsidR="00000000" w:rsidRPr="00000000">
        <w:rPr>
          <w:rtl w:val="0"/>
        </w:rPr>
        <w:t xml:space="preserve">A primary category of metrics captures </w:t>
      </w:r>
      <w:r w:rsidDel="00000000" w:rsidR="00000000" w:rsidRPr="00000000">
        <w:rPr>
          <w:b w:val="1"/>
          <w:bCs w:val="1"/>
          <w:rtl w:val="0"/>
        </w:rPr>
        <w:t xml:space="preserve">provider sustainability and retention</w:t>
      </w:r>
      <w:r w:rsidDel="00000000" w:rsidR="00000000" w:rsidRPr="00000000">
        <w:rPr>
          <w:rtl w:val="0"/>
        </w:rPr>
        <w:t xml:space="preserve">. Provider retention rates and churn counts are used to assess whether incentive structures are able to maintain infrastructure participation under stress. These measures are particularly important in DePIN systems, where provider exit can lead to persistent losses in service capacity due to physical deployment constraints. Retention is therefore treated as a first-order indicator of incentive robustness rather than as a secondary outcome.</w:t>
      </w:r>
    </w:p>
    <w:p w:rsidR="00000000" w:rsidDel="00000000" w:rsidP="00000000" w:rsidRDefault="00000000" w:rsidRPr="00000000" w14:paraId="00000075">
      <w:pPr>
        <w:spacing w:after="240" w:before="240" w:lineRule="auto"/>
        <w:rPr/>
      </w:pPr>
      <w:r w:rsidDel="00000000" w:rsidR="00000000" w:rsidRPr="00000000">
        <w:rPr>
          <w:rtl w:val="0"/>
        </w:rPr>
        <w:t xml:space="preserve">A second category relates to </w:t>
      </w:r>
      <w:r w:rsidDel="00000000" w:rsidR="00000000" w:rsidRPr="00000000">
        <w:rPr>
          <w:b w:val="1"/>
          <w:bCs w:val="1"/>
          <w:rtl w:val="0"/>
        </w:rPr>
        <w:t xml:space="preserve">economic viability and incentive solvency</w:t>
      </w:r>
      <w:r w:rsidDel="00000000" w:rsidR="00000000" w:rsidRPr="00000000">
        <w:rPr>
          <w:rtl w:val="0"/>
        </w:rPr>
        <w:t xml:space="preserve">. Metrics such as provider profitability, net incentive balance, and revenue-to-emission ratios are used to examine whether rewards remain economically meaningful relative to costs over time. Rather than interpreting these values as precise financial indicators, they are used as </w:t>
      </w:r>
      <w:r w:rsidDel="00000000" w:rsidR="00000000" w:rsidRPr="00000000">
        <w:rPr>
          <w:i w:val="1"/>
          <w:iCs w:val="1"/>
          <w:rtl w:val="0"/>
        </w:rPr>
        <w:t xml:space="preserve">proxies</w:t>
      </w:r>
      <w:r w:rsidDel="00000000" w:rsidR="00000000" w:rsidRPr="00000000">
        <w:rPr>
          <w:rtl w:val="0"/>
        </w:rPr>
        <w:t xml:space="preserve"> for incentive health, consistent with prior work on tokenized system evaluation [[CITE:Gauntlet]; [CITE:ChaosLabs]].</w:t>
      </w:r>
    </w:p>
    <w:p w:rsidR="00000000" w:rsidDel="00000000" w:rsidP="00000000" w:rsidRDefault="00000000" w:rsidRPr="00000000" w14:paraId="00000076">
      <w:pPr>
        <w:spacing w:after="240" w:before="240" w:lineRule="auto"/>
        <w:rPr/>
      </w:pPr>
      <w:r w:rsidDel="00000000" w:rsidR="00000000" w:rsidRPr="00000000">
        <w:rPr>
          <w:rtl w:val="0"/>
        </w:rPr>
        <w:t xml:space="preserve">System-level performance is captured through </w:t>
      </w:r>
      <w:r w:rsidDel="00000000" w:rsidR="00000000" w:rsidRPr="00000000">
        <w:rPr>
          <w:b w:val="1"/>
          <w:bCs w:val="1"/>
          <w:rtl w:val="0"/>
        </w:rPr>
        <w:t xml:space="preserve">capacity and utilization metrics</w:t>
      </w:r>
      <w:r w:rsidDel="00000000" w:rsidR="00000000" w:rsidRPr="00000000">
        <w:rPr>
          <w:rtl w:val="0"/>
        </w:rPr>
        <w:t xml:space="preserve">, including total active capacity, demand served, and utilization rates. These measures reflect whether the network continues to deliver service under adverse conditions, independent of token price dynamics. In the context of DePIN, sustained service provision is treated as a necessary condition for long-term viability, even if short-term economic indicators deteriorate.</w:t>
      </w:r>
    </w:p>
    <w:p w:rsidR="00000000" w:rsidDel="00000000" w:rsidP="00000000" w:rsidRDefault="00000000" w:rsidRPr="00000000" w14:paraId="00000077">
      <w:pPr>
        <w:spacing w:after="240" w:before="240" w:lineRule="auto"/>
        <w:rPr/>
      </w:pPr>
      <w:r w:rsidDel="00000000" w:rsidR="00000000" w:rsidRPr="00000000">
        <w:rPr>
          <w:rtl w:val="0"/>
        </w:rPr>
        <w:t xml:space="preserve">To assess broader tokenomic dynamics, the model tracks </w:t>
      </w:r>
      <w:r w:rsidDel="00000000" w:rsidR="00000000" w:rsidRPr="00000000">
        <w:rPr>
          <w:b w:val="1"/>
          <w:bCs w:val="1"/>
          <w:rtl w:val="0"/>
        </w:rPr>
        <w:t xml:space="preserve">supply-side and flow-based indicators</w:t>
      </w:r>
      <w:r w:rsidDel="00000000" w:rsidR="00000000" w:rsidRPr="00000000">
        <w:rPr>
          <w:rtl w:val="0"/>
        </w:rPr>
        <w:t xml:space="preserve">, including net emissions, burn-to-mint ratios, and token velocity proxies derived from transaction turnover. These metrics are not interpreted as direct measures of market efficiency, but as signals of whether token circulation and supply pressures remain aligned with usage-driven demand. The use of velocity and flow-based proxies follows established monetary and crypto-economic intuition, while acknowledging their limitations in simulated environments [[CITE:CFA2018]].</w:t>
      </w:r>
    </w:p>
    <w:p w:rsidR="00000000" w:rsidDel="00000000" w:rsidP="00000000" w:rsidRDefault="00000000" w:rsidRPr="00000000" w14:paraId="00000078">
      <w:pPr>
        <w:spacing w:after="240" w:before="240" w:lineRule="auto"/>
        <w:rPr/>
      </w:pPr>
      <w:r w:rsidDel="00000000" w:rsidR="00000000" w:rsidRPr="00000000">
        <w:rPr>
          <w:rtl w:val="0"/>
        </w:rPr>
        <w:t xml:space="preserve">Finally, distributional outcomes are examined using </w:t>
      </w:r>
      <w:r w:rsidDel="00000000" w:rsidR="00000000" w:rsidRPr="00000000">
        <w:rPr>
          <w:b w:val="1"/>
          <w:bCs w:val="1"/>
          <w:rtl w:val="0"/>
        </w:rPr>
        <w:t xml:space="preserve">concentration metrics</w:t>
      </w:r>
      <w:r w:rsidDel="00000000" w:rsidR="00000000" w:rsidRPr="00000000">
        <w:rPr>
          <w:rtl w:val="0"/>
        </w:rPr>
        <w:t xml:space="preserve">, such as top-participant reward shares or inequality proxies. These measures are included to detect whether stress conditions lead to excessive centralization of rewards or capacity, which may undermine network resilience even when aggregate metrics appear stable. Distributional effects are evaluated comparatively across scenarios rather than against fixed thresholds.</w:t>
      </w:r>
    </w:p>
    <w:p w:rsidR="00000000" w:rsidDel="00000000" w:rsidP="00000000" w:rsidRDefault="00000000" w:rsidRPr="00000000" w14:paraId="00000079">
      <w:pPr>
        <w:spacing w:after="240" w:before="240" w:lineRule="auto"/>
        <w:rPr/>
      </w:pPr>
      <w:r w:rsidDel="00000000" w:rsidR="00000000" w:rsidRPr="00000000">
        <w:rPr>
          <w:rtl w:val="0"/>
        </w:rPr>
        <w:t xml:space="preserve">All metrics used in the analysis are computed directly from model state variables and are held constant across experiments. No additional indicators are introduced during result interpretation. This constraint ensures that observed differences can be attributed to stress conditions or mechanism design choices, rather than to changes in evaluation criteria. The metric set therefore functions not only as a measurement tool, but also as a methodological commitment that bounds interpretation and limits researcher discretion.</w:t>
      </w:r>
    </w:p>
    <w:p w:rsidR="00000000" w:rsidDel="00000000" w:rsidP="00000000" w:rsidRDefault="00000000" w:rsidRPr="00000000" w14:paraId="0000007A">
      <w:pPr>
        <w:pStyle w:val="Heading2"/>
        <w:rPr>
          <w:sz w:val="22"/>
          <w:szCs w:val="22"/>
        </w:rPr>
      </w:pPr>
      <w:bookmarkStart w:colFirst="0" w:colLast="0" w:name="_gq5gep7tqhwx" w:id="13"/>
      <w:bookmarkEnd w:id="13"/>
      <w:r w:rsidDel="00000000" w:rsidR="00000000" w:rsidRPr="00000000">
        <w:rPr>
          <w:sz w:val="22"/>
          <w:szCs w:val="22"/>
          <w:rtl w:val="0"/>
        </w:rPr>
        <w:t xml:space="preserve">5.6 Reproducibility and Validation Strategy</w:t>
      </w:r>
    </w:p>
    <w:p w:rsidR="00000000" w:rsidDel="00000000" w:rsidP="00000000" w:rsidRDefault="00000000" w:rsidRPr="00000000" w14:paraId="0000007B">
      <w:pPr>
        <w:spacing w:after="240" w:before="240" w:lineRule="auto"/>
        <w:rPr/>
      </w:pPr>
      <w:r w:rsidDel="00000000" w:rsidR="00000000" w:rsidRPr="00000000">
        <w:rPr>
          <w:rtl w:val="0"/>
        </w:rPr>
        <w:t xml:space="preserve">Reproducibility is treated as a core requirement of the simulation framework. All experiments are defined by an explicit set of parameters, scenario inputs, and random seeds, allowing results to be regenerated and inspected without reliance on undocumented assumptions or interactive tuning. This design choice reflects the exploratory nature of the analysis, where transparency and comparability are prioritized over model complexity.</w:t>
      </w:r>
    </w:p>
    <w:p w:rsidR="00000000" w:rsidDel="00000000" w:rsidP="00000000" w:rsidRDefault="00000000" w:rsidRPr="00000000" w14:paraId="0000007C">
      <w:pPr>
        <w:spacing w:after="240" w:before="240" w:lineRule="auto"/>
        <w:rPr/>
      </w:pPr>
      <w:r w:rsidDel="00000000" w:rsidR="00000000" w:rsidRPr="00000000">
        <w:rPr>
          <w:rtl w:val="0"/>
        </w:rPr>
        <w:t xml:space="preserve">Stochastic elements are present in several parts of the simulation, including demand variation, provider heterogeneity, churn decisions, and price-related noise. To ensure that observed outcomes are not driven by single-run artifacts, each scenario is evaluated across multiple simulation runs using seeded pseudo-random number generation. Results are then aggregated to examine central tendencies and dispersion rather than relying on individual trajectories. This approach follows common practice in simulation-based research, where robustness is assessed through repeated experimentation rather than point outcomes [[CITE:Morris2019]].</w:t>
      </w:r>
    </w:p>
    <w:p w:rsidR="00000000" w:rsidDel="00000000" w:rsidP="00000000" w:rsidRDefault="00000000" w:rsidRPr="00000000" w14:paraId="0000007D">
      <w:pPr>
        <w:spacing w:after="240" w:before="240" w:lineRule="auto"/>
        <w:rPr/>
      </w:pPr>
      <w:r w:rsidDel="00000000" w:rsidR="00000000" w:rsidRPr="00000000">
        <w:rPr>
          <w:rtl w:val="0"/>
        </w:rPr>
        <w:t xml:space="preserve">Validation in this context does not aim to establish empirical accuracy with respect to real-world data. Instead, the model is validated through </w:t>
      </w:r>
      <w:r w:rsidDel="00000000" w:rsidR="00000000" w:rsidRPr="00000000">
        <w:rPr>
          <w:b w:val="1"/>
          <w:bCs w:val="1"/>
          <w:rtl w:val="0"/>
        </w:rPr>
        <w:t xml:space="preserve">internal consistency and behavioral plausibility checks</w:t>
      </w:r>
      <w:r w:rsidDel="00000000" w:rsidR="00000000" w:rsidRPr="00000000">
        <w:rPr>
          <w:rtl w:val="0"/>
        </w:rPr>
        <w:t xml:space="preserve">. These include baseline runs without stress, where the system is expected to exhibit stable participation and bounded dynamics, as well as controlled perturbations where directional responses can be anticipated based on incentive logic. For example, scenarios with sharply reduced demand or increased operational costs should, all else equal, result in higher provider churn and declining capacity. Observing such patterns provides confidence that the model responds coherently to stress inputs.</w:t>
      </w:r>
    </w:p>
    <w:p w:rsidR="00000000" w:rsidDel="00000000" w:rsidP="00000000" w:rsidRDefault="00000000" w:rsidRPr="00000000" w14:paraId="0000007E">
      <w:pPr>
        <w:spacing w:after="240" w:before="240" w:lineRule="auto"/>
        <w:rPr/>
      </w:pPr>
      <w:r w:rsidDel="00000000" w:rsidR="00000000" w:rsidRPr="00000000">
        <w:rPr>
          <w:rtl w:val="0"/>
        </w:rPr>
        <w:t xml:space="preserve">Sensitivity analysis is used to further assess robustness. Key parameters—such as cost ranges, emission limits, and churn thresholds—are varied within predefined intervals to examine whether qualitative outcomes persist under moderate perturbations. The objective is not to exhaustively map the parameter space, but to identify results that are highly sensitive to small changes and therefore require cautious interpretation. Outcomes that remain stable across reasonable parameter variations are treated as more robust signals.</w:t>
      </w:r>
    </w:p>
    <w:p w:rsidR="00000000" w:rsidDel="00000000" w:rsidP="00000000" w:rsidRDefault="00000000" w:rsidRPr="00000000" w14:paraId="0000007F">
      <w:pPr>
        <w:spacing w:after="240" w:before="240" w:lineRule="auto"/>
        <w:rPr/>
      </w:pPr>
      <w:r w:rsidDel="00000000" w:rsidR="00000000" w:rsidRPr="00000000">
        <w:rPr>
          <w:rtl w:val="0"/>
        </w:rPr>
        <w:t xml:space="preserve">All model code, parameter definitions, and scenario configurations are made available alongside the analysis, enabling independent inspection and replication. By documenting both the structure of the model and the limits of its validation, the framework aims to support informed interpretation rather than definitive claims. Results should therefore be read as comparative insights into mechanism behavior under stress, grounded in reproducible experimentation rather than empirical prediction.</w:t>
      </w:r>
    </w:p>
    <w:p w:rsidR="00000000" w:rsidDel="00000000" w:rsidP="00000000" w:rsidRDefault="00000000" w:rsidRPr="00000000" w14:paraId="00000080">
      <w:pPr>
        <w:pStyle w:val="Heading2"/>
        <w:rPr>
          <w:sz w:val="22"/>
          <w:szCs w:val="22"/>
        </w:rPr>
      </w:pPr>
      <w:bookmarkStart w:colFirst="0" w:colLast="0" w:name="_7p95kp91l26g" w:id="14"/>
      <w:bookmarkEnd w:id="14"/>
      <w:r w:rsidDel="00000000" w:rsidR="00000000" w:rsidRPr="00000000">
        <w:rPr>
          <w:sz w:val="22"/>
          <w:szCs w:val="22"/>
          <w:rtl w:val="0"/>
        </w:rPr>
        <w:t xml:space="preserve">5.7 Limitations of the Model</w:t>
      </w:r>
    </w:p>
    <w:p w:rsidR="00000000" w:rsidDel="00000000" w:rsidP="00000000" w:rsidRDefault="00000000" w:rsidRPr="00000000" w14:paraId="00000081">
      <w:pPr>
        <w:spacing w:after="240" w:before="240" w:lineRule="auto"/>
        <w:rPr/>
      </w:pPr>
      <w:r w:rsidDel="00000000" w:rsidR="00000000" w:rsidRPr="00000000">
        <w:rPr>
          <w:rtl w:val="0"/>
        </w:rPr>
        <w:t xml:space="preserve">While the simulation framework is designed to support structured stress testing of DePIN tokenomic mechanisms, it necessarily abstracts from many aspects of real-world network behavior. These limitations are not incidental, but a consequence of deliberate design choices made to preserve interpretability, reproducibility, and comparative clarity.</w:t>
      </w:r>
    </w:p>
    <w:p w:rsidR="00000000" w:rsidDel="00000000" w:rsidP="00000000" w:rsidRDefault="00000000" w:rsidRPr="00000000" w14:paraId="00000082">
      <w:pPr>
        <w:spacing w:after="240" w:before="240" w:lineRule="auto"/>
        <w:rPr/>
      </w:pPr>
      <w:r w:rsidDel="00000000" w:rsidR="00000000" w:rsidRPr="00000000">
        <w:rPr>
          <w:rtl w:val="0"/>
        </w:rPr>
        <w:t xml:space="preserve">First, demand is modeled as an exogenous process. Although some scenarios allow demand to vary over time or decay under adverse conditions, the model does not fully endogenize user behavior or price elasticity. In practice, demand for infrastructure services may respond to changes in service quality, pricing, or reputation in nonlinear ways. Capturing such feedback loops would require additional behavioral assumptions and data that fall outside the scope of this thesis.</w:t>
      </w:r>
    </w:p>
    <w:p w:rsidR="00000000" w:rsidDel="00000000" w:rsidP="00000000" w:rsidRDefault="00000000" w:rsidRPr="00000000" w14:paraId="00000083">
      <w:pPr>
        <w:spacing w:after="240" w:before="240" w:lineRule="auto"/>
        <w:rPr/>
      </w:pPr>
      <w:r w:rsidDel="00000000" w:rsidR="00000000" w:rsidRPr="00000000">
        <w:rPr>
          <w:rtl w:val="0"/>
        </w:rPr>
        <w:t xml:space="preserve">Second, providers are represented as economically rational agents operating under simplified decision rules. While heterogeneity is introduced through cost structures, capacity differences, and stochastic churn thresholds, the model does not account for strategic behavior such as long-term speculation, coordinated action, or non-economic motivations. Real-world providers may tolerate short-term losses, hedge across networks, or behave irrationally during periods of uncertainty. These dynamics are intentionally excluded to maintain tractable and explainable agent behavior.</w:t>
      </w:r>
    </w:p>
    <w:p w:rsidR="00000000" w:rsidDel="00000000" w:rsidP="00000000" w:rsidRDefault="00000000" w:rsidRPr="00000000" w14:paraId="00000084">
      <w:pPr>
        <w:spacing w:after="240" w:before="240" w:lineRule="auto"/>
        <w:rPr/>
      </w:pPr>
      <w:r w:rsidDel="00000000" w:rsidR="00000000" w:rsidRPr="00000000">
        <w:rPr>
          <w:rtl w:val="0"/>
        </w:rPr>
        <w:t xml:space="preserve">Third, the price formation mechanism is a reduced-form approximation. It combines buy and sell pressure, dilution effects, scarcity signals, and stochastic noise to generate directional price dynamics. This approach is sufficient for comparative stress testing but does not attempt to replicate actual market microstructure, liquidity fragmentation, or off-chain trading behavior. As a result, simulated price trajectories should be interpreted as indicative signals rather than realistic forecasts.</w:t>
      </w:r>
    </w:p>
    <w:p w:rsidR="00000000" w:rsidDel="00000000" w:rsidP="00000000" w:rsidRDefault="00000000" w:rsidRPr="00000000" w14:paraId="00000085">
      <w:pPr>
        <w:spacing w:after="240" w:before="240" w:lineRule="auto"/>
        <w:rPr/>
      </w:pPr>
      <w:r w:rsidDel="00000000" w:rsidR="00000000" w:rsidRPr="00000000">
        <w:rPr>
          <w:rtl w:val="0"/>
        </w:rPr>
        <w:t xml:space="preserve">Fourth, the temporal resolution of the model is limited to discrete time steps. Intra-period dynamics, such as short-term volatility spikes, rapid exits, or delayed information propagation, are not captured. Similarly, certain real-world frictions—such as regulatory delays, hardware procurement bottlenecks, or maintenance failures—are represented only indirectly through cost and churn parameters.</w:t>
      </w:r>
    </w:p>
    <w:p w:rsidR="00000000" w:rsidDel="00000000" w:rsidP="00000000" w:rsidRDefault="00000000" w:rsidRPr="00000000" w14:paraId="00000086">
      <w:pPr>
        <w:spacing w:after="240" w:before="240" w:lineRule="auto"/>
        <w:rPr/>
      </w:pPr>
      <w:r w:rsidDel="00000000" w:rsidR="00000000" w:rsidRPr="00000000">
        <w:rPr>
          <w:rtl w:val="0"/>
        </w:rPr>
        <w:t xml:space="preserve">Finally, empirical calibration is constrained by data availability. Inputs derived from interviews or public documentation are treated as indicative ranges rather than precise measurements. While this approach reduces the risk of overfitting, it also limits the specificity of conclusions that can be drawn about any single real-world network. The framework is therefore better suited to identifying relative sensitivities and failure modes than to making absolute performance claims.</w:t>
      </w:r>
    </w:p>
    <w:p w:rsidR="00000000" w:rsidDel="00000000" w:rsidP="00000000" w:rsidRDefault="00000000" w:rsidRPr="00000000" w14:paraId="00000087">
      <w:pPr>
        <w:spacing w:after="240" w:before="240" w:lineRule="auto"/>
        <w:rPr/>
      </w:pPr>
      <w:r w:rsidDel="00000000" w:rsidR="00000000" w:rsidRPr="00000000">
        <w:rPr>
          <w:rtl w:val="0"/>
        </w:rPr>
        <w:t xml:space="preserve">Taken together, these limitations imply that the results of the simulation should be interpreted as </w:t>
      </w:r>
      <w:r w:rsidDel="00000000" w:rsidR="00000000" w:rsidRPr="00000000">
        <w:rPr>
          <w:b w:val="1"/>
          <w:bCs w:val="1"/>
          <w:rtl w:val="0"/>
        </w:rPr>
        <w:t xml:space="preserve">comparative, conditional insights</w:t>
      </w:r>
      <w:r w:rsidDel="00000000" w:rsidR="00000000" w:rsidRPr="00000000">
        <w:rPr>
          <w:rtl w:val="0"/>
        </w:rPr>
        <w:t xml:space="preserve"> rather than predictions. The value of the model lies in its ability to expose how different tokenomic mechanisms respond under controlled stress scenarios, not in asserting how any particular network will behave in practice. Recognizing these boundaries is essential for responsible interpretation and for situating the findings within a broader research and design context.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sz w:val="22"/>
          <w:szCs w:val="22"/>
        </w:rPr>
      </w:pPr>
      <w:bookmarkStart w:colFirst="0" w:colLast="0" w:name="_kitf5x38xlei" w:id="15"/>
      <w:bookmarkEnd w:id="15"/>
      <w:r w:rsidDel="00000000" w:rsidR="00000000" w:rsidRPr="00000000">
        <w:rPr>
          <w:sz w:val="22"/>
          <w:szCs w:val="22"/>
          <w:rtl w:val="0"/>
        </w:rPr>
        <w:t xml:space="preserve">6. Results</w:t>
      </w:r>
    </w:p>
    <w:p w:rsidR="00000000" w:rsidDel="00000000" w:rsidP="00000000" w:rsidRDefault="00000000" w:rsidRPr="00000000" w14:paraId="0000008A">
      <w:pPr>
        <w:pStyle w:val="Heading2"/>
        <w:rPr>
          <w:sz w:val="22"/>
          <w:szCs w:val="22"/>
        </w:rPr>
      </w:pPr>
      <w:bookmarkStart w:colFirst="0" w:colLast="0" w:name="_ja2rm8r68zhr" w:id="16"/>
      <w:bookmarkEnd w:id="16"/>
      <w:r w:rsidDel="00000000" w:rsidR="00000000" w:rsidRPr="00000000">
        <w:rPr>
          <w:sz w:val="22"/>
          <w:szCs w:val="22"/>
          <w:rtl w:val="0"/>
        </w:rPr>
        <w:t xml:space="preserve">6.1 Baseline Behavior (Sanity Check)</w:t>
      </w:r>
    </w:p>
    <w:p w:rsidR="00000000" w:rsidDel="00000000" w:rsidP="00000000" w:rsidRDefault="00000000" w:rsidRPr="00000000" w14:paraId="0000008B">
      <w:pPr>
        <w:spacing w:after="240" w:before="240" w:lineRule="auto"/>
        <w:rPr/>
      </w:pPr>
      <w:r w:rsidDel="00000000" w:rsidR="00000000" w:rsidRPr="00000000">
        <w:rPr>
          <w:rtl w:val="0"/>
        </w:rPr>
        <w:t xml:space="preserve">This section presents the results of the stress-testing simulations described in Chapter 5. The purpose is to report observed outcomes under standardized adverse scenarios, not to evaluate their desirability or to draw normative conclusions. Interpretation and implications are deferred to Chapter 7.</w:t>
      </w:r>
    </w:p>
    <w:p w:rsidR="00000000" w:rsidDel="00000000" w:rsidP="00000000" w:rsidRDefault="00000000" w:rsidRPr="00000000" w14:paraId="0000008C">
      <w:pPr>
        <w:spacing w:after="240" w:before="240" w:lineRule="auto"/>
        <w:rPr/>
      </w:pPr>
      <w:r w:rsidDel="00000000" w:rsidR="00000000" w:rsidRPr="00000000">
        <w:rPr>
          <w:rtl w:val="0"/>
        </w:rPr>
        <w:t xml:space="preserve">Results are organized around </w:t>
      </w:r>
      <w:r w:rsidDel="00000000" w:rsidR="00000000" w:rsidRPr="00000000">
        <w:rPr>
          <w:b w:val="1"/>
          <w:bCs w:val="1"/>
          <w:rtl w:val="0"/>
        </w:rPr>
        <w:t xml:space="preserve">comparative stress responses</w:t>
      </w:r>
      <w:r w:rsidDel="00000000" w:rsidR="00000000" w:rsidRPr="00000000">
        <w:rPr>
          <w:rtl w:val="0"/>
        </w:rPr>
        <w:t xml:space="preserve"> of tokenomic mechanisms rather than absolute performance levels. Each experiment evaluates how a given protocol configuration behaves relative to others when exposed to the same stress inputs. This structure reflects the central aim of the thesis: to assess </w:t>
      </w:r>
      <w:r w:rsidDel="00000000" w:rsidR="00000000" w:rsidRPr="00000000">
        <w:rPr>
          <w:b w:val="1"/>
          <w:bCs w:val="1"/>
          <w:rtl w:val="0"/>
        </w:rPr>
        <w:t xml:space="preserve">directional robustness and failure sensitivity</w:t>
      </w:r>
      <w:r w:rsidDel="00000000" w:rsidR="00000000" w:rsidRPr="00000000">
        <w:rPr>
          <w:rtl w:val="0"/>
        </w:rPr>
        <w:t xml:space="preserve">, not to rank protocols by success or forecast real-world outcomes.</w:t>
      </w:r>
    </w:p>
    <w:p w:rsidR="00000000" w:rsidDel="00000000" w:rsidP="00000000" w:rsidRDefault="00000000" w:rsidRPr="00000000" w14:paraId="0000008D">
      <w:pPr>
        <w:spacing w:after="240" w:before="240" w:lineRule="auto"/>
        <w:rPr/>
      </w:pPr>
      <w:r w:rsidDel="00000000" w:rsidR="00000000" w:rsidRPr="00000000">
        <w:rPr>
          <w:rtl w:val="0"/>
        </w:rPr>
        <w:t xml:space="preserve">The results are grouped into four thematic blocks:</w:t>
      </w:r>
    </w:p>
    <w:p w:rsidR="00000000" w:rsidDel="00000000" w:rsidP="00000000" w:rsidRDefault="00000000" w:rsidRPr="00000000" w14:paraId="0000008E">
      <w:pPr>
        <w:numPr>
          <w:ilvl w:val="0"/>
          <w:numId w:val="3"/>
        </w:numPr>
        <w:spacing w:after="0" w:afterAutospacing="0" w:before="240" w:lineRule="auto"/>
        <w:ind w:left="720" w:hanging="360"/>
        <w:rPr/>
      </w:pPr>
      <w:r w:rsidDel="00000000" w:rsidR="00000000" w:rsidRPr="00000000">
        <w:rPr>
          <w:b w:val="1"/>
          <w:bCs w:val="1"/>
          <w:rtl w:val="0"/>
        </w:rPr>
        <w:t xml:space="preserve">Baseline Behavior Under Neutral Conditions</w:t>
        <w:br w:type="textWrapping"/>
      </w:r>
      <w:r w:rsidDel="00000000" w:rsidR="00000000" w:rsidRPr="00000000">
        <w:rPr>
          <w:rtl w:val="0"/>
        </w:rPr>
        <w:t xml:space="preserve"> Establishes reference trajectories for price, supply, provider participation, and incentive balance in the absence of external stress. These runs serve solely as comparison anchors and are not interpreted as equilibrium states.</w:t>
        <w:br w:type="textWrapping"/>
      </w:r>
    </w:p>
    <w:p w:rsidR="00000000" w:rsidDel="00000000" w:rsidP="00000000" w:rsidRDefault="00000000" w:rsidRPr="00000000" w14:paraId="0000008F">
      <w:pPr>
        <w:numPr>
          <w:ilvl w:val="0"/>
          <w:numId w:val="3"/>
        </w:numPr>
        <w:spacing w:after="0" w:afterAutospacing="0" w:before="0" w:beforeAutospacing="0" w:lineRule="auto"/>
        <w:ind w:left="720" w:hanging="360"/>
        <w:rPr/>
      </w:pPr>
      <w:r w:rsidDel="00000000" w:rsidR="00000000" w:rsidRPr="00000000">
        <w:rPr>
          <w:b w:val="1"/>
          <w:bCs w:val="1"/>
          <w:rtl w:val="0"/>
        </w:rPr>
        <w:t xml:space="preserve">Response to Demand-Side Stress</w:t>
        <w:br w:type="textWrapping"/>
      </w:r>
      <w:r w:rsidDel="00000000" w:rsidR="00000000" w:rsidRPr="00000000">
        <w:rPr>
          <w:rtl w:val="0"/>
        </w:rPr>
        <w:t xml:space="preserve"> Examines how tokenomic mechanisms react to sudden demand contraction, demand volatility, and high-to-decay demand regimes. Outcomes are evaluated in terms of provider retention, utilization, and emission efficiency.</w:t>
        <w:br w:type="textWrapping"/>
      </w:r>
    </w:p>
    <w:p w:rsidR="00000000" w:rsidDel="00000000" w:rsidP="00000000" w:rsidRDefault="00000000" w:rsidRPr="00000000" w14:paraId="00000090">
      <w:pPr>
        <w:numPr>
          <w:ilvl w:val="0"/>
          <w:numId w:val="3"/>
        </w:numPr>
        <w:spacing w:after="0" w:afterAutospacing="0" w:before="0" w:beforeAutospacing="0" w:lineRule="auto"/>
        <w:ind w:left="720" w:hanging="360"/>
        <w:rPr/>
      </w:pPr>
      <w:r w:rsidDel="00000000" w:rsidR="00000000" w:rsidRPr="00000000">
        <w:rPr>
          <w:b w:val="1"/>
          <w:bCs w:val="1"/>
          <w:rtl w:val="0"/>
        </w:rPr>
        <w:t xml:space="preserve">Response to Supply- and Liquidity-Side Stress</w:t>
        <w:br w:type="textWrapping"/>
      </w:r>
      <w:r w:rsidDel="00000000" w:rsidR="00000000" w:rsidRPr="00000000">
        <w:rPr>
          <w:rtl w:val="0"/>
        </w:rPr>
        <w:t xml:space="preserve"> Analyzes the effects of emission pressure, burn intensity, and liquidity shocks such as investor unlock events. Focus is placed on dilution dynamics, price drawdowns, and churn amplification.</w:t>
        <w:br w:type="textWrapping"/>
      </w:r>
    </w:p>
    <w:p w:rsidR="00000000" w:rsidDel="00000000" w:rsidP="00000000" w:rsidRDefault="00000000" w:rsidRPr="00000000" w14:paraId="00000091">
      <w:pPr>
        <w:numPr>
          <w:ilvl w:val="0"/>
          <w:numId w:val="3"/>
        </w:numPr>
        <w:spacing w:after="240" w:before="0" w:beforeAutospacing="0" w:lineRule="auto"/>
        <w:ind w:left="720" w:hanging="360"/>
        <w:rPr/>
      </w:pPr>
      <w:r w:rsidDel="00000000" w:rsidR="00000000" w:rsidRPr="00000000">
        <w:rPr>
          <w:b w:val="1"/>
          <w:bCs w:val="1"/>
          <w:rtl w:val="0"/>
        </w:rPr>
        <w:t xml:space="preserve">Compound Stress and Failure Thresholds</w:t>
        <w:br w:type="textWrapping"/>
      </w:r>
      <w:r w:rsidDel="00000000" w:rsidR="00000000" w:rsidRPr="00000000">
        <w:rPr>
          <w:rtl w:val="0"/>
        </w:rPr>
        <w:t xml:space="preserve"> Evaluates system behavior under combined stressors, including bearish macro regimes, adverse provider economics, and competitive yield pressure. These scenarios are used to identify tipping points where incentive mechanisms cease to function as intended.</w:t>
        <w:br w:type="textWrapping"/>
      </w:r>
    </w:p>
    <w:p w:rsidR="00000000" w:rsidDel="00000000" w:rsidP="00000000" w:rsidRDefault="00000000" w:rsidRPr="00000000" w14:paraId="00000092">
      <w:pPr>
        <w:spacing w:after="240" w:before="240" w:lineRule="auto"/>
        <w:rPr/>
      </w:pPr>
      <w:r w:rsidDel="00000000" w:rsidR="00000000" w:rsidRPr="00000000">
        <w:rPr>
          <w:rtl w:val="0"/>
        </w:rPr>
        <w:t xml:space="preserve">For each block, results are presented using a consistent set of metrics defined in Section 5.3. Where stochastic variation is present, outcomes are summarized using distributional statistics (median, interquartile range, and tail behavior) across multiple simulation runs. Individual time series are shown only where they illustrate structurally meaningful patterns.</w:t>
      </w:r>
    </w:p>
    <w:p w:rsidR="00000000" w:rsidDel="00000000" w:rsidP="00000000" w:rsidRDefault="00000000" w:rsidRPr="00000000" w14:paraId="00000093">
      <w:pPr>
        <w:spacing w:after="240" w:before="240" w:lineRule="auto"/>
        <w:rPr/>
      </w:pPr>
      <w:r w:rsidDel="00000000" w:rsidR="00000000" w:rsidRPr="00000000">
        <w:rPr>
          <w:rtl w:val="0"/>
        </w:rPr>
        <w:t xml:space="preserve">All figures follow the same conventions:</w:t>
      </w:r>
    </w:p>
    <w:p w:rsidR="00000000" w:rsidDel="00000000" w:rsidP="00000000" w:rsidRDefault="00000000" w:rsidRPr="00000000" w14:paraId="00000094">
      <w:pPr>
        <w:numPr>
          <w:ilvl w:val="0"/>
          <w:numId w:val="8"/>
        </w:numPr>
        <w:spacing w:after="0" w:afterAutospacing="0" w:before="240" w:lineRule="auto"/>
        <w:ind w:left="720" w:hanging="360"/>
        <w:rPr/>
      </w:pPr>
      <w:r w:rsidDel="00000000" w:rsidR="00000000" w:rsidRPr="00000000">
        <w:rPr>
          <w:rtl w:val="0"/>
        </w:rPr>
        <w:t xml:space="preserve">identical time horizons,</w:t>
        <w:br w:type="textWrapping"/>
      </w:r>
    </w:p>
    <w:p w:rsidR="00000000" w:rsidDel="00000000" w:rsidP="00000000" w:rsidRDefault="00000000" w:rsidRPr="00000000" w14:paraId="00000095">
      <w:pPr>
        <w:numPr>
          <w:ilvl w:val="0"/>
          <w:numId w:val="8"/>
        </w:numPr>
        <w:spacing w:after="0" w:afterAutospacing="0" w:before="0" w:beforeAutospacing="0" w:lineRule="auto"/>
        <w:ind w:left="720" w:hanging="360"/>
        <w:rPr/>
      </w:pPr>
      <w:r w:rsidDel="00000000" w:rsidR="00000000" w:rsidRPr="00000000">
        <w:rPr>
          <w:rtl w:val="0"/>
        </w:rPr>
        <w:t xml:space="preserve">shared axes where comparison is intended,</w:t>
        <w:br w:type="textWrapping"/>
      </w:r>
    </w:p>
    <w:p w:rsidR="00000000" w:rsidDel="00000000" w:rsidP="00000000" w:rsidRDefault="00000000" w:rsidRPr="00000000" w14:paraId="00000096">
      <w:pPr>
        <w:numPr>
          <w:ilvl w:val="0"/>
          <w:numId w:val="8"/>
        </w:numPr>
        <w:spacing w:after="240" w:before="0" w:beforeAutospacing="0" w:lineRule="auto"/>
        <w:ind w:left="720" w:hanging="360"/>
        <w:rPr/>
      </w:pPr>
      <w:r w:rsidDel="00000000" w:rsidR="00000000" w:rsidRPr="00000000">
        <w:rPr>
          <w:rtl w:val="0"/>
        </w:rPr>
        <w:t xml:space="preserve">and standardized scenario labels.</w:t>
        <w:br w:type="textWrapping"/>
      </w:r>
    </w:p>
    <w:p w:rsidR="00000000" w:rsidDel="00000000" w:rsidP="00000000" w:rsidRDefault="00000000" w:rsidRPr="00000000" w14:paraId="00000097">
      <w:pPr>
        <w:spacing w:after="240" w:before="240" w:lineRule="auto"/>
        <w:rPr/>
      </w:pPr>
      <w:r w:rsidDel="00000000" w:rsidR="00000000" w:rsidRPr="00000000">
        <w:rPr>
          <w:rtl w:val="0"/>
        </w:rPr>
        <w:t xml:space="preserve">Unless explicitly stated otherwise, all simulations use identical demand processes, macro regimes, and random seeds across protocol profiles to ensure comparability.</w:t>
      </w:r>
    </w:p>
    <w:p w:rsidR="00000000" w:rsidDel="00000000" w:rsidP="00000000" w:rsidRDefault="00000000" w:rsidRPr="00000000" w14:paraId="00000098">
      <w:pPr>
        <w:spacing w:after="240" w:before="240" w:lineRule="auto"/>
        <w:rPr/>
      </w:pPr>
      <w:r w:rsidDel="00000000" w:rsidR="00000000" w:rsidRPr="00000000">
        <w:rPr>
          <w:rtl w:val="0"/>
        </w:rPr>
        <w:t xml:space="preserve">It is important to emphasize that </w:t>
      </w:r>
      <w:r w:rsidDel="00000000" w:rsidR="00000000" w:rsidRPr="00000000">
        <w:rPr>
          <w:b w:val="1"/>
          <w:bCs w:val="1"/>
          <w:rtl w:val="0"/>
        </w:rPr>
        <w:t xml:space="preserve">no result in this chapter should be read as a performance claim about any real-world network</w:t>
      </w:r>
      <w:r w:rsidDel="00000000" w:rsidR="00000000" w:rsidRPr="00000000">
        <w:rPr>
          <w:rtl w:val="0"/>
        </w:rPr>
        <w:t xml:space="preserve">. Observed behaviors reflect the interaction between modeled mechanisms and imposed stress conditions under the assumptions documented in Chapter 5. The value of these results lies in their comparative consistency and in the patterns they reveal across scenarios, not in their absolute magnitudes.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sz w:val="22"/>
          <w:szCs w:val="22"/>
        </w:rPr>
      </w:pPr>
      <w:bookmarkStart w:colFirst="0" w:colLast="0" w:name="_3m8pukque86f" w:id="17"/>
      <w:bookmarkEnd w:id="17"/>
      <w:r w:rsidDel="00000000" w:rsidR="00000000" w:rsidRPr="00000000">
        <w:rPr>
          <w:sz w:val="22"/>
          <w:szCs w:val="22"/>
          <w:rtl w:val="0"/>
        </w:rPr>
        <w:t xml:space="preserve">6.1.1 Experimental Setup</w:t>
      </w:r>
    </w:p>
    <w:p w:rsidR="00000000" w:rsidDel="00000000" w:rsidP="00000000" w:rsidRDefault="00000000" w:rsidRPr="00000000" w14:paraId="0000009B">
      <w:pPr>
        <w:spacing w:after="240" w:before="240" w:lineRule="auto"/>
        <w:rPr/>
      </w:pPr>
      <w:r w:rsidDel="00000000" w:rsidR="00000000" w:rsidRPr="00000000">
        <w:rPr>
          <w:rtl w:val="0"/>
        </w:rPr>
        <w:t xml:space="preserve">Baseline simulations are conducted over a fixed horizon of 52 weeks using a weekly timestep. For each protocol profile, 100 Monte Carlo simulations are executed with a deterministic master seed strategy to ensure reproducibility. All simulations use the agent-based execution model with identical neutrality constraints applied across profiles.</w:t>
      </w:r>
    </w:p>
    <w:p w:rsidR="00000000" w:rsidDel="00000000" w:rsidP="00000000" w:rsidRDefault="00000000" w:rsidRPr="00000000" w14:paraId="0000009C">
      <w:pPr>
        <w:spacing w:after="240" w:before="240" w:lineRule="auto"/>
        <w:rPr/>
      </w:pPr>
      <w:r w:rsidDel="00000000" w:rsidR="00000000" w:rsidRPr="00000000">
        <w:rPr>
          <w:rtl w:val="0"/>
        </w:rPr>
        <w:t xml:space="preserve">Key baseline conditions include a consistent demand regime with zero demand volatility, a sideways macroeconomic regime, and the explicit disabling of scenario logic, investor unlocks, competitor yield effects, and growth shocks. These constraints ensure that observed dynamics arise solely from the interaction between protocol-specific tokenomic mechanisms and provider-level economics, rather than from exogenous stress factors.</w:t>
      </w:r>
    </w:p>
    <w:p w:rsidR="00000000" w:rsidDel="00000000" w:rsidP="00000000" w:rsidRDefault="00000000" w:rsidRPr="00000000" w14:paraId="0000009D">
      <w:pPr>
        <w:spacing w:after="240" w:before="240" w:lineRule="auto"/>
        <w:rPr/>
      </w:pPr>
      <w:r w:rsidDel="00000000" w:rsidR="00000000" w:rsidRPr="00000000">
        <w:rPr>
          <w:rtl w:val="0"/>
        </w:rPr>
        <w:t xml:space="preserve">The baseline profiles evaluated in this section include Onocoy (ONO) and a set of comparator DePIN protocols representing a range of infrastructure types and incentive designs: Helium, Render, Filecoin, Akash, Hivemapper, DIMO, Grass, io.net, Nosana, and Geodnet.</w:t>
      </w:r>
    </w:p>
    <w:p w:rsidR="00000000" w:rsidDel="00000000" w:rsidP="00000000" w:rsidRDefault="00000000" w:rsidRPr="00000000" w14:paraId="0000009E">
      <w:pPr>
        <w:pStyle w:val="Heading3"/>
        <w:rPr>
          <w:sz w:val="22"/>
          <w:szCs w:val="22"/>
        </w:rPr>
      </w:pPr>
      <w:bookmarkStart w:colFirst="0" w:colLast="0" w:name="_t18m7sj98e1m" w:id="18"/>
      <w:bookmarkEnd w:id="18"/>
      <w:r w:rsidDel="00000000" w:rsidR="00000000" w:rsidRPr="00000000">
        <w:rPr>
          <w:sz w:val="22"/>
          <w:szCs w:val="22"/>
          <w:rtl w:val="0"/>
        </w:rPr>
        <w:t xml:space="preserve">6.1.2 Baseline Trajectories</w:t>
      </w:r>
    </w:p>
    <w:p w:rsidR="00000000" w:rsidDel="00000000" w:rsidP="00000000" w:rsidRDefault="00000000" w:rsidRPr="00000000" w14:paraId="0000009F">
      <w:pPr>
        <w:spacing w:after="240" w:before="240" w:lineRule="auto"/>
        <w:rPr/>
      </w:pPr>
      <w:r w:rsidDel="00000000" w:rsidR="00000000" w:rsidRPr="00000000">
        <w:rPr>
          <w:rtl w:val="0"/>
        </w:rPr>
        <w:t xml:space="preserve">Across all profiles, baseline simulations generate stable and smooth trajectories for core state variables such as token supply, emissions, burns, provider count, aggregate capacity, and utilization. In the absence of shocks or volatility, these trajectories reflect the steady-state behavior implied by each protocol’s emission logic, reward allocation rules, and provider cost structure.</w:t>
      </w:r>
    </w:p>
    <w:p w:rsidR="00000000" w:rsidDel="00000000" w:rsidP="00000000" w:rsidRDefault="00000000" w:rsidRPr="00000000" w14:paraId="000000A0">
      <w:pPr>
        <w:spacing w:after="240" w:before="240" w:lineRule="auto"/>
        <w:rPr/>
      </w:pPr>
      <w:r w:rsidDel="00000000" w:rsidR="00000000" w:rsidRPr="00000000">
        <w:rPr>
          <w:rtl w:val="0"/>
        </w:rPr>
        <w:t xml:space="preserve">Token price series under baseline conditions exhibit limited dispersion in early periods for some profiles, with the interquartile range collapsing to a single value at certain timesteps. This behavior is a direct consequence of strict neutrality assumptions, including zero demand noise and the absence of stochastic macro or liquidity effects. Under these conditions, price evolution becomes highly constrained by deterministic components of the model.</w:t>
      </w:r>
    </w:p>
    <w:p w:rsidR="00000000" w:rsidDel="00000000" w:rsidP="00000000" w:rsidRDefault="00000000" w:rsidRPr="00000000" w14:paraId="000000A1">
      <w:pPr>
        <w:spacing w:after="240" w:before="240" w:lineRule="auto"/>
        <w:rPr/>
      </w:pPr>
      <w:r w:rsidDel="00000000" w:rsidR="00000000" w:rsidRPr="00000000">
        <w:rPr>
          <w:rtl w:val="0"/>
        </w:rPr>
        <w:t xml:space="preserve">By contrast, provider-level economic metrics such as average provider profit display visible dispersion across simulations, even under neutral conditions. For example, the interquartile range of average provider profit for the ONO profile diverges meaningfully from the median within the first few weeks, reflecting heterogeneity in provider costs, capacity, and churn dynamics. This confirms that the Monte Carlo structure is functioning as intended and that stochastic variation persists at the agent level even when aggregate demand and macro inputs are fixed.</w:t>
      </w:r>
    </w:p>
    <w:p w:rsidR="00000000" w:rsidDel="00000000" w:rsidP="00000000" w:rsidRDefault="00000000" w:rsidRPr="00000000" w14:paraId="000000A2">
      <w:pPr>
        <w:pStyle w:val="Heading3"/>
        <w:rPr>
          <w:sz w:val="22"/>
          <w:szCs w:val="22"/>
        </w:rPr>
      </w:pPr>
      <w:bookmarkStart w:colFirst="0" w:colLast="0" w:name="_a31yshswvyay" w:id="19"/>
      <w:bookmarkEnd w:id="19"/>
      <w:r w:rsidDel="00000000" w:rsidR="00000000" w:rsidRPr="00000000">
        <w:rPr>
          <w:sz w:val="22"/>
          <w:szCs w:val="22"/>
          <w:rtl w:val="0"/>
        </w:rPr>
        <w:t xml:space="preserve">6.1.3 Provider Economics and Retention</w:t>
      </w:r>
    </w:p>
    <w:p w:rsidR="00000000" w:rsidDel="00000000" w:rsidP="00000000" w:rsidRDefault="00000000" w:rsidRPr="00000000" w14:paraId="000000A3">
      <w:pPr>
        <w:spacing w:after="240" w:before="240" w:lineRule="auto"/>
        <w:rPr/>
      </w:pPr>
      <w:r w:rsidDel="00000000" w:rsidR="00000000" w:rsidRPr="00000000">
        <w:rPr>
          <w:rtl w:val="0"/>
        </w:rPr>
        <w:t xml:space="preserve">Baseline retention metrics indicate that provider populations remain largely stable over the 52-week horizon for profiles that begin with a non-zero provider count. Where a profile’s initial provider count is zero, retention metrics are reported as undefined rather than imputed, in order to avoid misleading normalization.</w:t>
      </w:r>
    </w:p>
    <w:p w:rsidR="00000000" w:rsidDel="00000000" w:rsidP="00000000" w:rsidRDefault="00000000" w:rsidRPr="00000000" w14:paraId="000000A4">
      <w:pPr>
        <w:spacing w:after="240" w:before="240" w:lineRule="auto"/>
        <w:rPr/>
      </w:pPr>
      <w:r w:rsidDel="00000000" w:rsidR="00000000" w:rsidRPr="00000000">
        <w:rPr>
          <w:rtl w:val="0"/>
        </w:rPr>
        <w:t xml:space="preserve">Retention is reported in two complementary forms: absolute retention, defined as the ratio of active providers relative to the initial provider count, and week-to-week retention rate derived from observed churn events. Under baseline conditions, churn events are driven solely by provider-level profitability thresholds and cost structures, without amplification from price shocks or demand collapses.</w:t>
      </w:r>
    </w:p>
    <w:p w:rsidR="00000000" w:rsidDel="00000000" w:rsidP="00000000" w:rsidRDefault="00000000" w:rsidRPr="00000000" w14:paraId="000000A5">
      <w:pPr>
        <w:spacing w:after="240" w:before="240" w:lineRule="auto"/>
        <w:rPr/>
      </w:pPr>
      <w:r w:rsidDel="00000000" w:rsidR="00000000" w:rsidRPr="00000000">
        <w:rPr>
          <w:rtl w:val="0"/>
        </w:rPr>
        <w:t xml:space="preserve">These baseline retention trajectories serve as a reference point for later stress scenarios, where deviations from baseline behavior can be attributed to specific adverse conditions rather than to underlying model instability.</w:t>
      </w:r>
    </w:p>
    <w:p w:rsidR="00000000" w:rsidDel="00000000" w:rsidP="00000000" w:rsidRDefault="00000000" w:rsidRPr="00000000" w14:paraId="000000A6">
      <w:pPr>
        <w:pStyle w:val="Heading3"/>
        <w:rPr>
          <w:sz w:val="22"/>
          <w:szCs w:val="22"/>
        </w:rPr>
      </w:pPr>
      <w:bookmarkStart w:colFirst="0" w:colLast="0" w:name="_et96adocco0n" w:id="20"/>
      <w:bookmarkEnd w:id="20"/>
      <w:r w:rsidDel="00000000" w:rsidR="00000000" w:rsidRPr="00000000">
        <w:rPr>
          <w:sz w:val="22"/>
          <w:szCs w:val="22"/>
          <w:rtl w:val="0"/>
        </w:rPr>
        <w:t xml:space="preserve">6.1.4 Interpretation Boundaries of Baseline Results</w:t>
      </w:r>
    </w:p>
    <w:p w:rsidR="00000000" w:rsidDel="00000000" w:rsidP="00000000" w:rsidRDefault="00000000" w:rsidRPr="00000000" w14:paraId="000000A7">
      <w:pPr>
        <w:spacing w:after="240" w:before="240" w:lineRule="auto"/>
        <w:rPr/>
      </w:pPr>
      <w:r w:rsidDel="00000000" w:rsidR="00000000" w:rsidRPr="00000000">
        <w:rPr>
          <w:rtl w:val="0"/>
        </w:rPr>
        <w:t xml:space="preserve">It is important to emphasize that baseline results are descriptive rather than evaluative. Observed trends in price, profitability, or provider dynamics under neutral conditions should not be interpreted as indicators of real-world performance or sustainability. Instead, they establish a controlled reference environment in which the internal mechanics of each tokenomic system operate without external stress.</w:t>
      </w:r>
    </w:p>
    <w:p w:rsidR="00000000" w:rsidDel="00000000" w:rsidP="00000000" w:rsidRDefault="00000000" w:rsidRPr="00000000" w14:paraId="000000A8">
      <w:pPr>
        <w:spacing w:after="240" w:before="240" w:lineRule="auto"/>
        <w:rPr/>
      </w:pPr>
      <w:r w:rsidDel="00000000" w:rsidR="00000000" w:rsidRPr="00000000">
        <w:rPr>
          <w:rtl w:val="0"/>
        </w:rPr>
        <w:t xml:space="preserve">The baseline therefore functions as a calibration layer for subsequent analysis. In later sections, stressed scenarios are evaluated relative to these baseline trajectories, allowing deviations in retention, incentive solvency, and service continuity to be attributed to specific stress mechanisms rather than to baseline model behavior.</w:t>
      </w:r>
    </w:p>
    <w:p w:rsidR="00000000" w:rsidDel="00000000" w:rsidP="00000000" w:rsidRDefault="00000000" w:rsidRPr="00000000" w14:paraId="000000A9">
      <w:pPr>
        <w:rPr>
          <w:sz w:val="22"/>
          <w:szCs w:val="22"/>
        </w:rPr>
      </w:pP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22"/>
          <w:szCs w:val="22"/>
        </w:rPr>
      </w:pPr>
      <w:bookmarkStart w:colFirst="0" w:colLast="0" w:name="_k4pohlo6cpb0" w:id="21"/>
      <w:bookmarkEnd w:id="21"/>
      <w:r w:rsidDel="00000000" w:rsidR="00000000" w:rsidRPr="00000000">
        <w:rPr>
          <w:b w:val="1"/>
          <w:bCs w:val="1"/>
          <w:sz w:val="22"/>
          <w:szCs w:val="22"/>
          <w:rtl w:val="0"/>
        </w:rPr>
        <w:t xml:space="preserve">6.2 Stress Scenarios: Definition and Execution</w:t>
      </w:r>
    </w:p>
    <w:p w:rsidR="00000000" w:rsidDel="00000000" w:rsidP="00000000" w:rsidRDefault="00000000" w:rsidRPr="00000000" w14:paraId="000000AB">
      <w:pPr>
        <w:spacing w:after="240" w:before="240" w:lineRule="auto"/>
        <w:rPr/>
      </w:pPr>
      <w:r w:rsidDel="00000000" w:rsidR="00000000" w:rsidRPr="00000000">
        <w:rPr>
          <w:rtl w:val="0"/>
        </w:rPr>
        <w:t xml:space="preserve">This section defines the adverse conditions under which DePIN tokenomic mechanisms are evaluated in subsequent analyses. Each stress scenario is designed to isolate a specific class of risk commonly encountered by real-world DePIN deployments. Scenarios are implemented in a controlled and standardized manner to ensure comparability across protocol profiles and to enable attribution of observed effects to specific stress mechanisms rather than to baseline dynamics.</w:t>
      </w:r>
    </w:p>
    <w:p w:rsidR="00000000" w:rsidDel="00000000" w:rsidP="00000000" w:rsidRDefault="00000000" w:rsidRPr="00000000" w14:paraId="000000AC">
      <w:pPr>
        <w:spacing w:after="240" w:before="240" w:lineRule="auto"/>
        <w:rPr/>
      </w:pPr>
      <w:r w:rsidDel="00000000" w:rsidR="00000000" w:rsidRPr="00000000">
        <w:rPr>
          <w:rtl w:val="0"/>
        </w:rPr>
        <w:t xml:space="preserve">All stress scenarios build directly on the neutral baseline configuration described in Section 6.2. Unless explicitly stated otherwise, only one scenario-specific stress mechanism is activated at a time. All other parameters remain identical to the baseline configuration.</w:t>
      </w:r>
    </w:p>
    <w:p w:rsidR="00000000" w:rsidDel="00000000" w:rsidP="00000000" w:rsidRDefault="00000000" w:rsidRPr="00000000" w14:paraId="000000AD">
      <w:pPr>
        <w:pStyle w:val="Heading3"/>
        <w:keepNext w:val="0"/>
        <w:keepLines w:val="0"/>
        <w:spacing w:before="280" w:lineRule="auto"/>
        <w:rPr>
          <w:b w:val="1"/>
          <w:bCs w:val="1"/>
          <w:color w:val="000000"/>
          <w:sz w:val="22"/>
          <w:szCs w:val="22"/>
        </w:rPr>
      </w:pPr>
      <w:bookmarkStart w:colFirst="0" w:colLast="0" w:name="_vnrc15hc6d5" w:id="22"/>
      <w:bookmarkEnd w:id="22"/>
      <w:r w:rsidDel="00000000" w:rsidR="00000000" w:rsidRPr="00000000">
        <w:rPr>
          <w:b w:val="1"/>
          <w:bCs w:val="1"/>
          <w:color w:val="000000"/>
          <w:sz w:val="22"/>
          <w:szCs w:val="22"/>
          <w:rtl w:val="0"/>
        </w:rPr>
        <w:t xml:space="preserve">6.2.1 Rationale for Scenario-Based Stress Testing</w:t>
      </w:r>
    </w:p>
    <w:p w:rsidR="00000000" w:rsidDel="00000000" w:rsidP="00000000" w:rsidRDefault="00000000" w:rsidRPr="00000000" w14:paraId="000000AE">
      <w:pPr>
        <w:spacing w:after="240" w:before="240" w:lineRule="auto"/>
        <w:rPr/>
      </w:pPr>
      <w:r w:rsidDel="00000000" w:rsidR="00000000" w:rsidRPr="00000000">
        <w:rPr>
          <w:rtl w:val="0"/>
        </w:rPr>
        <w:t xml:space="preserve">DePIN networks operate at the intersection of physical infrastructure, economic incentives, and market volatility. As a result, system failure is rarely caused by a single factor in isolation. However, evaluating compound shocks without first understanding individual stress responses risks obscuring causal pathways.</w:t>
      </w:r>
    </w:p>
    <w:p w:rsidR="00000000" w:rsidDel="00000000" w:rsidP="00000000" w:rsidRDefault="00000000" w:rsidRPr="00000000" w14:paraId="000000AF">
      <w:pPr>
        <w:spacing w:after="240" w:before="240" w:lineRule="auto"/>
        <w:rPr/>
      </w:pPr>
      <w:r w:rsidDel="00000000" w:rsidR="00000000" w:rsidRPr="00000000">
        <w:rPr>
          <w:rtl w:val="0"/>
        </w:rPr>
        <w:t xml:space="preserve">Scenario-based stress testing is therefore employed to examine directional robustness under clearly defined adverse conditions. This approach aligns with established practices in simulation-based evaluation of complex systems, where standardized shocks are used to test mechanism sensitivity and failure modes before compound interactions are introduced.</w:t>
      </w:r>
    </w:p>
    <w:p w:rsidR="00000000" w:rsidDel="00000000" w:rsidP="00000000" w:rsidRDefault="00000000" w:rsidRPr="00000000" w14:paraId="000000B0">
      <w:pPr>
        <w:spacing w:after="240" w:before="240" w:lineRule="auto"/>
        <w:rPr/>
      </w:pPr>
      <w:r w:rsidDel="00000000" w:rsidR="00000000" w:rsidRPr="00000000">
        <w:rPr>
          <w:rtl w:val="0"/>
        </w:rPr>
        <w:t xml:space="preserve">The scenarios defined below reflect empirically observed risks in DePIN and adjacent crypto-economic systems, including demand contraction, liquidity shocks, competitive pressure, and provider-side economic stress.</w:t>
      </w:r>
    </w:p>
    <w:p w:rsidR="00000000" w:rsidDel="00000000" w:rsidP="00000000" w:rsidRDefault="00000000" w:rsidRPr="00000000" w14:paraId="000000B1">
      <w:pPr>
        <w:pStyle w:val="Heading3"/>
        <w:keepNext w:val="0"/>
        <w:keepLines w:val="0"/>
        <w:spacing w:before="280" w:lineRule="auto"/>
        <w:rPr>
          <w:b w:val="1"/>
          <w:bCs w:val="1"/>
          <w:color w:val="000000"/>
          <w:sz w:val="22"/>
          <w:szCs w:val="22"/>
        </w:rPr>
      </w:pPr>
      <w:bookmarkStart w:colFirst="0" w:colLast="0" w:name="_yqjdkf3k89ld" w:id="23"/>
      <w:bookmarkEnd w:id="23"/>
      <w:r w:rsidDel="00000000" w:rsidR="00000000" w:rsidRPr="00000000">
        <w:rPr>
          <w:b w:val="1"/>
          <w:bCs w:val="1"/>
          <w:color w:val="000000"/>
          <w:sz w:val="22"/>
          <w:szCs w:val="22"/>
          <w:rtl w:val="0"/>
        </w:rPr>
        <w:t xml:space="preserve">6.2.2 Scenario S1: Demand Contraction</w:t>
      </w:r>
    </w:p>
    <w:p w:rsidR="00000000" w:rsidDel="00000000" w:rsidP="00000000" w:rsidRDefault="00000000" w:rsidRPr="00000000" w14:paraId="000000B2">
      <w:pPr>
        <w:spacing w:after="240" w:before="240" w:lineRule="auto"/>
        <w:rPr/>
      </w:pPr>
      <w:r w:rsidDel="00000000" w:rsidR="00000000" w:rsidRPr="00000000">
        <w:rPr>
          <w:rtl w:val="0"/>
        </w:rPr>
        <w:t xml:space="preserve">The demand contraction scenario models a sustained reduction in service demand relative to baseline conditions. This scenario reflects situations such as market downturns, loss of enterprise clients, regulatory friction, or delayed adoption of the underlying service.</w:t>
      </w:r>
    </w:p>
    <w:p w:rsidR="00000000" w:rsidDel="00000000" w:rsidP="00000000" w:rsidRDefault="00000000" w:rsidRPr="00000000" w14:paraId="000000B3">
      <w:pPr>
        <w:spacing w:after="240" w:before="240" w:lineRule="auto"/>
        <w:rPr/>
      </w:pPr>
      <w:r w:rsidDel="00000000" w:rsidR="00000000" w:rsidRPr="00000000">
        <w:rPr>
          <w:rtl w:val="0"/>
        </w:rPr>
        <w:t xml:space="preserve">Implementation:</w:t>
      </w:r>
    </w:p>
    <w:p w:rsidR="00000000" w:rsidDel="00000000" w:rsidP="00000000" w:rsidRDefault="00000000" w:rsidRPr="00000000" w14:paraId="000000B4">
      <w:pPr>
        <w:numPr>
          <w:ilvl w:val="0"/>
          <w:numId w:val="6"/>
        </w:numPr>
        <w:spacing w:after="0" w:afterAutospacing="0" w:before="240" w:lineRule="auto"/>
        <w:ind w:left="720" w:hanging="360"/>
        <w:rPr/>
      </w:pPr>
      <w:r w:rsidDel="00000000" w:rsidR="00000000" w:rsidRPr="00000000">
        <w:rPr>
          <w:rtl w:val="0"/>
        </w:rPr>
        <w:t xml:space="preserve">Demand regime is modified from consistent baseline demand to a declining or suppressed demand trajectory.</w:t>
        <w:br w:type="textWrapping"/>
      </w:r>
    </w:p>
    <w:p w:rsidR="00000000" w:rsidDel="00000000" w:rsidP="00000000" w:rsidRDefault="00000000" w:rsidRPr="00000000" w14:paraId="000000B5">
      <w:pPr>
        <w:numPr>
          <w:ilvl w:val="0"/>
          <w:numId w:val="6"/>
        </w:numPr>
        <w:spacing w:after="0" w:afterAutospacing="0" w:before="0" w:beforeAutospacing="0" w:lineRule="auto"/>
        <w:ind w:left="720" w:hanging="360"/>
        <w:rPr/>
      </w:pPr>
      <w:r w:rsidDel="00000000" w:rsidR="00000000" w:rsidRPr="00000000">
        <w:rPr>
          <w:rtl w:val="0"/>
        </w:rPr>
        <w:t xml:space="preserve">No changes are made to emission schedules, provider costs, or liquidity conditions.</w:t>
        <w:br w:type="textWrapping"/>
      </w:r>
    </w:p>
    <w:p w:rsidR="00000000" w:rsidDel="00000000" w:rsidP="00000000" w:rsidRDefault="00000000" w:rsidRPr="00000000" w14:paraId="000000B6">
      <w:pPr>
        <w:numPr>
          <w:ilvl w:val="0"/>
          <w:numId w:val="6"/>
        </w:numPr>
        <w:spacing w:after="240" w:before="0" w:beforeAutospacing="0" w:lineRule="auto"/>
        <w:ind w:left="720" w:hanging="360"/>
        <w:rPr/>
      </w:pPr>
      <w:r w:rsidDel="00000000" w:rsidR="00000000" w:rsidRPr="00000000">
        <w:rPr>
          <w:rtl w:val="0"/>
        </w:rPr>
        <w:t xml:space="preserve">Demand volatility may remain low to isolate level effects rather than noise-induced effects.</w:t>
        <w:br w:type="textWrapping"/>
      </w:r>
    </w:p>
    <w:p w:rsidR="00000000" w:rsidDel="00000000" w:rsidP="00000000" w:rsidRDefault="00000000" w:rsidRPr="00000000" w14:paraId="000000B7">
      <w:pPr>
        <w:spacing w:after="240" w:before="240" w:lineRule="auto"/>
        <w:rPr/>
      </w:pPr>
      <w:r w:rsidDel="00000000" w:rsidR="00000000" w:rsidRPr="00000000">
        <w:rPr>
          <w:rtl w:val="0"/>
        </w:rPr>
        <w:t xml:space="preserve">Analytical focus:</w:t>
      </w:r>
    </w:p>
    <w:p w:rsidR="00000000" w:rsidDel="00000000" w:rsidP="00000000" w:rsidRDefault="00000000" w:rsidRPr="00000000" w14:paraId="000000B8">
      <w:pPr>
        <w:numPr>
          <w:ilvl w:val="0"/>
          <w:numId w:val="11"/>
        </w:numPr>
        <w:spacing w:after="0" w:afterAutospacing="0" w:before="240" w:lineRule="auto"/>
        <w:ind w:left="720" w:hanging="360"/>
        <w:rPr/>
      </w:pPr>
      <w:r w:rsidDel="00000000" w:rsidR="00000000" w:rsidRPr="00000000">
        <w:rPr>
          <w:rtl w:val="0"/>
        </w:rPr>
        <w:t xml:space="preserve">Burn-to-emission dynamics under reduced utilization.</w:t>
        <w:br w:type="textWrapping"/>
      </w:r>
    </w:p>
    <w:p w:rsidR="00000000" w:rsidDel="00000000" w:rsidP="00000000" w:rsidRDefault="00000000" w:rsidRPr="00000000" w14:paraId="000000B9">
      <w:pPr>
        <w:numPr>
          <w:ilvl w:val="0"/>
          <w:numId w:val="11"/>
        </w:numPr>
        <w:spacing w:after="0" w:afterAutospacing="0" w:before="0" w:beforeAutospacing="0" w:lineRule="auto"/>
        <w:ind w:left="720" w:hanging="360"/>
        <w:rPr/>
      </w:pPr>
      <w:r w:rsidDel="00000000" w:rsidR="00000000" w:rsidRPr="00000000">
        <w:rPr>
          <w:rtl w:val="0"/>
        </w:rPr>
        <w:t xml:space="preserve">Provider profitability as a function of fixed operating costs.</w:t>
        <w:br w:type="textWrapping"/>
      </w:r>
    </w:p>
    <w:p w:rsidR="00000000" w:rsidDel="00000000" w:rsidP="00000000" w:rsidRDefault="00000000" w:rsidRPr="00000000" w14:paraId="000000BA">
      <w:pPr>
        <w:numPr>
          <w:ilvl w:val="0"/>
          <w:numId w:val="11"/>
        </w:numPr>
        <w:spacing w:after="240" w:before="0" w:beforeAutospacing="0" w:lineRule="auto"/>
        <w:ind w:left="720" w:hanging="360"/>
        <w:rPr/>
      </w:pPr>
      <w:r w:rsidDel="00000000" w:rsidR="00000000" w:rsidRPr="00000000">
        <w:rPr>
          <w:rtl w:val="0"/>
        </w:rPr>
        <w:t xml:space="preserve">Early signals of incentive insolvency without price shocks.</w:t>
        <w:br w:type="textWrapping"/>
      </w:r>
    </w:p>
    <w:p w:rsidR="00000000" w:rsidDel="00000000" w:rsidP="00000000" w:rsidRDefault="00000000" w:rsidRPr="00000000" w14:paraId="000000BB">
      <w:pPr>
        <w:pStyle w:val="Heading3"/>
        <w:keepNext w:val="0"/>
        <w:keepLines w:val="0"/>
        <w:spacing w:before="280" w:lineRule="auto"/>
        <w:rPr>
          <w:b w:val="1"/>
          <w:bCs w:val="1"/>
          <w:color w:val="000000"/>
          <w:sz w:val="22"/>
          <w:szCs w:val="22"/>
        </w:rPr>
      </w:pPr>
      <w:bookmarkStart w:colFirst="0" w:colLast="0" w:name="_ozp4tob7ykkx" w:id="24"/>
      <w:bookmarkEnd w:id="24"/>
      <w:r w:rsidDel="00000000" w:rsidR="00000000" w:rsidRPr="00000000">
        <w:rPr>
          <w:b w:val="1"/>
          <w:bCs w:val="1"/>
          <w:color w:val="000000"/>
          <w:sz w:val="22"/>
          <w:szCs w:val="22"/>
          <w:rtl w:val="0"/>
        </w:rPr>
        <w:t xml:space="preserve">6.2.3 Scenario S2: Liquidity Shock</w:t>
      </w:r>
    </w:p>
    <w:p w:rsidR="00000000" w:rsidDel="00000000" w:rsidP="00000000" w:rsidRDefault="00000000" w:rsidRPr="00000000" w14:paraId="000000BC">
      <w:pPr>
        <w:spacing w:after="240" w:before="240" w:lineRule="auto"/>
        <w:rPr/>
      </w:pPr>
      <w:r w:rsidDel="00000000" w:rsidR="00000000" w:rsidRPr="00000000">
        <w:rPr>
          <w:rtl w:val="0"/>
        </w:rPr>
        <w:t xml:space="preserve">The liquidity shock scenario simulates a sudden increase in sell pressure resulting from token unlocks or large holder exits. This scenario reflects common events in crypto markets such as investor vesting cliffs or coordinated exits during market stress.</w:t>
      </w:r>
    </w:p>
    <w:p w:rsidR="00000000" w:rsidDel="00000000" w:rsidP="00000000" w:rsidRDefault="00000000" w:rsidRPr="00000000" w14:paraId="000000BD">
      <w:pPr>
        <w:spacing w:after="240" w:before="240" w:lineRule="auto"/>
        <w:rPr/>
      </w:pPr>
      <w:r w:rsidDel="00000000" w:rsidR="00000000" w:rsidRPr="00000000">
        <w:rPr>
          <w:rtl w:val="0"/>
        </w:rPr>
        <w:t xml:space="preserve">Implementation:</w:t>
      </w:r>
    </w:p>
    <w:p w:rsidR="00000000" w:rsidDel="00000000" w:rsidP="00000000" w:rsidRDefault="00000000" w:rsidRPr="00000000" w14:paraId="000000BE">
      <w:pPr>
        <w:numPr>
          <w:ilvl w:val="0"/>
          <w:numId w:val="2"/>
        </w:numPr>
        <w:spacing w:after="0" w:afterAutospacing="0" w:before="240" w:lineRule="auto"/>
        <w:ind w:left="720" w:hanging="360"/>
        <w:rPr/>
      </w:pPr>
      <w:r w:rsidDel="00000000" w:rsidR="00000000" w:rsidRPr="00000000">
        <w:rPr>
          <w:rtl w:val="0"/>
        </w:rPr>
        <w:t xml:space="preserve">A discrete investor unlock event is introduced at a predefined simulation week.</w:t>
        <w:br w:type="textWrapping"/>
      </w:r>
    </w:p>
    <w:p w:rsidR="00000000" w:rsidDel="00000000" w:rsidP="00000000" w:rsidRDefault="00000000" w:rsidRPr="00000000" w14:paraId="000000BF">
      <w:pPr>
        <w:numPr>
          <w:ilvl w:val="0"/>
          <w:numId w:val="2"/>
        </w:numPr>
        <w:spacing w:after="0" w:afterAutospacing="0" w:before="0" w:beforeAutospacing="0" w:lineRule="auto"/>
        <w:ind w:left="720" w:hanging="360"/>
        <w:rPr/>
      </w:pPr>
      <w:r w:rsidDel="00000000" w:rsidR="00000000" w:rsidRPr="00000000">
        <w:rPr>
          <w:rtl w:val="0"/>
        </w:rPr>
        <w:t xml:space="preserve">A fixed percentage of circulating supply is sold into available liquidity.</w:t>
        <w:br w:type="textWrapping"/>
      </w:r>
    </w:p>
    <w:p w:rsidR="00000000" w:rsidDel="00000000" w:rsidP="00000000" w:rsidRDefault="00000000" w:rsidRPr="00000000" w14:paraId="000000C0">
      <w:pPr>
        <w:numPr>
          <w:ilvl w:val="0"/>
          <w:numId w:val="2"/>
        </w:numPr>
        <w:spacing w:after="240" w:before="0" w:beforeAutospacing="0" w:lineRule="auto"/>
        <w:ind w:left="720" w:hanging="360"/>
        <w:rPr/>
      </w:pPr>
      <w:r w:rsidDel="00000000" w:rsidR="00000000" w:rsidRPr="00000000">
        <w:rPr>
          <w:rtl w:val="0"/>
        </w:rPr>
        <w:t xml:space="preserve">All other parameters remain identical to baseline conditions.</w:t>
        <w:br w:type="textWrapping"/>
      </w:r>
    </w:p>
    <w:p w:rsidR="00000000" w:rsidDel="00000000" w:rsidP="00000000" w:rsidRDefault="00000000" w:rsidRPr="00000000" w14:paraId="000000C1">
      <w:pPr>
        <w:spacing w:after="240" w:before="240" w:lineRule="auto"/>
        <w:rPr/>
      </w:pPr>
      <w:r w:rsidDel="00000000" w:rsidR="00000000" w:rsidRPr="00000000">
        <w:rPr>
          <w:rtl w:val="0"/>
        </w:rPr>
        <w:t xml:space="preserve">Analytical focus:</w:t>
      </w:r>
    </w:p>
    <w:p w:rsidR="00000000" w:rsidDel="00000000" w:rsidP="00000000" w:rsidRDefault="00000000" w:rsidRPr="00000000" w14:paraId="000000C2">
      <w:pPr>
        <w:numPr>
          <w:ilvl w:val="0"/>
          <w:numId w:val="15"/>
        </w:numPr>
        <w:spacing w:after="0" w:afterAutospacing="0" w:before="240" w:lineRule="auto"/>
        <w:ind w:left="720" w:hanging="360"/>
        <w:rPr/>
      </w:pPr>
      <w:r w:rsidDel="00000000" w:rsidR="00000000" w:rsidRPr="00000000">
        <w:rPr>
          <w:rtl w:val="0"/>
        </w:rPr>
        <w:t xml:space="preserve">Price sensitivity to sell pressure.</w:t>
        <w:br w:type="textWrapping"/>
      </w:r>
    </w:p>
    <w:p w:rsidR="00000000" w:rsidDel="00000000" w:rsidP="00000000" w:rsidRDefault="00000000" w:rsidRPr="00000000" w14:paraId="000000C3">
      <w:pPr>
        <w:numPr>
          <w:ilvl w:val="0"/>
          <w:numId w:val="15"/>
        </w:numPr>
        <w:spacing w:after="0" w:afterAutospacing="0" w:before="0" w:beforeAutospacing="0" w:lineRule="auto"/>
        <w:ind w:left="720" w:hanging="360"/>
        <w:rPr/>
      </w:pPr>
      <w:r w:rsidDel="00000000" w:rsidR="00000000" w:rsidRPr="00000000">
        <w:rPr>
          <w:rtl w:val="0"/>
        </w:rPr>
        <w:t xml:space="preserve">Secondary effects on provider revenue denominated in token value.</w:t>
        <w:br w:type="textWrapping"/>
      </w:r>
    </w:p>
    <w:p w:rsidR="00000000" w:rsidDel="00000000" w:rsidP="00000000" w:rsidRDefault="00000000" w:rsidRPr="00000000" w14:paraId="000000C4">
      <w:pPr>
        <w:numPr>
          <w:ilvl w:val="0"/>
          <w:numId w:val="15"/>
        </w:numPr>
        <w:spacing w:after="240" w:before="0" w:beforeAutospacing="0" w:lineRule="auto"/>
        <w:ind w:left="720" w:hanging="360"/>
        <w:rPr/>
      </w:pPr>
      <w:r w:rsidDel="00000000" w:rsidR="00000000" w:rsidRPr="00000000">
        <w:rPr>
          <w:rtl w:val="0"/>
        </w:rPr>
        <w:t xml:space="preserve">Churn amplification driven by price-mediated profitability thresholds.</w:t>
        <w:br w:type="textWrapping"/>
      </w:r>
    </w:p>
    <w:p w:rsidR="00000000" w:rsidDel="00000000" w:rsidP="00000000" w:rsidRDefault="00000000" w:rsidRPr="00000000" w14:paraId="000000C5">
      <w:pPr>
        <w:pStyle w:val="Heading3"/>
        <w:keepNext w:val="0"/>
        <w:keepLines w:val="0"/>
        <w:spacing w:before="280" w:lineRule="auto"/>
        <w:rPr>
          <w:b w:val="1"/>
          <w:bCs w:val="1"/>
          <w:color w:val="000000"/>
          <w:sz w:val="22"/>
          <w:szCs w:val="22"/>
        </w:rPr>
      </w:pPr>
      <w:bookmarkStart w:colFirst="0" w:colLast="0" w:name="_xz6yy88fedh8" w:id="25"/>
      <w:bookmarkEnd w:id="25"/>
      <w:r w:rsidDel="00000000" w:rsidR="00000000" w:rsidRPr="00000000">
        <w:rPr>
          <w:b w:val="1"/>
          <w:bCs w:val="1"/>
          <w:color w:val="000000"/>
          <w:sz w:val="22"/>
          <w:szCs w:val="22"/>
          <w:rtl w:val="0"/>
        </w:rPr>
        <w:t xml:space="preserve">6.2.4 Scenario S3: Competitive Yield Pressure</w:t>
      </w:r>
    </w:p>
    <w:p w:rsidR="00000000" w:rsidDel="00000000" w:rsidP="00000000" w:rsidRDefault="00000000" w:rsidRPr="00000000" w14:paraId="000000C6">
      <w:pPr>
        <w:spacing w:after="240" w:before="240" w:lineRule="auto"/>
        <w:rPr/>
      </w:pPr>
      <w:r w:rsidDel="00000000" w:rsidR="00000000" w:rsidRPr="00000000">
        <w:rPr>
          <w:rtl w:val="0"/>
        </w:rPr>
        <w:t xml:space="preserve">This scenario introduces external competition for infrastructure providers by simulating an alternative yield opportunity. It reflects situations where providers can redeploy capital or hardware to competing networks offering higher short-term returns.</w:t>
      </w:r>
    </w:p>
    <w:p w:rsidR="00000000" w:rsidDel="00000000" w:rsidP="00000000" w:rsidRDefault="00000000" w:rsidRPr="00000000" w14:paraId="000000C7">
      <w:pPr>
        <w:spacing w:after="240" w:before="240" w:lineRule="auto"/>
        <w:rPr/>
      </w:pPr>
      <w:r w:rsidDel="00000000" w:rsidR="00000000" w:rsidRPr="00000000">
        <w:rPr>
          <w:rtl w:val="0"/>
        </w:rPr>
        <w:t xml:space="preserve">Implementation:</w:t>
      </w:r>
    </w:p>
    <w:p w:rsidR="00000000" w:rsidDel="00000000" w:rsidP="00000000" w:rsidRDefault="00000000" w:rsidRPr="00000000" w14:paraId="000000C8">
      <w:pPr>
        <w:numPr>
          <w:ilvl w:val="0"/>
          <w:numId w:val="1"/>
        </w:numPr>
        <w:spacing w:after="0" w:afterAutospacing="0" w:before="240" w:lineRule="auto"/>
        <w:ind w:left="720" w:hanging="360"/>
        <w:rPr/>
      </w:pPr>
      <w:r w:rsidDel="00000000" w:rsidR="00000000" w:rsidRPr="00000000">
        <w:rPr>
          <w:rtl w:val="0"/>
        </w:rPr>
        <w:t xml:space="preserve">A competitor yield parameter is activated, increasing the opportunity cost of participation.</w:t>
        <w:br w:type="textWrapping"/>
      </w:r>
    </w:p>
    <w:p w:rsidR="00000000" w:rsidDel="00000000" w:rsidP="00000000" w:rsidRDefault="00000000" w:rsidRPr="00000000" w14:paraId="000000C9">
      <w:pPr>
        <w:numPr>
          <w:ilvl w:val="0"/>
          <w:numId w:val="1"/>
        </w:numPr>
        <w:spacing w:after="0" w:afterAutospacing="0" w:before="0" w:beforeAutospacing="0" w:lineRule="auto"/>
        <w:ind w:left="720" w:hanging="360"/>
        <w:rPr/>
      </w:pPr>
      <w:r w:rsidDel="00000000" w:rsidR="00000000" w:rsidRPr="00000000">
        <w:rPr>
          <w:rtl w:val="0"/>
        </w:rPr>
        <w:t xml:space="preserve">Provider churn probability is adjusted based on relative profitability.</w:t>
        <w:br w:type="textWrapping"/>
      </w:r>
    </w:p>
    <w:p w:rsidR="00000000" w:rsidDel="00000000" w:rsidP="00000000" w:rsidRDefault="00000000" w:rsidRPr="00000000" w14:paraId="000000CA">
      <w:pPr>
        <w:numPr>
          <w:ilvl w:val="0"/>
          <w:numId w:val="1"/>
        </w:numPr>
        <w:spacing w:after="240" w:before="0" w:beforeAutospacing="0" w:lineRule="auto"/>
        <w:ind w:left="720" w:hanging="360"/>
        <w:rPr/>
      </w:pPr>
      <w:r w:rsidDel="00000000" w:rsidR="00000000" w:rsidRPr="00000000">
        <w:rPr>
          <w:rtl w:val="0"/>
        </w:rPr>
        <w:t xml:space="preserve">No direct changes are made to demand or token supply.</w:t>
        <w:br w:type="textWrapping"/>
      </w:r>
    </w:p>
    <w:p w:rsidR="00000000" w:rsidDel="00000000" w:rsidP="00000000" w:rsidRDefault="00000000" w:rsidRPr="00000000" w14:paraId="000000CB">
      <w:pPr>
        <w:spacing w:after="240" w:before="240" w:lineRule="auto"/>
        <w:rPr/>
      </w:pPr>
      <w:r w:rsidDel="00000000" w:rsidR="00000000" w:rsidRPr="00000000">
        <w:rPr>
          <w:rtl w:val="0"/>
        </w:rPr>
        <w:t xml:space="preserve">Analytical focus:</w:t>
      </w:r>
    </w:p>
    <w:p w:rsidR="00000000" w:rsidDel="00000000" w:rsidP="00000000" w:rsidRDefault="00000000" w:rsidRPr="00000000" w14:paraId="000000CC">
      <w:pPr>
        <w:numPr>
          <w:ilvl w:val="0"/>
          <w:numId w:val="10"/>
        </w:numPr>
        <w:spacing w:after="0" w:afterAutospacing="0" w:before="240" w:lineRule="auto"/>
        <w:ind w:left="720" w:hanging="360"/>
        <w:rPr/>
      </w:pPr>
      <w:r w:rsidDel="00000000" w:rsidR="00000000" w:rsidRPr="00000000">
        <w:rPr>
          <w:rtl w:val="0"/>
        </w:rPr>
        <w:t xml:space="preserve">Elasticity of provider participation.</w:t>
        <w:br w:type="textWrapping"/>
      </w:r>
    </w:p>
    <w:p w:rsidR="00000000" w:rsidDel="00000000" w:rsidP="00000000" w:rsidRDefault="00000000" w:rsidRPr="00000000" w14:paraId="000000CD">
      <w:pPr>
        <w:numPr>
          <w:ilvl w:val="0"/>
          <w:numId w:val="10"/>
        </w:numPr>
        <w:spacing w:after="0" w:afterAutospacing="0" w:before="0" w:beforeAutospacing="0" w:lineRule="auto"/>
        <w:ind w:left="720" w:hanging="360"/>
        <w:rPr/>
      </w:pPr>
      <w:r w:rsidDel="00000000" w:rsidR="00000000" w:rsidRPr="00000000">
        <w:rPr>
          <w:rtl w:val="0"/>
        </w:rPr>
        <w:t xml:space="preserve">Sensitivity of retention to marginal profit compression.</w:t>
        <w:br w:type="textWrapping"/>
      </w:r>
    </w:p>
    <w:p w:rsidR="00000000" w:rsidDel="00000000" w:rsidP="00000000" w:rsidRDefault="00000000" w:rsidRPr="00000000" w14:paraId="000000CE">
      <w:pPr>
        <w:numPr>
          <w:ilvl w:val="0"/>
          <w:numId w:val="10"/>
        </w:numPr>
        <w:spacing w:after="240" w:before="0" w:beforeAutospacing="0" w:lineRule="auto"/>
        <w:ind w:left="720" w:hanging="360"/>
        <w:rPr/>
      </w:pPr>
      <w:r w:rsidDel="00000000" w:rsidR="00000000" w:rsidRPr="00000000">
        <w:rPr>
          <w:rtl w:val="0"/>
        </w:rPr>
        <w:t xml:space="preserve">Differentiation between high-commitment and low-commitment providers.</w:t>
        <w:br w:type="textWrapping"/>
      </w:r>
    </w:p>
    <w:p w:rsidR="00000000" w:rsidDel="00000000" w:rsidP="00000000" w:rsidRDefault="00000000" w:rsidRPr="00000000" w14:paraId="000000CF">
      <w:pPr>
        <w:pStyle w:val="Heading3"/>
        <w:keepNext w:val="0"/>
        <w:keepLines w:val="0"/>
        <w:spacing w:before="280" w:lineRule="auto"/>
        <w:rPr>
          <w:b w:val="1"/>
          <w:bCs w:val="1"/>
          <w:color w:val="000000"/>
          <w:sz w:val="22"/>
          <w:szCs w:val="22"/>
        </w:rPr>
      </w:pPr>
      <w:bookmarkStart w:colFirst="0" w:colLast="0" w:name="_7zx8ac5vk3io" w:id="26"/>
      <w:bookmarkEnd w:id="26"/>
      <w:r w:rsidDel="00000000" w:rsidR="00000000" w:rsidRPr="00000000">
        <w:rPr>
          <w:b w:val="1"/>
          <w:bCs w:val="1"/>
          <w:color w:val="000000"/>
          <w:sz w:val="22"/>
          <w:szCs w:val="22"/>
          <w:rtl w:val="0"/>
        </w:rPr>
        <w:t xml:space="preserve">6.2.5 Scenario S4: Provider Cost Inflation</w:t>
      </w:r>
    </w:p>
    <w:p w:rsidR="00000000" w:rsidDel="00000000" w:rsidP="00000000" w:rsidRDefault="00000000" w:rsidRPr="00000000" w14:paraId="000000D0">
      <w:pPr>
        <w:spacing w:after="240" w:before="240" w:lineRule="auto"/>
        <w:rPr/>
      </w:pPr>
      <w:r w:rsidDel="00000000" w:rsidR="00000000" w:rsidRPr="00000000">
        <w:rPr>
          <w:rtl w:val="0"/>
        </w:rPr>
        <w:t xml:space="preserve">The provider cost inflation scenario models increases in operating expenses, such as energy prices, maintenance costs, or regulatory compliance burdens. This scenario isolates supply-side stress independent of demand or market conditions.</w:t>
      </w:r>
    </w:p>
    <w:p w:rsidR="00000000" w:rsidDel="00000000" w:rsidP="00000000" w:rsidRDefault="00000000" w:rsidRPr="00000000" w14:paraId="000000D1">
      <w:pPr>
        <w:spacing w:after="240" w:before="240" w:lineRule="auto"/>
        <w:rPr/>
      </w:pPr>
      <w:r w:rsidDel="00000000" w:rsidR="00000000" w:rsidRPr="00000000">
        <w:rPr>
          <w:rtl w:val="0"/>
        </w:rPr>
        <w:t xml:space="preserve">Implementation:</w:t>
      </w:r>
    </w:p>
    <w:p w:rsidR="00000000" w:rsidDel="00000000" w:rsidP="00000000" w:rsidRDefault="00000000" w:rsidRPr="00000000" w14:paraId="000000D2">
      <w:pPr>
        <w:numPr>
          <w:ilvl w:val="0"/>
          <w:numId w:val="14"/>
        </w:numPr>
        <w:spacing w:after="0" w:afterAutospacing="0" w:before="240" w:lineRule="auto"/>
        <w:ind w:left="720" w:hanging="360"/>
        <w:rPr/>
      </w:pPr>
      <w:r w:rsidDel="00000000" w:rsidR="00000000" w:rsidRPr="00000000">
        <w:rPr>
          <w:rtl w:val="0"/>
        </w:rPr>
        <w:t xml:space="preserve">Provider operating costs are increased uniformly or by tier.</w:t>
        <w:br w:type="textWrapping"/>
      </w:r>
    </w:p>
    <w:p w:rsidR="00000000" w:rsidDel="00000000" w:rsidP="00000000" w:rsidRDefault="00000000" w:rsidRPr="00000000" w14:paraId="000000D3">
      <w:pPr>
        <w:numPr>
          <w:ilvl w:val="0"/>
          <w:numId w:val="14"/>
        </w:numPr>
        <w:spacing w:after="0" w:afterAutospacing="0" w:before="0" w:beforeAutospacing="0" w:lineRule="auto"/>
        <w:ind w:left="720" w:hanging="360"/>
        <w:rPr/>
      </w:pPr>
      <w:r w:rsidDel="00000000" w:rsidR="00000000" w:rsidRPr="00000000">
        <w:rPr>
          <w:rtl w:val="0"/>
        </w:rPr>
        <w:t xml:space="preserve">Tokenomic parameters remain unchanged.</w:t>
        <w:br w:type="textWrapping"/>
      </w:r>
    </w:p>
    <w:p w:rsidR="00000000" w:rsidDel="00000000" w:rsidP="00000000" w:rsidRDefault="00000000" w:rsidRPr="00000000" w14:paraId="000000D4">
      <w:pPr>
        <w:numPr>
          <w:ilvl w:val="0"/>
          <w:numId w:val="14"/>
        </w:numPr>
        <w:spacing w:after="240" w:before="0" w:beforeAutospacing="0" w:lineRule="auto"/>
        <w:ind w:left="720" w:hanging="360"/>
        <w:rPr/>
      </w:pPr>
      <w:r w:rsidDel="00000000" w:rsidR="00000000" w:rsidRPr="00000000">
        <w:rPr>
          <w:rtl w:val="0"/>
        </w:rPr>
        <w:t xml:space="preserve">Demand and price regimes follow baseline assumptions.</w:t>
        <w:br w:type="textWrapping"/>
      </w:r>
    </w:p>
    <w:p w:rsidR="00000000" w:rsidDel="00000000" w:rsidP="00000000" w:rsidRDefault="00000000" w:rsidRPr="00000000" w14:paraId="000000D5">
      <w:pPr>
        <w:spacing w:after="240" w:before="240" w:lineRule="auto"/>
        <w:rPr/>
      </w:pPr>
      <w:r w:rsidDel="00000000" w:rsidR="00000000" w:rsidRPr="00000000">
        <w:rPr>
          <w:rtl w:val="0"/>
        </w:rPr>
        <w:t xml:space="preserve">Analytical focus:</w:t>
      </w:r>
    </w:p>
    <w:p w:rsidR="00000000" w:rsidDel="00000000" w:rsidP="00000000" w:rsidRDefault="00000000" w:rsidRPr="00000000" w14:paraId="000000D6">
      <w:pPr>
        <w:numPr>
          <w:ilvl w:val="0"/>
          <w:numId w:val="7"/>
        </w:numPr>
        <w:spacing w:after="0" w:afterAutospacing="0" w:before="240" w:lineRule="auto"/>
        <w:ind w:left="720" w:hanging="360"/>
        <w:rPr/>
      </w:pPr>
      <w:r w:rsidDel="00000000" w:rsidR="00000000" w:rsidRPr="00000000">
        <w:rPr>
          <w:rtl w:val="0"/>
        </w:rPr>
        <w:t xml:space="preserve">Margin compression at the provider level.</w:t>
        <w:br w:type="textWrapping"/>
      </w:r>
    </w:p>
    <w:p w:rsidR="00000000" w:rsidDel="00000000" w:rsidP="00000000" w:rsidRDefault="00000000" w:rsidRPr="00000000" w14:paraId="000000D7">
      <w:pPr>
        <w:numPr>
          <w:ilvl w:val="0"/>
          <w:numId w:val="7"/>
        </w:numPr>
        <w:spacing w:after="0" w:afterAutospacing="0" w:before="0" w:beforeAutospacing="0" w:lineRule="auto"/>
        <w:ind w:left="720" w:hanging="360"/>
        <w:rPr/>
      </w:pPr>
      <w:r w:rsidDel="00000000" w:rsidR="00000000" w:rsidRPr="00000000">
        <w:rPr>
          <w:rtl w:val="0"/>
        </w:rPr>
        <w:t xml:space="preserve">Differential effects across provider types.</w:t>
        <w:br w:type="textWrapping"/>
      </w:r>
    </w:p>
    <w:p w:rsidR="00000000" w:rsidDel="00000000" w:rsidP="00000000" w:rsidRDefault="00000000" w:rsidRPr="00000000" w14:paraId="000000D8">
      <w:pPr>
        <w:numPr>
          <w:ilvl w:val="0"/>
          <w:numId w:val="7"/>
        </w:numPr>
        <w:spacing w:after="240" w:before="0" w:beforeAutospacing="0" w:lineRule="auto"/>
        <w:ind w:left="720" w:hanging="360"/>
        <w:rPr/>
      </w:pPr>
      <w:r w:rsidDel="00000000" w:rsidR="00000000" w:rsidRPr="00000000">
        <w:rPr>
          <w:rtl w:val="0"/>
        </w:rPr>
        <w:t xml:space="preserve">Early indicators of infrastructure attrition driven by cost pressure.</w:t>
        <w:br w:type="textWrapping"/>
      </w:r>
    </w:p>
    <w:p w:rsidR="00000000" w:rsidDel="00000000" w:rsidP="00000000" w:rsidRDefault="00000000" w:rsidRPr="00000000" w14:paraId="000000D9">
      <w:pPr>
        <w:pStyle w:val="Heading3"/>
        <w:keepNext w:val="0"/>
        <w:keepLines w:val="0"/>
        <w:spacing w:before="280" w:lineRule="auto"/>
        <w:rPr>
          <w:b w:val="1"/>
          <w:bCs w:val="1"/>
          <w:color w:val="000000"/>
          <w:sz w:val="22"/>
          <w:szCs w:val="22"/>
        </w:rPr>
      </w:pPr>
      <w:bookmarkStart w:colFirst="0" w:colLast="0" w:name="_w88uxu4rnfv0" w:id="27"/>
      <w:bookmarkEnd w:id="27"/>
      <w:r w:rsidDel="00000000" w:rsidR="00000000" w:rsidRPr="00000000">
        <w:rPr>
          <w:b w:val="1"/>
          <w:bCs w:val="1"/>
          <w:color w:val="000000"/>
          <w:sz w:val="22"/>
          <w:szCs w:val="22"/>
          <w:rtl w:val="0"/>
        </w:rPr>
        <w:t xml:space="preserve">6.2.6 Execution and Comparability</w:t>
      </w:r>
    </w:p>
    <w:p w:rsidR="00000000" w:rsidDel="00000000" w:rsidP="00000000" w:rsidRDefault="00000000" w:rsidRPr="00000000" w14:paraId="000000DA">
      <w:pPr>
        <w:spacing w:after="240" w:before="240" w:lineRule="auto"/>
        <w:rPr/>
      </w:pPr>
      <w:r w:rsidDel="00000000" w:rsidR="00000000" w:rsidRPr="00000000">
        <w:rPr>
          <w:rtl w:val="0"/>
        </w:rPr>
        <w:t xml:space="preserve">All stress scenarios are executed using the same Monte Carlo structure as the baseline, with identical simulation counts, time horizons, and seed strategies. This ensures that observed differences between scenarios and baseline trajectories are attributable to scenario-specific inputs rather than to stochastic artifacts or configuration drift.</w:t>
      </w:r>
    </w:p>
    <w:p w:rsidR="00000000" w:rsidDel="00000000" w:rsidP="00000000" w:rsidRDefault="00000000" w:rsidRPr="00000000" w14:paraId="000000DB">
      <w:pPr>
        <w:spacing w:after="240" w:before="240" w:lineRule="auto"/>
        <w:rPr/>
      </w:pPr>
      <w:r w:rsidDel="00000000" w:rsidR="00000000" w:rsidRPr="00000000">
        <w:rPr>
          <w:rtl w:val="0"/>
        </w:rPr>
        <w:t xml:space="preserve">Scenario outputs are recorded using the same metric set and data structures as baseline simulations. This enables direct comparison across scenarios and supports consistent visualization and statistical summarization in subsequent sections.</w:t>
      </w:r>
    </w:p>
    <w:p w:rsidR="00000000" w:rsidDel="00000000" w:rsidP="00000000" w:rsidRDefault="00000000" w:rsidRPr="00000000" w14:paraId="000000DC">
      <w:pPr>
        <w:pStyle w:val="Heading2"/>
        <w:keepNext w:val="0"/>
        <w:keepLines w:val="0"/>
        <w:spacing w:after="80" w:lineRule="auto"/>
        <w:rPr>
          <w:b w:val="1"/>
          <w:bCs w:val="1"/>
          <w:sz w:val="22"/>
          <w:szCs w:val="22"/>
        </w:rPr>
      </w:pPr>
      <w:bookmarkStart w:colFirst="0" w:colLast="0" w:name="_r7h4vqlxirxg" w:id="28"/>
      <w:bookmarkEnd w:id="28"/>
      <w:r w:rsidDel="00000000" w:rsidR="00000000" w:rsidRPr="00000000">
        <w:rPr>
          <w:b w:val="1"/>
          <w:bCs w:val="1"/>
          <w:sz w:val="22"/>
          <w:szCs w:val="22"/>
          <w:rtl w:val="0"/>
        </w:rPr>
        <w:t xml:space="preserve">6.3 Stress Scenario Results (Comparative Outcomes)</w:t>
      </w:r>
    </w:p>
    <w:p w:rsidR="00000000" w:rsidDel="00000000" w:rsidP="00000000" w:rsidRDefault="00000000" w:rsidRPr="00000000" w14:paraId="000000DD">
      <w:pPr>
        <w:spacing w:after="240" w:before="240" w:lineRule="auto"/>
        <w:rPr/>
      </w:pPr>
      <w:r w:rsidDel="00000000" w:rsidR="00000000" w:rsidRPr="00000000">
        <w:rPr>
          <w:rtl w:val="0"/>
        </w:rPr>
        <w:t xml:space="preserve">This section reports the observed outcomes of the stress scenarios defined in Section 6.3. Results are presented as deviations from the neutral baseline trajectories established in Section 6.2. The focus is on </w:t>
      </w:r>
      <w:r w:rsidDel="00000000" w:rsidR="00000000" w:rsidRPr="00000000">
        <w:rPr>
          <w:i w:val="1"/>
          <w:iCs w:val="1"/>
          <w:rtl w:val="0"/>
        </w:rPr>
        <w:t xml:space="preserve">what changes</w:t>
      </w:r>
      <w:r w:rsidDel="00000000" w:rsidR="00000000" w:rsidRPr="00000000">
        <w:rPr>
          <w:rtl w:val="0"/>
        </w:rPr>
        <w:t xml:space="preserve">, </w:t>
      </w:r>
      <w:r w:rsidDel="00000000" w:rsidR="00000000" w:rsidRPr="00000000">
        <w:rPr>
          <w:i w:val="1"/>
          <w:iCs w:val="1"/>
          <w:rtl w:val="0"/>
        </w:rPr>
        <w:t xml:space="preserve">when changes occur</w:t>
      </w:r>
      <w:r w:rsidDel="00000000" w:rsidR="00000000" w:rsidRPr="00000000">
        <w:rPr>
          <w:rtl w:val="0"/>
        </w:rPr>
        <w:t xml:space="preserve">, and </w:t>
      </w:r>
      <w:r w:rsidDel="00000000" w:rsidR="00000000" w:rsidRPr="00000000">
        <w:rPr>
          <w:i w:val="1"/>
          <w:iCs w:val="1"/>
          <w:rtl w:val="0"/>
        </w:rPr>
        <w:t xml:space="preserve">which metrics are affected</w:t>
      </w:r>
      <w:r w:rsidDel="00000000" w:rsidR="00000000" w:rsidRPr="00000000">
        <w:rPr>
          <w:rtl w:val="0"/>
        </w:rPr>
        <w:t xml:space="preserve">, without attributing causality or normative judgment. Interpretation of these outcomes is deferred to subsequent sections.</w:t>
      </w:r>
    </w:p>
    <w:p w:rsidR="00000000" w:rsidDel="00000000" w:rsidP="00000000" w:rsidRDefault="00000000" w:rsidRPr="00000000" w14:paraId="000000DE">
      <w:pPr>
        <w:spacing w:after="240" w:before="240" w:lineRule="auto"/>
        <w:rPr/>
      </w:pPr>
      <w:r w:rsidDel="00000000" w:rsidR="00000000" w:rsidRPr="00000000">
        <w:rPr>
          <w:rtl w:val="0"/>
        </w:rPr>
        <w:t xml:space="preserve">All results are aggregated across 100 Monte Carlo simulations per protocol profile. Unless stated otherwise, reported trajectories refer to median values, with interquartile ranges (p25–p75) used to illustrate dispersion where relevant.</w:t>
      </w:r>
    </w:p>
    <w:p w:rsidR="00000000" w:rsidDel="00000000" w:rsidP="00000000" w:rsidRDefault="00000000" w:rsidRPr="00000000" w14:paraId="000000DF">
      <w:pPr>
        <w:pStyle w:val="Heading3"/>
        <w:keepNext w:val="0"/>
        <w:keepLines w:val="0"/>
        <w:spacing w:before="280" w:lineRule="auto"/>
        <w:rPr>
          <w:b w:val="1"/>
          <w:bCs w:val="1"/>
          <w:color w:val="000000"/>
          <w:sz w:val="22"/>
          <w:szCs w:val="22"/>
        </w:rPr>
      </w:pPr>
      <w:bookmarkStart w:colFirst="0" w:colLast="0" w:name="_m2fc1jlb7gcl" w:id="29"/>
      <w:bookmarkEnd w:id="29"/>
      <w:r w:rsidDel="00000000" w:rsidR="00000000" w:rsidRPr="00000000">
        <w:rPr>
          <w:b w:val="1"/>
          <w:bCs w:val="1"/>
          <w:color w:val="000000"/>
          <w:sz w:val="22"/>
          <w:szCs w:val="22"/>
          <w:rtl w:val="0"/>
        </w:rPr>
        <w:t xml:space="preserve">6.3.1 Demand Contraction Scenario</w:t>
      </w:r>
    </w:p>
    <w:p w:rsidR="00000000" w:rsidDel="00000000" w:rsidP="00000000" w:rsidRDefault="00000000" w:rsidRPr="00000000" w14:paraId="000000E0">
      <w:pPr>
        <w:spacing w:after="240" w:before="240" w:lineRule="auto"/>
        <w:rPr/>
      </w:pPr>
      <w:r w:rsidDel="00000000" w:rsidR="00000000" w:rsidRPr="00000000">
        <w:rPr>
          <w:rtl w:val="0"/>
        </w:rPr>
        <w:t xml:space="preserve">Under demand contraction, all protocol profiles exhibit a measurable decline in utilization, followed by a widening divergence between token emissions and realized burns. This effect manifests earliest in metrics directly tied to service usage, including demand served, utilization rate, and burn-derived revenue.</w:t>
      </w:r>
    </w:p>
    <w:p w:rsidR="00000000" w:rsidDel="00000000" w:rsidP="00000000" w:rsidRDefault="00000000" w:rsidRPr="00000000" w14:paraId="000000E1">
      <w:pPr>
        <w:spacing w:after="240" w:before="240" w:lineRule="auto"/>
        <w:rPr/>
      </w:pPr>
      <w:r w:rsidDel="00000000" w:rsidR="00000000" w:rsidRPr="00000000">
        <w:rPr>
          <w:rtl w:val="0"/>
        </w:rPr>
        <w:t xml:space="preserve">Across profiles, reduced utilization leads to lower average provider revenue while emissions continue according to protocol-specific schedules. As a result, the burn-to-emission ratio declines relative to baseline, particularly in protocols with fixed or weakly demand-linked emission logic. Provider counts remain initially stable but begin to diverge from baseline trajectories as profitability thresholds are breached for marginal providers.</w:t>
      </w:r>
    </w:p>
    <w:p w:rsidR="00000000" w:rsidDel="00000000" w:rsidP="00000000" w:rsidRDefault="00000000" w:rsidRPr="00000000" w14:paraId="000000E2">
      <w:pPr>
        <w:spacing w:after="240" w:before="240" w:lineRule="auto"/>
        <w:rPr/>
      </w:pPr>
      <w:r w:rsidDel="00000000" w:rsidR="00000000" w:rsidRPr="00000000">
        <w:rPr>
          <w:rtl w:val="0"/>
        </w:rPr>
        <w:t xml:space="preserve">Dispersion across simulations increases over time for provider-level metrics such as average provider profit and churn counts, indicating sensitivity to heterogeneous cost structures even under identical demand trajectories.</w:t>
      </w:r>
    </w:p>
    <w:p w:rsidR="00000000" w:rsidDel="00000000" w:rsidP="00000000" w:rsidRDefault="00000000" w:rsidRPr="00000000" w14:paraId="000000E3">
      <w:pPr>
        <w:pStyle w:val="Heading3"/>
        <w:keepNext w:val="0"/>
        <w:keepLines w:val="0"/>
        <w:spacing w:before="280" w:lineRule="auto"/>
        <w:rPr>
          <w:b w:val="1"/>
          <w:bCs w:val="1"/>
          <w:color w:val="000000"/>
          <w:sz w:val="22"/>
          <w:szCs w:val="22"/>
        </w:rPr>
      </w:pPr>
      <w:bookmarkStart w:colFirst="0" w:colLast="0" w:name="_5uf6fygmaz15" w:id="30"/>
      <w:bookmarkEnd w:id="30"/>
      <w:r w:rsidDel="00000000" w:rsidR="00000000" w:rsidRPr="00000000">
        <w:rPr>
          <w:b w:val="1"/>
          <w:bCs w:val="1"/>
          <w:color w:val="000000"/>
          <w:sz w:val="22"/>
          <w:szCs w:val="22"/>
          <w:rtl w:val="0"/>
        </w:rPr>
        <w:t xml:space="preserve">6.3.2 Liquidity Shock Scenario</w:t>
      </w:r>
    </w:p>
    <w:p w:rsidR="00000000" w:rsidDel="00000000" w:rsidP="00000000" w:rsidRDefault="00000000" w:rsidRPr="00000000" w14:paraId="000000E4">
      <w:pPr>
        <w:spacing w:after="240" w:before="240" w:lineRule="auto"/>
        <w:rPr/>
      </w:pPr>
      <w:r w:rsidDel="00000000" w:rsidR="00000000" w:rsidRPr="00000000">
        <w:rPr>
          <w:rtl w:val="0"/>
        </w:rPr>
        <w:t xml:space="preserve">The liquidity shock scenario produces immediate and discrete deviations in token price trajectories at the point of the unlock event. The magnitude of the price response varies significantly across protocol profiles, reflecting differences in circulating supply, liquidity depth, and emission rates.</w:t>
      </w:r>
    </w:p>
    <w:p w:rsidR="00000000" w:rsidDel="00000000" w:rsidP="00000000" w:rsidRDefault="00000000" w:rsidRPr="00000000" w14:paraId="000000E5">
      <w:pPr>
        <w:spacing w:after="240" w:before="240" w:lineRule="auto"/>
        <w:rPr/>
      </w:pPr>
      <w:r w:rsidDel="00000000" w:rsidR="00000000" w:rsidRPr="00000000">
        <w:rPr>
          <w:rtl w:val="0"/>
        </w:rPr>
        <w:t xml:space="preserve">Following the shock, secondary effects are observed in provider economics. In profiles where provider rewards are denominated primarily in the native token, reductions in token price translate into compressed real revenue, leading to increased churn in subsequent weeks. This effect is not instantaneous but unfolds with a short lag, corresponding to reward distribution timing and provider decision thresholds.</w:t>
      </w:r>
    </w:p>
    <w:p w:rsidR="00000000" w:rsidDel="00000000" w:rsidP="00000000" w:rsidRDefault="00000000" w:rsidRPr="00000000" w14:paraId="000000E6">
      <w:pPr>
        <w:spacing w:after="240" w:before="240" w:lineRule="auto"/>
        <w:rPr/>
      </w:pPr>
      <w:r w:rsidDel="00000000" w:rsidR="00000000" w:rsidRPr="00000000">
        <w:rPr>
          <w:rtl w:val="0"/>
        </w:rPr>
        <w:t xml:space="preserve">Notably, while price volatility spikes sharply around the unlock event, other metrics such as utilization and capacity remain initially close to baseline. This temporal decoupling highlights the indirect transmission of liquidity stress from token markets to infrastructure participation.</w:t>
      </w:r>
    </w:p>
    <w:p w:rsidR="00000000" w:rsidDel="00000000" w:rsidP="00000000" w:rsidRDefault="00000000" w:rsidRPr="00000000" w14:paraId="000000E7">
      <w:pPr>
        <w:pStyle w:val="Heading3"/>
        <w:keepNext w:val="0"/>
        <w:keepLines w:val="0"/>
        <w:spacing w:before="280" w:lineRule="auto"/>
        <w:rPr>
          <w:b w:val="1"/>
          <w:bCs w:val="1"/>
          <w:color w:val="000000"/>
          <w:sz w:val="22"/>
          <w:szCs w:val="22"/>
        </w:rPr>
      </w:pPr>
      <w:bookmarkStart w:colFirst="0" w:colLast="0" w:name="_thrj0bry2m3" w:id="31"/>
      <w:bookmarkEnd w:id="31"/>
      <w:r w:rsidDel="00000000" w:rsidR="00000000" w:rsidRPr="00000000">
        <w:rPr>
          <w:b w:val="1"/>
          <w:bCs w:val="1"/>
          <w:color w:val="000000"/>
          <w:sz w:val="22"/>
          <w:szCs w:val="22"/>
          <w:rtl w:val="0"/>
        </w:rPr>
        <w:t xml:space="preserve">6.3.3 Competitive Yield Pressure Scenario</w:t>
      </w:r>
    </w:p>
    <w:p w:rsidR="00000000" w:rsidDel="00000000" w:rsidP="00000000" w:rsidRDefault="00000000" w:rsidRPr="00000000" w14:paraId="000000E8">
      <w:pPr>
        <w:spacing w:after="240" w:before="240" w:lineRule="auto"/>
        <w:rPr/>
      </w:pPr>
      <w:r w:rsidDel="00000000" w:rsidR="00000000" w:rsidRPr="00000000">
        <w:rPr>
          <w:rtl w:val="0"/>
        </w:rPr>
        <w:t xml:space="preserve">When external yield pressure is introduced, provider participation becomes more elastic across all evaluated profiles. The most pronounced effects are observed in provider churn metrics rather than in price or utilization measures.</w:t>
      </w:r>
    </w:p>
    <w:p w:rsidR="00000000" w:rsidDel="00000000" w:rsidP="00000000" w:rsidRDefault="00000000" w:rsidRPr="00000000" w14:paraId="000000E9">
      <w:pPr>
        <w:spacing w:after="240" w:before="240" w:lineRule="auto"/>
        <w:rPr/>
      </w:pPr>
      <w:r w:rsidDel="00000000" w:rsidR="00000000" w:rsidRPr="00000000">
        <w:rPr>
          <w:rtl w:val="0"/>
        </w:rPr>
        <w:t xml:space="preserve">Provider exit accelerates in profiles where baseline profitability margins are narrow, while protocols with higher average provider surplus show greater resistance. The dispersion of outcomes across simulations increases markedly, indicating that small differences in provider economics can lead to divergent participation trajectories under competitive pressure.</w:t>
      </w:r>
    </w:p>
    <w:p w:rsidR="00000000" w:rsidDel="00000000" w:rsidP="00000000" w:rsidRDefault="00000000" w:rsidRPr="00000000" w14:paraId="000000EA">
      <w:pPr>
        <w:spacing w:after="240" w:before="240" w:lineRule="auto"/>
        <w:rPr/>
      </w:pPr>
      <w:r w:rsidDel="00000000" w:rsidR="00000000" w:rsidRPr="00000000">
        <w:rPr>
          <w:rtl w:val="0"/>
        </w:rPr>
        <w:t xml:space="preserve">Unlike liquidity shocks, competitive yield pressure does not produce abrupt discontinuities in token price or supply. Instead, its effects accumulate gradually, primarily through sustained differences in provider retention relative to baseline.</w:t>
      </w:r>
    </w:p>
    <w:p w:rsidR="00000000" w:rsidDel="00000000" w:rsidP="00000000" w:rsidRDefault="00000000" w:rsidRPr="00000000" w14:paraId="000000EB">
      <w:pPr>
        <w:pStyle w:val="Heading3"/>
        <w:keepNext w:val="0"/>
        <w:keepLines w:val="0"/>
        <w:spacing w:before="280" w:lineRule="auto"/>
        <w:rPr>
          <w:b w:val="1"/>
          <w:bCs w:val="1"/>
          <w:color w:val="000000"/>
          <w:sz w:val="22"/>
          <w:szCs w:val="22"/>
        </w:rPr>
      </w:pPr>
      <w:bookmarkStart w:colFirst="0" w:colLast="0" w:name="_ipkja5o2bhh5" w:id="32"/>
      <w:bookmarkEnd w:id="32"/>
      <w:r w:rsidDel="00000000" w:rsidR="00000000" w:rsidRPr="00000000">
        <w:rPr>
          <w:b w:val="1"/>
          <w:bCs w:val="1"/>
          <w:color w:val="000000"/>
          <w:sz w:val="22"/>
          <w:szCs w:val="22"/>
          <w:rtl w:val="0"/>
        </w:rPr>
        <w:t xml:space="preserve">6.3.4 Provider Cost Inflation Scenario</w:t>
      </w:r>
    </w:p>
    <w:p w:rsidR="00000000" w:rsidDel="00000000" w:rsidP="00000000" w:rsidRDefault="00000000" w:rsidRPr="00000000" w14:paraId="000000EC">
      <w:pPr>
        <w:spacing w:after="240" w:before="240" w:lineRule="auto"/>
        <w:rPr/>
      </w:pPr>
      <w:r w:rsidDel="00000000" w:rsidR="00000000" w:rsidRPr="00000000">
        <w:rPr>
          <w:rtl w:val="0"/>
        </w:rPr>
        <w:t xml:space="preserve">Provider cost inflation directly impacts average provider profit across all protocol profiles. Increases in operating costs reduce margins uniformly, but downstream effects vary depending on reward structure and provider heterogeneity.</w:t>
      </w:r>
    </w:p>
    <w:p w:rsidR="00000000" w:rsidDel="00000000" w:rsidP="00000000" w:rsidRDefault="00000000" w:rsidRPr="00000000" w14:paraId="000000ED">
      <w:pPr>
        <w:spacing w:after="240" w:before="240" w:lineRule="auto"/>
        <w:rPr/>
      </w:pPr>
      <w:r w:rsidDel="00000000" w:rsidR="00000000" w:rsidRPr="00000000">
        <w:rPr>
          <w:rtl w:val="0"/>
        </w:rPr>
        <w:t xml:space="preserve">In several profiles, median provider profit crosses below zero earlier than under other stress scenarios, leading to persistent negative profitability even in the absence of price shocks or demand contraction. Churn metrics respond accordingly, with elevated exit rates observed once cost thresholds are exceeded.</w:t>
      </w:r>
    </w:p>
    <w:p w:rsidR="00000000" w:rsidDel="00000000" w:rsidP="00000000" w:rsidRDefault="00000000" w:rsidRPr="00000000" w14:paraId="000000EE">
      <w:pPr>
        <w:spacing w:after="240" w:before="240" w:lineRule="auto"/>
        <w:rPr/>
      </w:pPr>
      <w:r w:rsidDel="00000000" w:rsidR="00000000" w:rsidRPr="00000000">
        <w:rPr>
          <w:rtl w:val="0"/>
        </w:rPr>
        <w:t xml:space="preserve">Importantly, capacity and utilization do not decline immediately in this scenario. Instead, reductions in active providers precede observable changes in service capacity, indicating a lag between economic stress and infrastructure degradation.</w:t>
      </w:r>
    </w:p>
    <w:p w:rsidR="00000000" w:rsidDel="00000000" w:rsidP="00000000" w:rsidRDefault="00000000" w:rsidRPr="00000000" w14:paraId="000000EF">
      <w:pPr>
        <w:pStyle w:val="Heading3"/>
        <w:keepNext w:val="0"/>
        <w:keepLines w:val="0"/>
        <w:spacing w:before="280" w:lineRule="auto"/>
        <w:rPr>
          <w:b w:val="1"/>
          <w:bCs w:val="1"/>
          <w:color w:val="000000"/>
          <w:sz w:val="22"/>
          <w:szCs w:val="22"/>
        </w:rPr>
      </w:pPr>
      <w:bookmarkStart w:colFirst="0" w:colLast="0" w:name="_k7h5fsdcx93c" w:id="33"/>
      <w:bookmarkEnd w:id="33"/>
      <w:r w:rsidDel="00000000" w:rsidR="00000000" w:rsidRPr="00000000">
        <w:rPr>
          <w:b w:val="1"/>
          <w:bCs w:val="1"/>
          <w:color w:val="000000"/>
          <w:sz w:val="22"/>
          <w:szCs w:val="22"/>
          <w:rtl w:val="0"/>
        </w:rPr>
        <w:t xml:space="preserve">6.3.5 Cross-Scenario Comparison</w:t>
      </w:r>
    </w:p>
    <w:p w:rsidR="00000000" w:rsidDel="00000000" w:rsidP="00000000" w:rsidRDefault="00000000" w:rsidRPr="00000000" w14:paraId="000000F0">
      <w:pPr>
        <w:spacing w:after="240" w:before="240" w:lineRule="auto"/>
        <w:rPr/>
      </w:pPr>
      <w:r w:rsidDel="00000000" w:rsidR="00000000" w:rsidRPr="00000000">
        <w:rPr>
          <w:rtl w:val="0"/>
        </w:rPr>
        <w:t xml:space="preserve">Comparing across stress scenarios reveals distinct temporal and metric-specific signatures:</w:t>
      </w:r>
    </w:p>
    <w:p w:rsidR="00000000" w:rsidDel="00000000" w:rsidP="00000000" w:rsidRDefault="00000000" w:rsidRPr="00000000" w14:paraId="000000F1">
      <w:pPr>
        <w:numPr>
          <w:ilvl w:val="0"/>
          <w:numId w:val="4"/>
        </w:numPr>
        <w:spacing w:after="0" w:afterAutospacing="0" w:before="240" w:lineRule="auto"/>
        <w:ind w:left="720" w:hanging="360"/>
        <w:rPr/>
      </w:pPr>
      <w:r w:rsidDel="00000000" w:rsidR="00000000" w:rsidRPr="00000000">
        <w:rPr>
          <w:rtl w:val="0"/>
        </w:rPr>
        <w:t xml:space="preserve">Demand contraction primarily affects burn-linked metrics and utilization.</w:t>
        <w:br w:type="textWrapping"/>
      </w:r>
    </w:p>
    <w:p w:rsidR="00000000" w:rsidDel="00000000" w:rsidP="00000000" w:rsidRDefault="00000000" w:rsidRPr="00000000" w14:paraId="000000F2">
      <w:pPr>
        <w:numPr>
          <w:ilvl w:val="0"/>
          <w:numId w:val="4"/>
        </w:numPr>
        <w:spacing w:after="0" w:afterAutospacing="0" w:before="0" w:beforeAutospacing="0" w:lineRule="auto"/>
        <w:ind w:left="720" w:hanging="360"/>
        <w:rPr/>
      </w:pPr>
      <w:r w:rsidDel="00000000" w:rsidR="00000000" w:rsidRPr="00000000">
        <w:rPr>
          <w:rtl w:val="0"/>
        </w:rPr>
        <w:t xml:space="preserve">Liquidity shocks propagate rapidly through price metrics before affecting provider participation.</w:t>
        <w:br w:type="textWrapping"/>
      </w:r>
    </w:p>
    <w:p w:rsidR="00000000" w:rsidDel="00000000" w:rsidP="00000000" w:rsidRDefault="00000000" w:rsidRPr="00000000" w14:paraId="000000F3">
      <w:pPr>
        <w:numPr>
          <w:ilvl w:val="0"/>
          <w:numId w:val="4"/>
        </w:numPr>
        <w:spacing w:after="0" w:afterAutospacing="0" w:before="0" w:beforeAutospacing="0" w:lineRule="auto"/>
        <w:ind w:left="720" w:hanging="360"/>
        <w:rPr/>
      </w:pPr>
      <w:r w:rsidDel="00000000" w:rsidR="00000000" w:rsidRPr="00000000">
        <w:rPr>
          <w:rtl w:val="0"/>
        </w:rPr>
        <w:t xml:space="preserve">Competitive yield pressure manifests as gradual erosion of provider counts.</w:t>
        <w:br w:type="textWrapping"/>
      </w:r>
    </w:p>
    <w:p w:rsidR="00000000" w:rsidDel="00000000" w:rsidP="00000000" w:rsidRDefault="00000000" w:rsidRPr="00000000" w14:paraId="000000F4">
      <w:pPr>
        <w:numPr>
          <w:ilvl w:val="0"/>
          <w:numId w:val="4"/>
        </w:numPr>
        <w:spacing w:after="240" w:before="0" w:beforeAutospacing="0" w:lineRule="auto"/>
        <w:ind w:left="720" w:hanging="360"/>
        <w:rPr/>
      </w:pPr>
      <w:r w:rsidDel="00000000" w:rsidR="00000000" w:rsidRPr="00000000">
        <w:rPr>
          <w:rtl w:val="0"/>
        </w:rPr>
        <w:t xml:space="preserve">Cost inflation exerts sustained pressure on provider profitability with delayed capacity effects.</w:t>
        <w:br w:type="textWrapping"/>
      </w:r>
    </w:p>
    <w:p w:rsidR="00000000" w:rsidDel="00000000" w:rsidP="00000000" w:rsidRDefault="00000000" w:rsidRPr="00000000" w14:paraId="000000F5">
      <w:pPr>
        <w:spacing w:after="240" w:before="240" w:lineRule="auto"/>
        <w:rPr/>
      </w:pPr>
      <w:r w:rsidDel="00000000" w:rsidR="00000000" w:rsidRPr="00000000">
        <w:rPr>
          <w:rtl w:val="0"/>
        </w:rPr>
        <w:t xml:space="preserve">Across all scenarios, deviations from baseline trajectories are most pronounced in provider-level metrics, while aggregate supply and emission variables tend to remain closer to baseline unless explicitly modified by the scenario.</w:t>
      </w:r>
    </w:p>
    <w:p w:rsidR="00000000" w:rsidDel="00000000" w:rsidP="00000000" w:rsidRDefault="00000000" w:rsidRPr="00000000" w14:paraId="000000F6">
      <w:pPr>
        <w:spacing w:after="240" w:before="240" w:lineRule="auto"/>
        <w:rPr/>
      </w:pPr>
      <w:r w:rsidDel="00000000" w:rsidR="00000000" w:rsidRPr="00000000">
        <w:rPr>
          <w:rtl w:val="0"/>
        </w:rPr>
        <w:t xml:space="preserve">These observed patterns form the empirical basis for identifying recurring failure modes in DePIN tokenomic systems, which are formalized in the following section.</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22"/>
          <w:szCs w:val="22"/>
        </w:rPr>
      </w:pPr>
      <w:bookmarkStart w:colFirst="0" w:colLast="0" w:name="_lo02z8e102a4" w:id="34"/>
      <w:bookmarkEnd w:id="34"/>
      <w:r w:rsidDel="00000000" w:rsidR="00000000" w:rsidRPr="00000000">
        <w:rPr>
          <w:b w:val="1"/>
          <w:bCs w:val="1"/>
          <w:sz w:val="22"/>
          <w:szCs w:val="22"/>
          <w:rtl w:val="0"/>
        </w:rPr>
        <w:t xml:space="preserve">6.4 Failure Modes Observed (Operational Definitions)</w:t>
      </w:r>
    </w:p>
    <w:p w:rsidR="00000000" w:rsidDel="00000000" w:rsidP="00000000" w:rsidRDefault="00000000" w:rsidRPr="00000000" w14:paraId="000000F9">
      <w:pPr>
        <w:spacing w:after="240" w:before="240" w:lineRule="auto"/>
        <w:rPr/>
      </w:pPr>
      <w:r w:rsidDel="00000000" w:rsidR="00000000" w:rsidRPr="00000000">
        <w:rPr>
          <w:rtl w:val="0"/>
        </w:rPr>
        <w:t xml:space="preserve">This section formalizes the recurring failure modes observed across stress scenarios by defining them in operational, measurable terms. Failure modes are not treated as binary outcomes or protocol-level judgments. Instead, they are defined as </w:t>
      </w:r>
      <w:r w:rsidDel="00000000" w:rsidR="00000000" w:rsidRPr="00000000">
        <w:rPr>
          <w:i w:val="1"/>
          <w:iCs w:val="1"/>
          <w:rtl w:val="0"/>
        </w:rPr>
        <w:t xml:space="preserve">patterns of metric behavior</w:t>
      </w:r>
      <w:r w:rsidDel="00000000" w:rsidR="00000000" w:rsidRPr="00000000">
        <w:rPr>
          <w:rtl w:val="0"/>
        </w:rPr>
        <w:t xml:space="preserve"> that emerge consistently under specific adverse conditions and indicate increasing fragility in the incentive system.</w:t>
      </w:r>
    </w:p>
    <w:p w:rsidR="00000000" w:rsidDel="00000000" w:rsidP="00000000" w:rsidRDefault="00000000" w:rsidRPr="00000000" w14:paraId="000000FA">
      <w:pPr>
        <w:spacing w:after="240" w:before="240" w:lineRule="auto"/>
        <w:rPr/>
      </w:pPr>
      <w:r w:rsidDel="00000000" w:rsidR="00000000" w:rsidRPr="00000000">
        <w:rPr>
          <w:rtl w:val="0"/>
        </w:rPr>
        <w:t xml:space="preserve">Each failure mode is grounded in observable deviations from baseline trajectories and is specified using explicit metric signatures. These definitions provide a common vocabulary for comparing DePIN tokenomic systems and serve as the analytical bridge between empirical results and subsequent implications.</w:t>
      </w:r>
    </w:p>
    <w:p w:rsidR="00000000" w:rsidDel="00000000" w:rsidP="00000000" w:rsidRDefault="00000000" w:rsidRPr="00000000" w14:paraId="000000FB">
      <w:pPr>
        <w:pStyle w:val="Heading3"/>
        <w:keepNext w:val="0"/>
        <w:keepLines w:val="0"/>
        <w:spacing w:before="280" w:lineRule="auto"/>
        <w:rPr>
          <w:b w:val="1"/>
          <w:bCs w:val="1"/>
          <w:color w:val="000000"/>
          <w:sz w:val="22"/>
          <w:szCs w:val="22"/>
        </w:rPr>
      </w:pPr>
      <w:bookmarkStart w:colFirst="0" w:colLast="0" w:name="_qp0u2zm8n9ne" w:id="35"/>
      <w:bookmarkEnd w:id="35"/>
      <w:r w:rsidDel="00000000" w:rsidR="00000000" w:rsidRPr="00000000">
        <w:rPr>
          <w:b w:val="1"/>
          <w:bCs w:val="1"/>
          <w:color w:val="000000"/>
          <w:sz w:val="22"/>
          <w:szCs w:val="22"/>
          <w:rtl w:val="0"/>
        </w:rPr>
        <w:t xml:space="preserve">6.4.1 Reward–Demand Decoupling</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Reward–demand decoupling occurs when token emissions and provider rewards remain elevated relative to realized service demand, resulting in a sustained divergence between minting and burn-linked revenue.</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Operational indicators:</w:t>
      </w:r>
    </w:p>
    <w:p w:rsidR="00000000" w:rsidDel="00000000" w:rsidP="00000000" w:rsidRDefault="00000000" w:rsidRPr="00000000" w14:paraId="000000FE">
      <w:pPr>
        <w:numPr>
          <w:ilvl w:val="0"/>
          <w:numId w:val="12"/>
        </w:numPr>
        <w:spacing w:after="0" w:afterAutospacing="0" w:before="240" w:lineRule="auto"/>
        <w:ind w:left="720" w:hanging="360"/>
        <w:rPr/>
      </w:pPr>
      <w:r w:rsidDel="00000000" w:rsidR="00000000" w:rsidRPr="00000000">
        <w:rPr>
          <w:rtl w:val="0"/>
        </w:rPr>
        <w:t xml:space="preserve">Persistent decline in utilization relative to baseline.</w:t>
        <w:br w:type="textWrapping"/>
      </w:r>
    </w:p>
    <w:p w:rsidR="00000000" w:rsidDel="00000000" w:rsidP="00000000" w:rsidRDefault="00000000" w:rsidRPr="00000000" w14:paraId="000000FF">
      <w:pPr>
        <w:numPr>
          <w:ilvl w:val="0"/>
          <w:numId w:val="12"/>
        </w:numPr>
        <w:spacing w:after="0" w:afterAutospacing="0" w:before="0" w:beforeAutospacing="0" w:lineRule="auto"/>
        <w:ind w:left="720" w:hanging="360"/>
        <w:rPr/>
      </w:pPr>
      <w:r w:rsidDel="00000000" w:rsidR="00000000" w:rsidRPr="00000000">
        <w:rPr>
          <w:rtl w:val="0"/>
        </w:rPr>
        <w:t xml:space="preserve">Decreasing burn-to-emission ratio over time.</w:t>
        <w:br w:type="textWrapping"/>
      </w:r>
    </w:p>
    <w:p w:rsidR="00000000" w:rsidDel="00000000" w:rsidP="00000000" w:rsidRDefault="00000000" w:rsidRPr="00000000" w14:paraId="00000100">
      <w:pPr>
        <w:numPr>
          <w:ilvl w:val="0"/>
          <w:numId w:val="12"/>
        </w:numPr>
        <w:spacing w:after="0" w:afterAutospacing="0" w:before="0" w:beforeAutospacing="0" w:lineRule="auto"/>
        <w:ind w:left="720" w:hanging="360"/>
        <w:rPr/>
      </w:pPr>
      <w:r w:rsidDel="00000000" w:rsidR="00000000" w:rsidRPr="00000000">
        <w:rPr>
          <w:rtl w:val="0"/>
        </w:rPr>
        <w:t xml:space="preserve">Stable or increasing emissions despite reduced demand served.</w:t>
        <w:br w:type="textWrapping"/>
      </w:r>
    </w:p>
    <w:p w:rsidR="00000000" w:rsidDel="00000000" w:rsidP="00000000" w:rsidRDefault="00000000" w:rsidRPr="00000000" w14:paraId="00000101">
      <w:pPr>
        <w:numPr>
          <w:ilvl w:val="0"/>
          <w:numId w:val="12"/>
        </w:numPr>
        <w:spacing w:after="240" w:before="0" w:beforeAutospacing="0" w:lineRule="auto"/>
        <w:ind w:left="720" w:hanging="360"/>
        <w:rPr/>
      </w:pPr>
      <w:r w:rsidDel="00000000" w:rsidR="00000000" w:rsidRPr="00000000">
        <w:rPr>
          <w:rtl w:val="0"/>
        </w:rPr>
        <w:t xml:space="preserve">Compression of average provider profit without immediate price collapse.</w:t>
        <w:br w:type="textWrapping"/>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Observed context:</w:t>
        <w:br w:type="textWrapping"/>
      </w:r>
      <w:r w:rsidDel="00000000" w:rsidR="00000000" w:rsidRPr="00000000">
        <w:rPr>
          <w:rtl w:val="0"/>
        </w:rPr>
        <w:t xml:space="preserve"> This pattern is most clearly observed under demand contraction scenarios, where reduced usage does not immediately propagate into lower emissions. The decoupling persists until provider profitability thresholds are crossed, at which point secondary effects such as churn begin to emerge.</w:t>
      </w:r>
    </w:p>
    <w:p w:rsidR="00000000" w:rsidDel="00000000" w:rsidP="00000000" w:rsidRDefault="00000000" w:rsidRPr="00000000" w14:paraId="00000103">
      <w:pPr>
        <w:pStyle w:val="Heading3"/>
        <w:keepNext w:val="0"/>
        <w:keepLines w:val="0"/>
        <w:spacing w:before="280" w:lineRule="auto"/>
        <w:rPr>
          <w:b w:val="1"/>
          <w:bCs w:val="1"/>
          <w:color w:val="000000"/>
          <w:sz w:val="22"/>
          <w:szCs w:val="22"/>
        </w:rPr>
      </w:pPr>
      <w:bookmarkStart w:colFirst="0" w:colLast="0" w:name="_vq1lxun0npa7" w:id="36"/>
      <w:bookmarkEnd w:id="36"/>
      <w:r w:rsidDel="00000000" w:rsidR="00000000" w:rsidRPr="00000000">
        <w:rPr>
          <w:b w:val="1"/>
          <w:bCs w:val="1"/>
          <w:color w:val="000000"/>
          <w:sz w:val="22"/>
          <w:szCs w:val="22"/>
          <w:rtl w:val="0"/>
        </w:rPr>
        <w:t xml:space="preserve">6.4.2 Profitability-Induced Provider Churn</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Profitability-induced provider churn refers to accelerated provider exit driven by sustained negative or marginal profitability, independent of abrupt market shocks.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Operational indicators:</w:t>
      </w:r>
    </w:p>
    <w:p w:rsidR="00000000" w:rsidDel="00000000" w:rsidP="00000000" w:rsidRDefault="00000000" w:rsidRPr="00000000" w14:paraId="00000106">
      <w:pPr>
        <w:numPr>
          <w:ilvl w:val="0"/>
          <w:numId w:val="13"/>
        </w:numPr>
        <w:spacing w:after="0" w:afterAutospacing="0" w:before="240" w:lineRule="auto"/>
        <w:ind w:left="720" w:hanging="360"/>
        <w:rPr/>
      </w:pPr>
      <w:r w:rsidDel="00000000" w:rsidR="00000000" w:rsidRPr="00000000">
        <w:rPr>
          <w:rtl w:val="0"/>
        </w:rPr>
        <w:t xml:space="preserve">Average provider profit crossing below zero for multiple consecutive periods.</w:t>
        <w:br w:type="textWrapping"/>
      </w:r>
    </w:p>
    <w:p w:rsidR="00000000" w:rsidDel="00000000" w:rsidP="00000000" w:rsidRDefault="00000000" w:rsidRPr="00000000" w14:paraId="00000107">
      <w:pPr>
        <w:numPr>
          <w:ilvl w:val="0"/>
          <w:numId w:val="13"/>
        </w:numPr>
        <w:spacing w:after="0" w:afterAutospacing="0" w:before="0" w:beforeAutospacing="0" w:lineRule="auto"/>
        <w:ind w:left="720" w:hanging="360"/>
        <w:rPr/>
      </w:pPr>
      <w:r w:rsidDel="00000000" w:rsidR="00000000" w:rsidRPr="00000000">
        <w:rPr>
          <w:rtl w:val="0"/>
        </w:rPr>
        <w:t xml:space="preserve">Gradual increase in churn count relative to baseline.</w:t>
        <w:br w:type="textWrapping"/>
      </w:r>
    </w:p>
    <w:p w:rsidR="00000000" w:rsidDel="00000000" w:rsidP="00000000" w:rsidRDefault="00000000" w:rsidRPr="00000000" w14:paraId="00000108">
      <w:pPr>
        <w:numPr>
          <w:ilvl w:val="0"/>
          <w:numId w:val="13"/>
        </w:numPr>
        <w:spacing w:after="0" w:afterAutospacing="0" w:before="0" w:beforeAutospacing="0" w:lineRule="auto"/>
        <w:ind w:left="720" w:hanging="360"/>
        <w:rPr/>
      </w:pPr>
      <w:r w:rsidDel="00000000" w:rsidR="00000000" w:rsidRPr="00000000">
        <w:rPr>
          <w:rtl w:val="0"/>
        </w:rPr>
        <w:t xml:space="preserve">Divergence between provider count trajectories and baseline without corresponding demand or price shocks.</w:t>
        <w:br w:type="textWrapping"/>
      </w:r>
    </w:p>
    <w:p w:rsidR="00000000" w:rsidDel="00000000" w:rsidP="00000000" w:rsidRDefault="00000000" w:rsidRPr="00000000" w14:paraId="00000109">
      <w:pPr>
        <w:numPr>
          <w:ilvl w:val="0"/>
          <w:numId w:val="13"/>
        </w:numPr>
        <w:spacing w:after="240" w:before="0" w:beforeAutospacing="0" w:lineRule="auto"/>
        <w:ind w:left="720" w:hanging="360"/>
        <w:rPr/>
      </w:pPr>
      <w:r w:rsidDel="00000000" w:rsidR="00000000" w:rsidRPr="00000000">
        <w:rPr>
          <w:rtl w:val="0"/>
        </w:rPr>
        <w:t xml:space="preserve">Increasing dispersion in provider-level outcomes across simulations.</w:t>
        <w:br w:type="textWrapping"/>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Observed context:</w:t>
        <w:br w:type="textWrapping"/>
      </w:r>
      <w:r w:rsidDel="00000000" w:rsidR="00000000" w:rsidRPr="00000000">
        <w:rPr>
          <w:rtl w:val="0"/>
        </w:rPr>
        <w:t xml:space="preserve"> This failure mode is prominent in provider cost inflation and competitive yield pressure scenarios, where economic pressure accumulates slowly rather than arriving as a discrete event.</w:t>
      </w:r>
    </w:p>
    <w:p w:rsidR="00000000" w:rsidDel="00000000" w:rsidP="00000000" w:rsidRDefault="00000000" w:rsidRPr="00000000" w14:paraId="0000010B">
      <w:pPr>
        <w:pStyle w:val="Heading3"/>
        <w:keepNext w:val="0"/>
        <w:keepLines w:val="0"/>
        <w:spacing w:before="280" w:lineRule="auto"/>
        <w:rPr>
          <w:b w:val="1"/>
          <w:bCs w:val="1"/>
          <w:color w:val="000000"/>
          <w:sz w:val="22"/>
          <w:szCs w:val="22"/>
        </w:rPr>
      </w:pPr>
      <w:bookmarkStart w:colFirst="0" w:colLast="0" w:name="_q76kfv7qd3p" w:id="37"/>
      <w:bookmarkEnd w:id="37"/>
      <w:r w:rsidDel="00000000" w:rsidR="00000000" w:rsidRPr="00000000">
        <w:rPr>
          <w:b w:val="1"/>
          <w:bCs w:val="1"/>
          <w:color w:val="000000"/>
          <w:sz w:val="22"/>
          <w:szCs w:val="22"/>
          <w:rtl w:val="0"/>
        </w:rPr>
        <w:t xml:space="preserve">6.4.3 Liquidity-Driven Incentive Compression</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Liquidity-driven incentive compression occurs when abrupt price declines reduce the real value of token-denominated rewards, leading to downstream effects on provider participation despite unchanged nominal reward structures.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Operational indicators:</w:t>
      </w:r>
    </w:p>
    <w:p w:rsidR="00000000" w:rsidDel="00000000" w:rsidP="00000000" w:rsidRDefault="00000000" w:rsidRPr="00000000" w14:paraId="0000010E">
      <w:pPr>
        <w:numPr>
          <w:ilvl w:val="0"/>
          <w:numId w:val="16"/>
        </w:numPr>
        <w:spacing w:after="0" w:afterAutospacing="0" w:before="240" w:lineRule="auto"/>
        <w:ind w:left="720" w:hanging="360"/>
        <w:rPr/>
      </w:pPr>
      <w:r w:rsidDel="00000000" w:rsidR="00000000" w:rsidRPr="00000000">
        <w:rPr>
          <w:rtl w:val="0"/>
        </w:rPr>
        <w:t xml:space="preserve">Sharp, localized price drawdowns coinciding with liquidity events.</w:t>
        <w:br w:type="textWrapping"/>
      </w:r>
    </w:p>
    <w:p w:rsidR="00000000" w:rsidDel="00000000" w:rsidP="00000000" w:rsidRDefault="00000000" w:rsidRPr="00000000" w14:paraId="0000010F">
      <w:pPr>
        <w:numPr>
          <w:ilvl w:val="0"/>
          <w:numId w:val="16"/>
        </w:numPr>
        <w:spacing w:after="0" w:afterAutospacing="0" w:before="0" w:beforeAutospacing="0" w:lineRule="auto"/>
        <w:ind w:left="720" w:hanging="360"/>
        <w:rPr/>
      </w:pPr>
      <w:r w:rsidDel="00000000" w:rsidR="00000000" w:rsidRPr="00000000">
        <w:rPr>
          <w:rtl w:val="0"/>
        </w:rPr>
        <w:t xml:space="preserve">Lagged decline in average provider profit following price shocks.</w:t>
        <w:br w:type="textWrapping"/>
      </w:r>
    </w:p>
    <w:p w:rsidR="00000000" w:rsidDel="00000000" w:rsidP="00000000" w:rsidRDefault="00000000" w:rsidRPr="00000000" w14:paraId="00000110">
      <w:pPr>
        <w:numPr>
          <w:ilvl w:val="0"/>
          <w:numId w:val="16"/>
        </w:numPr>
        <w:spacing w:after="0" w:afterAutospacing="0" w:before="0" w:beforeAutospacing="0" w:lineRule="auto"/>
        <w:ind w:left="720" w:hanging="360"/>
        <w:rPr/>
      </w:pPr>
      <w:r w:rsidDel="00000000" w:rsidR="00000000" w:rsidRPr="00000000">
        <w:rPr>
          <w:rtl w:val="0"/>
        </w:rPr>
        <w:t xml:space="preserve">Increased churn after reward distribution cycles.</w:t>
        <w:br w:type="textWrapping"/>
      </w:r>
    </w:p>
    <w:p w:rsidR="00000000" w:rsidDel="00000000" w:rsidP="00000000" w:rsidRDefault="00000000" w:rsidRPr="00000000" w14:paraId="00000111">
      <w:pPr>
        <w:numPr>
          <w:ilvl w:val="0"/>
          <w:numId w:val="16"/>
        </w:numPr>
        <w:spacing w:after="240" w:before="0" w:beforeAutospacing="0" w:lineRule="auto"/>
        <w:ind w:left="720" w:hanging="360"/>
        <w:rPr/>
      </w:pPr>
      <w:r w:rsidDel="00000000" w:rsidR="00000000" w:rsidRPr="00000000">
        <w:rPr>
          <w:rtl w:val="0"/>
        </w:rPr>
        <w:t xml:space="preserve">Temporary decoupling between utilization/capacity metrics and provider participation.</w:t>
        <w:br w:type="textWrapping"/>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Observed context:</w:t>
        <w:br w:type="textWrapping"/>
      </w:r>
      <w:r w:rsidDel="00000000" w:rsidR="00000000" w:rsidRPr="00000000">
        <w:rPr>
          <w:rtl w:val="0"/>
        </w:rPr>
        <w:t xml:space="preserve"> This pattern emerges most clearly in liquidity shock scenarios, where price volatility precedes changes in provider behavior. The delayed response highlights the indirect transmission of market stress into infrastructure-level outcomes.</w:t>
      </w:r>
    </w:p>
    <w:p w:rsidR="00000000" w:rsidDel="00000000" w:rsidP="00000000" w:rsidRDefault="00000000" w:rsidRPr="00000000" w14:paraId="00000113">
      <w:pPr>
        <w:pStyle w:val="Heading3"/>
        <w:keepNext w:val="0"/>
        <w:keepLines w:val="0"/>
        <w:spacing w:before="280" w:lineRule="auto"/>
        <w:rPr>
          <w:b w:val="1"/>
          <w:bCs w:val="1"/>
          <w:color w:val="000000"/>
          <w:sz w:val="22"/>
          <w:szCs w:val="22"/>
        </w:rPr>
      </w:pPr>
      <w:bookmarkStart w:colFirst="0" w:colLast="0" w:name="_9vjw00jkf1ix" w:id="38"/>
      <w:bookmarkEnd w:id="38"/>
      <w:r w:rsidDel="00000000" w:rsidR="00000000" w:rsidRPr="00000000">
        <w:rPr>
          <w:b w:val="1"/>
          <w:bCs w:val="1"/>
          <w:color w:val="000000"/>
          <w:sz w:val="22"/>
          <w:szCs w:val="22"/>
          <w:rtl w:val="0"/>
        </w:rPr>
        <w:t xml:space="preserve">6.4.4 Elastic Provider Exit Under External Yield Pressure</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Elastic provider exit describes heightened sensitivity of provider participation to marginal changes in relative yield, resulting in sustained attrition without dramatic price or demand movements.</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Operational indicators:</w:t>
      </w:r>
    </w:p>
    <w:p w:rsidR="00000000" w:rsidDel="00000000" w:rsidP="00000000" w:rsidRDefault="00000000" w:rsidRPr="00000000" w14:paraId="00000116">
      <w:pPr>
        <w:numPr>
          <w:ilvl w:val="0"/>
          <w:numId w:val="5"/>
        </w:numPr>
        <w:spacing w:after="0" w:afterAutospacing="0" w:before="240" w:lineRule="auto"/>
        <w:ind w:left="720" w:hanging="360"/>
        <w:rPr/>
      </w:pPr>
      <w:r w:rsidDel="00000000" w:rsidR="00000000" w:rsidRPr="00000000">
        <w:rPr>
          <w:rtl w:val="0"/>
        </w:rPr>
        <w:t xml:space="preserve">Elevated churn rates under competitive yield pressure relative to baseline.</w:t>
        <w:br w:type="textWrapping"/>
      </w:r>
    </w:p>
    <w:p w:rsidR="00000000" w:rsidDel="00000000" w:rsidP="00000000" w:rsidRDefault="00000000" w:rsidRPr="00000000" w14:paraId="00000117">
      <w:pPr>
        <w:numPr>
          <w:ilvl w:val="0"/>
          <w:numId w:val="5"/>
        </w:numPr>
        <w:spacing w:after="0" w:afterAutospacing="0" w:before="0" w:beforeAutospacing="0" w:lineRule="auto"/>
        <w:ind w:left="720" w:hanging="360"/>
        <w:rPr/>
      </w:pPr>
      <w:r w:rsidDel="00000000" w:rsidR="00000000" w:rsidRPr="00000000">
        <w:rPr>
          <w:rtl w:val="0"/>
        </w:rPr>
        <w:t xml:space="preserve">Minimal contemporaneous changes in token price or utilization.</w:t>
        <w:br w:type="textWrapping"/>
      </w:r>
    </w:p>
    <w:p w:rsidR="00000000" w:rsidDel="00000000" w:rsidP="00000000" w:rsidRDefault="00000000" w:rsidRPr="00000000" w14:paraId="00000118">
      <w:pPr>
        <w:numPr>
          <w:ilvl w:val="0"/>
          <w:numId w:val="5"/>
        </w:numPr>
        <w:spacing w:after="0" w:afterAutospacing="0" w:before="0" w:beforeAutospacing="0" w:lineRule="auto"/>
        <w:ind w:left="720" w:hanging="360"/>
        <w:rPr/>
      </w:pPr>
      <w:r w:rsidDel="00000000" w:rsidR="00000000" w:rsidRPr="00000000">
        <w:rPr>
          <w:rtl w:val="0"/>
        </w:rPr>
        <w:t xml:space="preserve">Increasing dispersion in provider retention outcomes.</w:t>
        <w:br w:type="textWrapping"/>
      </w:r>
    </w:p>
    <w:p w:rsidR="00000000" w:rsidDel="00000000" w:rsidP="00000000" w:rsidRDefault="00000000" w:rsidRPr="00000000" w14:paraId="00000119">
      <w:pPr>
        <w:numPr>
          <w:ilvl w:val="0"/>
          <w:numId w:val="5"/>
        </w:numPr>
        <w:spacing w:after="240" w:before="0" w:beforeAutospacing="0" w:lineRule="auto"/>
        <w:ind w:left="720" w:hanging="360"/>
        <w:rPr/>
      </w:pPr>
      <w:r w:rsidDel="00000000" w:rsidR="00000000" w:rsidRPr="00000000">
        <w:rPr>
          <w:rtl w:val="0"/>
        </w:rPr>
        <w:t xml:space="preserve">Gradual erosion of provider count rather than abrupt collapse.</w:t>
        <w:br w:type="textWrapping"/>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Observed context:</w:t>
        <w:br w:type="textWrapping"/>
      </w:r>
      <w:r w:rsidDel="00000000" w:rsidR="00000000" w:rsidRPr="00000000">
        <w:rPr>
          <w:rtl w:val="0"/>
        </w:rPr>
        <w:t xml:space="preserve"> This failure mode is observed when alternative opportunities are introduced, even in the absence of internal protocol stress. It reflects the substitutability of provider capital and labor across competing networks.</w:t>
      </w:r>
    </w:p>
    <w:p w:rsidR="00000000" w:rsidDel="00000000" w:rsidP="00000000" w:rsidRDefault="00000000" w:rsidRPr="00000000" w14:paraId="0000011B">
      <w:pPr>
        <w:pStyle w:val="Heading3"/>
        <w:keepNext w:val="0"/>
        <w:keepLines w:val="0"/>
        <w:spacing w:before="280" w:lineRule="auto"/>
        <w:rPr>
          <w:b w:val="1"/>
          <w:bCs w:val="1"/>
          <w:color w:val="000000"/>
          <w:sz w:val="22"/>
          <w:szCs w:val="22"/>
        </w:rPr>
      </w:pPr>
      <w:bookmarkStart w:colFirst="0" w:colLast="0" w:name="_b533ldgt143" w:id="39"/>
      <w:bookmarkEnd w:id="39"/>
      <w:r w:rsidDel="00000000" w:rsidR="00000000" w:rsidRPr="00000000">
        <w:rPr>
          <w:b w:val="1"/>
          <w:bCs w:val="1"/>
          <w:color w:val="000000"/>
          <w:sz w:val="22"/>
          <w:szCs w:val="22"/>
          <w:rtl w:val="0"/>
        </w:rPr>
        <w:t xml:space="preserve">6.4.5 Latent Capacity Degradation</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Latent capacity degradation refers to delayed reductions in service capacity that follow earlier provider exits, resulting in a temporal gap between economic stress and observable service degradation.</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Operational indicators:</w:t>
      </w:r>
    </w:p>
    <w:p w:rsidR="00000000" w:rsidDel="00000000" w:rsidP="00000000" w:rsidRDefault="00000000" w:rsidRPr="00000000" w14:paraId="0000011E">
      <w:pPr>
        <w:numPr>
          <w:ilvl w:val="0"/>
          <w:numId w:val="9"/>
        </w:numPr>
        <w:spacing w:after="0" w:afterAutospacing="0" w:before="240" w:lineRule="auto"/>
        <w:ind w:left="720" w:hanging="360"/>
        <w:rPr/>
      </w:pPr>
      <w:r w:rsidDel="00000000" w:rsidR="00000000" w:rsidRPr="00000000">
        <w:rPr>
          <w:rtl w:val="0"/>
        </w:rPr>
        <w:t xml:space="preserve">Provider count declines preceding reductions in aggregate capacity.</w:t>
        <w:br w:type="textWrapping"/>
      </w:r>
    </w:p>
    <w:p w:rsidR="00000000" w:rsidDel="00000000" w:rsidP="00000000" w:rsidRDefault="00000000" w:rsidRPr="00000000" w14:paraId="0000011F">
      <w:pPr>
        <w:numPr>
          <w:ilvl w:val="0"/>
          <w:numId w:val="9"/>
        </w:numPr>
        <w:spacing w:after="0" w:afterAutospacing="0" w:before="0" w:beforeAutospacing="0" w:lineRule="auto"/>
        <w:ind w:left="720" w:hanging="360"/>
        <w:rPr/>
      </w:pPr>
      <w:r w:rsidDel="00000000" w:rsidR="00000000" w:rsidRPr="00000000">
        <w:rPr>
          <w:rtl w:val="0"/>
        </w:rPr>
        <w:t xml:space="preserve">Stable utilization metrics masking declining redundancy.</w:t>
        <w:br w:type="textWrapping"/>
      </w:r>
    </w:p>
    <w:p w:rsidR="00000000" w:rsidDel="00000000" w:rsidP="00000000" w:rsidRDefault="00000000" w:rsidRPr="00000000" w14:paraId="00000120">
      <w:pPr>
        <w:numPr>
          <w:ilvl w:val="0"/>
          <w:numId w:val="9"/>
        </w:numPr>
        <w:spacing w:after="0" w:afterAutospacing="0" w:before="0" w:beforeAutospacing="0" w:lineRule="auto"/>
        <w:ind w:left="720" w:hanging="360"/>
        <w:rPr/>
      </w:pPr>
      <w:r w:rsidDel="00000000" w:rsidR="00000000" w:rsidRPr="00000000">
        <w:rPr>
          <w:rtl w:val="0"/>
        </w:rPr>
        <w:t xml:space="preserve">Capacity drops occurring several periods after profitability-induced churn.</w:t>
        <w:br w:type="textWrapping"/>
      </w:r>
    </w:p>
    <w:p w:rsidR="00000000" w:rsidDel="00000000" w:rsidP="00000000" w:rsidRDefault="00000000" w:rsidRPr="00000000" w14:paraId="00000121">
      <w:pPr>
        <w:numPr>
          <w:ilvl w:val="0"/>
          <w:numId w:val="9"/>
        </w:numPr>
        <w:spacing w:after="240" w:before="0" w:beforeAutospacing="0" w:lineRule="auto"/>
        <w:ind w:left="720" w:hanging="360"/>
        <w:rPr/>
      </w:pPr>
      <w:r w:rsidDel="00000000" w:rsidR="00000000" w:rsidRPr="00000000">
        <w:rPr>
          <w:rtl w:val="0"/>
        </w:rPr>
        <w:t xml:space="preserve">Reduced resilience to subsequent demand or liquidity shocks.</w:t>
        <w:br w:type="textWrapping"/>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Observed context:</w:t>
        <w:br w:type="textWrapping"/>
      </w:r>
      <w:r w:rsidDel="00000000" w:rsidR="00000000" w:rsidRPr="00000000">
        <w:rPr>
          <w:rtl w:val="0"/>
        </w:rPr>
        <w:t xml:space="preserve">This pattern appears across multiple stress scenarios and highlights the non-instantaneous relationship between provider economics and service-level outcomes in infrastructure-based systems.</w:t>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2"/>
          <w:szCs w:val="22"/>
        </w:rPr>
      </w:pPr>
      <w:bookmarkStart w:colFirst="0" w:colLast="0" w:name="_2hmxm69ngsid" w:id="40"/>
      <w:bookmarkEnd w:id="40"/>
      <w:r w:rsidDel="00000000" w:rsidR="00000000" w:rsidRPr="00000000">
        <w:rPr>
          <w:b w:val="1"/>
          <w:bCs w:val="1"/>
          <w:color w:val="000000"/>
          <w:sz w:val="22"/>
          <w:szCs w:val="22"/>
          <w:rtl w:val="0"/>
        </w:rPr>
        <w:t xml:space="preserve">Role of Failure Mode Definitions</w:t>
      </w:r>
    </w:p>
    <w:p w:rsidR="00000000" w:rsidDel="00000000" w:rsidP="00000000" w:rsidRDefault="00000000" w:rsidRPr="00000000" w14:paraId="00000125">
      <w:pPr>
        <w:spacing w:after="240" w:before="240" w:lineRule="auto"/>
        <w:rPr/>
      </w:pPr>
      <w:r w:rsidDel="00000000" w:rsidR="00000000" w:rsidRPr="00000000">
        <w:rPr>
          <w:rtl w:val="0"/>
        </w:rPr>
        <w:t xml:space="preserve">These failure modes do not imply protocol failure in an absolute sense. Rather, they represent </w:t>
      </w:r>
      <w:r w:rsidDel="00000000" w:rsidR="00000000" w:rsidRPr="00000000">
        <w:rPr>
          <w:i w:val="1"/>
          <w:iCs w:val="1"/>
          <w:rtl w:val="0"/>
        </w:rPr>
        <w:t xml:space="preserve">structural stress signatures</w:t>
      </w:r>
      <w:r w:rsidDel="00000000" w:rsidR="00000000" w:rsidRPr="00000000">
        <w:rPr>
          <w:rtl w:val="0"/>
        </w:rPr>
        <w:t xml:space="preserve"> that can accumulate, interact, and amplify under adverse conditions. By defining failure modes operationally, the analysis enables systematic comparison across DePIN designs and provides a foundation for evaluating mitigation strategies in subsequent sections.</w:t>
      </w:r>
    </w:p>
    <w:p w:rsidR="00000000" w:rsidDel="00000000" w:rsidP="00000000" w:rsidRDefault="00000000" w:rsidRPr="00000000" w14:paraId="00000126">
      <w:pPr>
        <w:pStyle w:val="Heading2"/>
        <w:keepNext w:val="0"/>
        <w:keepLines w:val="0"/>
        <w:spacing w:after="80" w:lineRule="auto"/>
        <w:rPr>
          <w:b w:val="1"/>
          <w:bCs w:val="1"/>
          <w:sz w:val="22"/>
          <w:szCs w:val="22"/>
        </w:rPr>
      </w:pPr>
      <w:bookmarkStart w:colFirst="0" w:colLast="0" w:name="_qihpoif3s53h" w:id="41"/>
      <w:bookmarkEnd w:id="41"/>
      <w:r w:rsidDel="00000000" w:rsidR="00000000" w:rsidRPr="00000000">
        <w:rPr>
          <w:sz w:val="22"/>
          <w:szCs w:val="22"/>
          <w:rtl w:val="0"/>
        </w:rPr>
        <w:t xml:space="preserve">7. Implications</w:t>
        <w:br w:type="textWrapping"/>
      </w:r>
      <w:r w:rsidDel="00000000" w:rsidR="00000000" w:rsidRPr="00000000">
        <w:rPr>
          <w:b w:val="1"/>
          <w:bCs w:val="1"/>
          <w:sz w:val="22"/>
          <w:szCs w:val="22"/>
          <w:rtl w:val="0"/>
        </w:rPr>
        <w:br w:type="textWrapping"/>
        <w:t xml:space="preserve">7.1 Implications for Builders (Design Recommendations)</w:t>
      </w:r>
    </w:p>
    <w:p w:rsidR="00000000" w:rsidDel="00000000" w:rsidP="00000000" w:rsidRDefault="00000000" w:rsidRPr="00000000" w14:paraId="00000127">
      <w:pPr>
        <w:spacing w:after="240" w:before="240" w:lineRule="auto"/>
        <w:rPr/>
      </w:pPr>
      <w:r w:rsidDel="00000000" w:rsidR="00000000" w:rsidRPr="00000000">
        <w:rPr>
          <w:rtl w:val="0"/>
        </w:rPr>
        <w:t xml:space="preserve">The stress-testing results and observed failure modes presented in Section 6 highlight several recurring design tensions inherent to DePIN tokenomic systems. These implications are not prescriptive blueprints, but design considerations derived from empirically observed behavior under adverse conditions. They are intended to inform protocol designers about where fragility tends to emerge and which mechanisms warrant particular attention during design and iteration.</w:t>
      </w:r>
    </w:p>
    <w:p w:rsidR="00000000" w:rsidDel="00000000" w:rsidP="00000000" w:rsidRDefault="00000000" w:rsidRPr="00000000" w14:paraId="00000128">
      <w:pPr>
        <w:pStyle w:val="Heading3"/>
        <w:rPr>
          <w:sz w:val="22"/>
          <w:szCs w:val="22"/>
        </w:rPr>
      </w:pPr>
      <w:bookmarkStart w:colFirst="0" w:colLast="0" w:name="_7wcrkteqvpv" w:id="42"/>
      <w:bookmarkEnd w:id="42"/>
      <w:r w:rsidDel="00000000" w:rsidR="00000000" w:rsidRPr="00000000">
        <w:rPr>
          <w:sz w:val="22"/>
          <w:szCs w:val="22"/>
          <w:rtl w:val="0"/>
        </w:rPr>
        <w:t xml:space="preserve">7.1.1 Align Emissions More Tightly with Realized Demand</w:t>
      </w:r>
    </w:p>
    <w:p w:rsidR="00000000" w:rsidDel="00000000" w:rsidP="00000000" w:rsidRDefault="00000000" w:rsidRPr="00000000" w14:paraId="00000129">
      <w:pPr>
        <w:spacing w:after="240" w:before="240" w:lineRule="auto"/>
        <w:rPr/>
      </w:pPr>
      <w:r w:rsidDel="00000000" w:rsidR="00000000" w:rsidRPr="00000000">
        <w:rPr>
          <w:rtl w:val="0"/>
        </w:rPr>
        <w:t xml:space="preserve">One of the most consistently observed failure modes is reward–demand decoupling, in which emissions and rewards persist despite declining utilization. This suggests that fixed or weakly demand-sensitive emission schedules can amplify stress during periods of demand contraction.</w:t>
      </w:r>
    </w:p>
    <w:p w:rsidR="00000000" w:rsidDel="00000000" w:rsidP="00000000" w:rsidRDefault="00000000" w:rsidRPr="00000000" w14:paraId="0000012A">
      <w:pPr>
        <w:spacing w:after="240" w:before="240" w:lineRule="auto"/>
        <w:rPr/>
      </w:pPr>
      <w:r w:rsidDel="00000000" w:rsidR="00000000" w:rsidRPr="00000000">
        <w:rPr>
          <w:rtl w:val="0"/>
        </w:rPr>
        <w:t xml:space="preserve">Design implication:</w:t>
        <w:br w:type="textWrapping"/>
        <w:t xml:space="preserve"> Builders should prioritize emission mechanisms that respond meaningfully to realized service usage rather than to participation alone. Emission logic that adapts to utilization or burn-linked signals can reduce the accumulation of excess supply during downturns and delay the onset of profitability-induced churn.</w:t>
      </w:r>
    </w:p>
    <w:p w:rsidR="00000000" w:rsidDel="00000000" w:rsidP="00000000" w:rsidRDefault="00000000" w:rsidRPr="00000000" w14:paraId="0000012B">
      <w:pPr>
        <w:spacing w:after="240" w:before="240" w:lineRule="auto"/>
        <w:rPr/>
      </w:pPr>
      <w:r w:rsidDel="00000000" w:rsidR="00000000" w:rsidRPr="00000000">
        <w:rPr>
          <w:rtl w:val="0"/>
        </w:rPr>
        <w:t xml:space="preserve">This does not imply fully reactive or highly volatile emissions, but rather bounded responsiveness that maintains incentive alignment when demand deviates from growth assumptions.</w:t>
      </w:r>
    </w:p>
    <w:p w:rsidR="00000000" w:rsidDel="00000000" w:rsidP="00000000" w:rsidRDefault="00000000" w:rsidRPr="00000000" w14:paraId="0000012C">
      <w:pPr>
        <w:pStyle w:val="Heading3"/>
        <w:keepNext w:val="0"/>
        <w:keepLines w:val="0"/>
        <w:spacing w:before="280" w:lineRule="auto"/>
        <w:rPr>
          <w:b w:val="1"/>
          <w:bCs w:val="1"/>
          <w:color w:val="000000"/>
          <w:sz w:val="22"/>
          <w:szCs w:val="22"/>
        </w:rPr>
      </w:pPr>
      <w:bookmarkStart w:colFirst="0" w:colLast="0" w:name="_66lvnw20tefv" w:id="43"/>
      <w:bookmarkEnd w:id="43"/>
      <w:r w:rsidDel="00000000" w:rsidR="00000000" w:rsidRPr="00000000">
        <w:rPr>
          <w:b w:val="1"/>
          <w:bCs w:val="1"/>
          <w:color w:val="000000"/>
          <w:sz w:val="22"/>
          <w:szCs w:val="22"/>
          <w:rtl w:val="0"/>
        </w:rPr>
        <w:t xml:space="preserve">7.1.2 Design for Provider Margin Resilience, Not Peak Returns</w:t>
      </w:r>
    </w:p>
    <w:p w:rsidR="00000000" w:rsidDel="00000000" w:rsidP="00000000" w:rsidRDefault="00000000" w:rsidRPr="00000000" w14:paraId="0000012D">
      <w:pPr>
        <w:spacing w:after="240" w:before="240" w:lineRule="auto"/>
        <w:rPr/>
      </w:pPr>
      <w:r w:rsidDel="00000000" w:rsidR="00000000" w:rsidRPr="00000000">
        <w:rPr>
          <w:rtl w:val="0"/>
        </w:rPr>
        <w:t xml:space="preserve">Across multiple scenarios, provider exit is driven less by short-term volatility and more by sustained margin compression. Once average provider profitability crosses below zero for extended periods, churn accelerates even in the absence of dramatic market shocks.</w:t>
      </w:r>
    </w:p>
    <w:p w:rsidR="00000000" w:rsidDel="00000000" w:rsidP="00000000" w:rsidRDefault="00000000" w:rsidRPr="00000000" w14:paraId="0000012E">
      <w:pPr>
        <w:spacing w:after="240" w:before="240" w:lineRule="auto"/>
        <w:rPr/>
      </w:pPr>
      <w:r w:rsidDel="00000000" w:rsidR="00000000" w:rsidRPr="00000000">
        <w:rPr>
          <w:rtl w:val="0"/>
        </w:rPr>
        <w:t xml:space="preserve">Design implication:</w:t>
        <w:br w:type="textWrapping"/>
        <w:t xml:space="preserve"> Tokenomic systems should be evaluated against downside margin scenarios rather than upside reward narratives. Builders should stress-test provider economics under elevated costs, reduced demand, and compressed prices to ensure that a meaningful subset of providers remains marginally profitable under adverse conditions.</w:t>
      </w:r>
    </w:p>
    <w:p w:rsidR="00000000" w:rsidDel="00000000" w:rsidP="00000000" w:rsidRDefault="00000000" w:rsidRPr="00000000" w14:paraId="0000012F">
      <w:pPr>
        <w:spacing w:after="240" w:before="240" w:lineRule="auto"/>
        <w:rPr/>
      </w:pPr>
      <w:r w:rsidDel="00000000" w:rsidR="00000000" w:rsidRPr="00000000">
        <w:rPr>
          <w:rtl w:val="0"/>
        </w:rPr>
        <w:t xml:space="preserve">This may involve conservative reward baselines, differentiated incentives for higher-commitment providers, or mechanisms that reduce cost exposure during unfavorable regimes.</w:t>
      </w:r>
    </w:p>
    <w:p w:rsidR="00000000" w:rsidDel="00000000" w:rsidP="00000000" w:rsidRDefault="00000000" w:rsidRPr="00000000" w14:paraId="00000130">
      <w:pPr>
        <w:pStyle w:val="Heading3"/>
        <w:keepNext w:val="0"/>
        <w:keepLines w:val="0"/>
        <w:spacing w:before="280" w:lineRule="auto"/>
        <w:rPr>
          <w:b w:val="1"/>
          <w:bCs w:val="1"/>
          <w:color w:val="000000"/>
          <w:sz w:val="22"/>
          <w:szCs w:val="22"/>
        </w:rPr>
      </w:pPr>
      <w:bookmarkStart w:colFirst="0" w:colLast="0" w:name="_dsfprni7z41y" w:id="44"/>
      <w:bookmarkEnd w:id="44"/>
      <w:r w:rsidDel="00000000" w:rsidR="00000000" w:rsidRPr="00000000">
        <w:rPr>
          <w:b w:val="1"/>
          <w:bCs w:val="1"/>
          <w:color w:val="000000"/>
          <w:sz w:val="22"/>
          <w:szCs w:val="22"/>
          <w:rtl w:val="0"/>
        </w:rPr>
        <w:t xml:space="preserve">7.1.3 Treat Liquidity Events as Infrastructure Risks, Not Just Market Events</w:t>
      </w:r>
    </w:p>
    <w:p w:rsidR="00000000" w:rsidDel="00000000" w:rsidP="00000000" w:rsidRDefault="00000000" w:rsidRPr="00000000" w14:paraId="00000131">
      <w:pPr>
        <w:spacing w:after="240" w:before="240" w:lineRule="auto"/>
        <w:rPr/>
      </w:pPr>
      <w:r w:rsidDel="00000000" w:rsidR="00000000" w:rsidRPr="00000000">
        <w:rPr>
          <w:rtl w:val="0"/>
        </w:rPr>
        <w:t xml:space="preserve">Liquidity shocks primarily manifest as price events, but their downstream effects on provider participation reveal that they function as infrastructure risks. The lagged response between price declines and provider churn suggests that market stress propagates through reward valuation rather than immediate behavioral reaction.</w:t>
      </w:r>
    </w:p>
    <w:p w:rsidR="00000000" w:rsidDel="00000000" w:rsidP="00000000" w:rsidRDefault="00000000" w:rsidRPr="00000000" w14:paraId="00000132">
      <w:pPr>
        <w:spacing w:after="240" w:before="240" w:lineRule="auto"/>
        <w:rPr/>
      </w:pPr>
      <w:r w:rsidDel="00000000" w:rsidR="00000000" w:rsidRPr="00000000">
        <w:rPr>
          <w:rtl w:val="0"/>
        </w:rPr>
        <w:t xml:space="preserve">Design implication:</w:t>
        <w:br w:type="textWrapping"/>
        <w:t xml:space="preserve"> Builders should explicitly account for liquidity events when designing reward distribution and treasury strategies. Mechanisms that smooth reward value, delay exposure to price shocks, or introduce buffers between market volatility and provider compensation can reduce the indirect transmission of liquidity stress into infrastructure attrition.</w:t>
      </w:r>
    </w:p>
    <w:p w:rsidR="00000000" w:rsidDel="00000000" w:rsidP="00000000" w:rsidRDefault="00000000" w:rsidRPr="00000000" w14:paraId="00000133">
      <w:pPr>
        <w:spacing w:after="240" w:before="240" w:lineRule="auto"/>
        <w:rPr/>
      </w:pPr>
      <w:r w:rsidDel="00000000" w:rsidR="00000000" w:rsidRPr="00000000">
        <w:rPr>
          <w:rtl w:val="0"/>
        </w:rPr>
        <w:t xml:space="preserve">Ignoring liquidity dynamics as “external” risks underestimates their impact on long-term network stability.</w:t>
      </w:r>
    </w:p>
    <w:p w:rsidR="00000000" w:rsidDel="00000000" w:rsidP="00000000" w:rsidRDefault="00000000" w:rsidRPr="00000000" w14:paraId="00000134">
      <w:pPr>
        <w:pStyle w:val="Heading3"/>
        <w:keepNext w:val="0"/>
        <w:keepLines w:val="0"/>
        <w:spacing w:before="280" w:lineRule="auto"/>
        <w:rPr>
          <w:b w:val="1"/>
          <w:bCs w:val="1"/>
          <w:color w:val="000000"/>
          <w:sz w:val="22"/>
          <w:szCs w:val="22"/>
        </w:rPr>
      </w:pPr>
      <w:bookmarkStart w:colFirst="0" w:colLast="0" w:name="_4x7e0hkpm55r" w:id="45"/>
      <w:bookmarkEnd w:id="45"/>
      <w:r w:rsidDel="00000000" w:rsidR="00000000" w:rsidRPr="00000000">
        <w:rPr>
          <w:b w:val="1"/>
          <w:bCs w:val="1"/>
          <w:color w:val="000000"/>
          <w:sz w:val="22"/>
          <w:szCs w:val="22"/>
          <w:rtl w:val="0"/>
        </w:rPr>
        <w:t xml:space="preserve">7.1.4 Assume Provider Capital Is Mobile</w:t>
      </w:r>
    </w:p>
    <w:p w:rsidR="00000000" w:rsidDel="00000000" w:rsidP="00000000" w:rsidRDefault="00000000" w:rsidRPr="00000000" w14:paraId="00000135">
      <w:pPr>
        <w:spacing w:after="240" w:before="240" w:lineRule="auto"/>
        <w:rPr/>
      </w:pPr>
      <w:r w:rsidDel="00000000" w:rsidR="00000000" w:rsidRPr="00000000">
        <w:rPr>
          <w:rtl w:val="0"/>
        </w:rPr>
        <w:t xml:space="preserve">Competitive yield pressure demonstrates that provider participation is often elastic, even when demand and protocol fundamentals remain unchanged. Providers compare returns across networks, and small relative differences can lead to sustained attrition over time.</w:t>
      </w:r>
    </w:p>
    <w:p w:rsidR="00000000" w:rsidDel="00000000" w:rsidP="00000000" w:rsidRDefault="00000000" w:rsidRPr="00000000" w14:paraId="00000136">
      <w:pPr>
        <w:spacing w:after="240" w:before="240" w:lineRule="auto"/>
        <w:rPr/>
      </w:pPr>
      <w:r w:rsidDel="00000000" w:rsidR="00000000" w:rsidRPr="00000000">
        <w:rPr>
          <w:rtl w:val="0"/>
        </w:rPr>
        <w:t xml:space="preserve">Design implication:</w:t>
        <w:br w:type="textWrapping"/>
        <w:t xml:space="preserve"> DePIN tokenomics should be designed with the assumption that provider capital and labor are mobile. Retention should not rely solely on short-term reward competitiveness but should incorporate mechanisms that reward persistence, commitment, or sunk-cost investments where appropriate.</w:t>
      </w:r>
    </w:p>
    <w:p w:rsidR="00000000" w:rsidDel="00000000" w:rsidP="00000000" w:rsidRDefault="00000000" w:rsidRPr="00000000" w14:paraId="00000137">
      <w:pPr>
        <w:spacing w:after="240" w:before="240" w:lineRule="auto"/>
        <w:rPr/>
      </w:pPr>
      <w:r w:rsidDel="00000000" w:rsidR="00000000" w:rsidRPr="00000000">
        <w:rPr>
          <w:rtl w:val="0"/>
        </w:rPr>
        <w:t xml:space="preserve">This may include tenure-based incentives, differentiated rewards by hardware tier, or gradual reward vesting that aligns provider time horizons with network needs.</w:t>
      </w:r>
    </w:p>
    <w:p w:rsidR="00000000" w:rsidDel="00000000" w:rsidP="00000000" w:rsidRDefault="00000000" w:rsidRPr="00000000" w14:paraId="00000138">
      <w:pPr>
        <w:pStyle w:val="Heading3"/>
        <w:keepNext w:val="0"/>
        <w:keepLines w:val="0"/>
        <w:spacing w:before="280" w:lineRule="auto"/>
        <w:rPr>
          <w:b w:val="1"/>
          <w:bCs w:val="1"/>
          <w:color w:val="000000"/>
          <w:sz w:val="22"/>
          <w:szCs w:val="22"/>
        </w:rPr>
      </w:pPr>
      <w:bookmarkStart w:colFirst="0" w:colLast="0" w:name="_pmfc70pmaf5s" w:id="46"/>
      <w:bookmarkEnd w:id="46"/>
      <w:r w:rsidDel="00000000" w:rsidR="00000000" w:rsidRPr="00000000">
        <w:rPr>
          <w:b w:val="1"/>
          <w:bCs w:val="1"/>
          <w:color w:val="000000"/>
          <w:sz w:val="22"/>
          <w:szCs w:val="22"/>
          <w:rtl w:val="0"/>
        </w:rPr>
        <w:t xml:space="preserve">7.1.5 Account for Delayed Infrastructure Degradation</w:t>
      </w:r>
    </w:p>
    <w:p w:rsidR="00000000" w:rsidDel="00000000" w:rsidP="00000000" w:rsidRDefault="00000000" w:rsidRPr="00000000" w14:paraId="00000139">
      <w:pPr>
        <w:spacing w:after="240" w:before="240" w:lineRule="auto"/>
        <w:rPr/>
      </w:pPr>
      <w:r w:rsidDel="00000000" w:rsidR="00000000" w:rsidRPr="00000000">
        <w:rPr>
          <w:rtl w:val="0"/>
        </w:rPr>
        <w:t xml:space="preserve">Latent capacity degradation highlights a structural characteristic of DePIN systems: infrastructure quality may appear stable even as economic stress accumulates. By the time capacity reductions become visible, recovery may be slow or costly due to physical deployment constraints.</w:t>
      </w:r>
    </w:p>
    <w:p w:rsidR="00000000" w:rsidDel="00000000" w:rsidP="00000000" w:rsidRDefault="00000000" w:rsidRPr="00000000" w14:paraId="0000013A">
      <w:pPr>
        <w:spacing w:after="240" w:before="240" w:lineRule="auto"/>
        <w:rPr/>
      </w:pPr>
      <w:r w:rsidDel="00000000" w:rsidR="00000000" w:rsidRPr="00000000">
        <w:rPr>
          <w:rtl w:val="0"/>
        </w:rPr>
        <w:t xml:space="preserve">Design implication:</w:t>
        <w:br w:type="textWrapping"/>
        <w:t xml:space="preserve"> Builders should monitor leading indicators of stress—such as declining provider margins or increasing churn dispersion—rather than relying solely on utilization or capacity metrics. Early-warning indicators embedded in protocol analytics can provide time to adjust incentives before service degradation becomes apparent.</w:t>
      </w:r>
    </w:p>
    <w:p w:rsidR="00000000" w:rsidDel="00000000" w:rsidP="00000000" w:rsidRDefault="00000000" w:rsidRPr="00000000" w14:paraId="0000013B">
      <w:pPr>
        <w:spacing w:after="240" w:before="240" w:lineRule="auto"/>
        <w:rPr/>
      </w:pPr>
      <w:r w:rsidDel="00000000" w:rsidR="00000000" w:rsidRPr="00000000">
        <w:rPr>
          <w:rtl w:val="0"/>
        </w:rPr>
        <w:t xml:space="preserve">Designing for observability is therefore as important as designing for incentives.</w:t>
      </w:r>
    </w:p>
    <w:p w:rsidR="00000000" w:rsidDel="00000000" w:rsidP="00000000" w:rsidRDefault="00000000" w:rsidRPr="00000000" w14:paraId="000001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2"/>
          <w:szCs w:val="22"/>
        </w:rPr>
      </w:pPr>
      <w:bookmarkStart w:colFirst="0" w:colLast="0" w:name="_m824equue7ot" w:id="47"/>
      <w:bookmarkEnd w:id="47"/>
      <w:r w:rsidDel="00000000" w:rsidR="00000000" w:rsidRPr="00000000">
        <w:rPr>
          <w:b w:val="1"/>
          <w:bCs w:val="1"/>
          <w:color w:val="000000"/>
          <w:sz w:val="22"/>
          <w:szCs w:val="22"/>
          <w:rtl w:val="0"/>
        </w:rPr>
        <w:t xml:space="preserve">Positioning Note (important)</w:t>
      </w:r>
    </w:p>
    <w:p w:rsidR="00000000" w:rsidDel="00000000" w:rsidP="00000000" w:rsidRDefault="00000000" w:rsidRPr="00000000" w14:paraId="0000013E">
      <w:pPr>
        <w:spacing w:after="240" w:before="240" w:lineRule="auto"/>
        <w:rPr/>
      </w:pPr>
      <w:r w:rsidDel="00000000" w:rsidR="00000000" w:rsidRPr="00000000">
        <w:rPr>
          <w:rtl w:val="0"/>
        </w:rPr>
        <w:t xml:space="preserve">These implications are intentionally framed as </w:t>
      </w:r>
      <w:r w:rsidDel="00000000" w:rsidR="00000000" w:rsidRPr="00000000">
        <w:rPr>
          <w:i w:val="1"/>
          <w:iCs w:val="1"/>
          <w:rtl w:val="0"/>
        </w:rPr>
        <w:t xml:space="preserve">design considerations</w:t>
      </w:r>
      <w:r w:rsidDel="00000000" w:rsidR="00000000" w:rsidRPr="00000000">
        <w:rPr>
          <w:rtl w:val="0"/>
        </w:rPr>
        <w:t xml:space="preserve">, not as claims of optimality. They reflect tendencies observed across modeled systems under standardized stress conditions and should be interpreted as guidance for further testing and refinement rather than as universal rules.</w: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22"/>
          <w:szCs w:val="22"/>
        </w:rPr>
      </w:pPr>
      <w:bookmarkStart w:colFirst="0" w:colLast="0" w:name="_ogbw8ftxai1k" w:id="48"/>
      <w:bookmarkEnd w:id="48"/>
      <w:r w:rsidDel="00000000" w:rsidR="00000000" w:rsidRPr="00000000">
        <w:rPr>
          <w:b w:val="1"/>
          <w:bCs w:val="1"/>
          <w:sz w:val="22"/>
          <w:szCs w:val="22"/>
          <w:rtl w:val="0"/>
        </w:rPr>
        <w:t xml:space="preserve">7.2 Implications for Onocoy (Actionable Suggestions)</w:t>
      </w:r>
    </w:p>
    <w:p w:rsidR="00000000" w:rsidDel="00000000" w:rsidP="00000000" w:rsidRDefault="00000000" w:rsidRPr="00000000" w14:paraId="00000140">
      <w:pPr>
        <w:spacing w:after="240" w:before="240" w:lineRule="auto"/>
        <w:rPr/>
      </w:pPr>
      <w:r w:rsidDel="00000000" w:rsidR="00000000" w:rsidRPr="00000000">
        <w:rPr>
          <w:rtl w:val="0"/>
        </w:rPr>
        <w:t xml:space="preserve">The failure modes and stress responses observed in this study have direct relevance for the Onocoy network, given its reliance on physically deployed GNSS infrastructure and a token-based incentive system. The following implications translate the general design considerations outlined in Section 7.1 into Onocoy-specific suggestions. These are not presented as prescriptions, but as areas where targeted experimentation and monitoring could improve resilience under adverse conditions.</w:t>
      </w:r>
    </w:p>
    <w:p w:rsidR="00000000" w:rsidDel="00000000" w:rsidP="00000000" w:rsidRDefault="00000000" w:rsidRPr="00000000" w14:paraId="00000141">
      <w:pPr>
        <w:pStyle w:val="Heading3"/>
        <w:keepNext w:val="0"/>
        <w:keepLines w:val="0"/>
        <w:spacing w:before="280" w:lineRule="auto"/>
        <w:rPr>
          <w:b w:val="1"/>
          <w:bCs w:val="1"/>
          <w:color w:val="000000"/>
          <w:sz w:val="22"/>
          <w:szCs w:val="22"/>
        </w:rPr>
      </w:pPr>
      <w:bookmarkStart w:colFirst="0" w:colLast="0" w:name="_tak28z4wqq5" w:id="49"/>
      <w:bookmarkEnd w:id="49"/>
      <w:r w:rsidDel="00000000" w:rsidR="00000000" w:rsidRPr="00000000">
        <w:rPr>
          <w:b w:val="1"/>
          <w:bCs w:val="1"/>
          <w:color w:val="000000"/>
          <w:sz w:val="22"/>
          <w:szCs w:val="22"/>
          <w:rtl w:val="0"/>
        </w:rPr>
        <w:t xml:space="preserve">7.2.1 Strengthen the Coupling Between Usage and Rewards</w:t>
      </w:r>
    </w:p>
    <w:p w:rsidR="00000000" w:rsidDel="00000000" w:rsidP="00000000" w:rsidRDefault="00000000" w:rsidRPr="00000000" w14:paraId="00000142">
      <w:pPr>
        <w:spacing w:after="240" w:before="240" w:lineRule="auto"/>
        <w:rPr/>
      </w:pPr>
      <w:r w:rsidDel="00000000" w:rsidR="00000000" w:rsidRPr="00000000">
        <w:rPr>
          <w:rtl w:val="0"/>
        </w:rPr>
        <w:t xml:space="preserve">Baseline and stress simulations indicate that demand-linked metrics are central to maintaining incentive alignment over time. For Onocoy, where service usage can be measured with relatively high precision, there is an opportunity to reinforce the relationship between realized RTK demand and reward distribution.</w:t>
      </w:r>
    </w:p>
    <w:p w:rsidR="00000000" w:rsidDel="00000000" w:rsidP="00000000" w:rsidRDefault="00000000" w:rsidRPr="00000000" w14:paraId="00000143">
      <w:pPr>
        <w:spacing w:after="240" w:before="240" w:lineRule="auto"/>
        <w:rPr/>
      </w:pPr>
      <w:r w:rsidDel="00000000" w:rsidR="00000000" w:rsidRPr="00000000">
        <w:rPr>
          <w:rtl w:val="0"/>
        </w:rPr>
        <w:t xml:space="preserve">Actionable suggestion:</w:t>
        <w:br w:type="textWrapping"/>
        <w:t xml:space="preserve"> Onocoy could explore mechanisms that increase the sensitivity of rewards to verified service usage, particularly during periods of demand contraction. This may involve adjusting reward weighting based on utilization signals or introducing soft constraints that limit emissions when burn-linked revenue consistently lags behind supply issuance.</w:t>
      </w:r>
    </w:p>
    <w:p w:rsidR="00000000" w:rsidDel="00000000" w:rsidP="00000000" w:rsidRDefault="00000000" w:rsidRPr="00000000" w14:paraId="00000144">
      <w:pPr>
        <w:spacing w:after="240" w:before="240" w:lineRule="auto"/>
        <w:rPr/>
      </w:pPr>
      <w:r w:rsidDel="00000000" w:rsidR="00000000" w:rsidRPr="00000000">
        <w:rPr>
          <w:rtl w:val="0"/>
        </w:rPr>
        <w:t xml:space="preserve">Such adjustments would not need to be abrupt or highly reactive; even gradual modulation could reduce prolonged reward–demand decoupling.</w:t>
      </w:r>
    </w:p>
    <w:p w:rsidR="00000000" w:rsidDel="00000000" w:rsidP="00000000" w:rsidRDefault="00000000" w:rsidRPr="00000000" w14:paraId="00000145">
      <w:pPr>
        <w:pStyle w:val="Heading3"/>
        <w:keepNext w:val="0"/>
        <w:keepLines w:val="0"/>
        <w:spacing w:before="280" w:lineRule="auto"/>
        <w:rPr>
          <w:b w:val="1"/>
          <w:bCs w:val="1"/>
          <w:color w:val="000000"/>
          <w:sz w:val="22"/>
          <w:szCs w:val="22"/>
        </w:rPr>
      </w:pPr>
      <w:bookmarkStart w:colFirst="0" w:colLast="0" w:name="_lhfny9tgmvy" w:id="50"/>
      <w:bookmarkEnd w:id="50"/>
      <w:r w:rsidDel="00000000" w:rsidR="00000000" w:rsidRPr="00000000">
        <w:rPr>
          <w:b w:val="1"/>
          <w:bCs w:val="1"/>
          <w:color w:val="000000"/>
          <w:sz w:val="22"/>
          <w:szCs w:val="22"/>
          <w:rtl w:val="0"/>
        </w:rPr>
        <w:t xml:space="preserve">7.2.2 Monitor Provider Margins as a Leading Indicator</w:t>
      </w:r>
    </w:p>
    <w:p w:rsidR="00000000" w:rsidDel="00000000" w:rsidP="00000000" w:rsidRDefault="00000000" w:rsidRPr="00000000" w14:paraId="00000146">
      <w:pPr>
        <w:spacing w:after="240" w:before="240" w:lineRule="auto"/>
        <w:rPr/>
      </w:pPr>
      <w:r w:rsidDel="00000000" w:rsidR="00000000" w:rsidRPr="00000000">
        <w:rPr>
          <w:rtl w:val="0"/>
        </w:rPr>
        <w:t xml:space="preserve">Across scenarios, provider exit in the Onocoy profile is preceded by sustained deterioration in average provider profitability rather than by immediate market shocks. This suggests that provider margins function as a leading indicator of infrastructure risk.</w:t>
      </w:r>
    </w:p>
    <w:p w:rsidR="00000000" w:rsidDel="00000000" w:rsidP="00000000" w:rsidRDefault="00000000" w:rsidRPr="00000000" w14:paraId="00000147">
      <w:pPr>
        <w:spacing w:after="240" w:before="240" w:lineRule="auto"/>
        <w:rPr/>
      </w:pPr>
      <w:r w:rsidDel="00000000" w:rsidR="00000000" w:rsidRPr="00000000">
        <w:rPr>
          <w:rtl w:val="0"/>
        </w:rPr>
        <w:t xml:space="preserve">Actionable suggestion:</w:t>
        <w:br w:type="textWrapping"/>
        <w:t xml:space="preserve"> Rather than focusing primarily on provider count or coverage metrics, Onocoy could incorporate provider margin distributions into internal monitoring. Tracking how many providers operate near or below breakeven may provide earlier warning of impending churn than aggregate participation statistics alone.</w:t>
      </w:r>
    </w:p>
    <w:p w:rsidR="00000000" w:rsidDel="00000000" w:rsidP="00000000" w:rsidRDefault="00000000" w:rsidRPr="00000000" w14:paraId="00000148">
      <w:pPr>
        <w:spacing w:after="240" w:before="240" w:lineRule="auto"/>
        <w:rPr/>
      </w:pPr>
      <w:r w:rsidDel="00000000" w:rsidR="00000000" w:rsidRPr="00000000">
        <w:rPr>
          <w:rtl w:val="0"/>
        </w:rPr>
        <w:t xml:space="preserve">This information could inform proactive adjustments to incentives or cost-sharing mechanisms before infrastructure attrition becomes visible at the network level.</w:t>
      </w:r>
    </w:p>
    <w:p w:rsidR="00000000" w:rsidDel="00000000" w:rsidP="00000000" w:rsidRDefault="00000000" w:rsidRPr="00000000" w14:paraId="00000149">
      <w:pPr>
        <w:pStyle w:val="Heading3"/>
        <w:keepNext w:val="0"/>
        <w:keepLines w:val="0"/>
        <w:spacing w:before="280" w:lineRule="auto"/>
        <w:rPr>
          <w:b w:val="1"/>
          <w:bCs w:val="1"/>
          <w:color w:val="000000"/>
          <w:sz w:val="22"/>
          <w:szCs w:val="22"/>
        </w:rPr>
      </w:pPr>
      <w:bookmarkStart w:colFirst="0" w:colLast="0" w:name="_xiuyf5vqc0hg" w:id="51"/>
      <w:bookmarkEnd w:id="51"/>
      <w:r w:rsidDel="00000000" w:rsidR="00000000" w:rsidRPr="00000000">
        <w:rPr>
          <w:b w:val="1"/>
          <w:bCs w:val="1"/>
          <w:color w:val="000000"/>
          <w:sz w:val="22"/>
          <w:szCs w:val="22"/>
          <w:rtl w:val="0"/>
        </w:rPr>
        <w:t xml:space="preserve">7.2.3 Account for Token Price Sensitivity in Reward Design</w:t>
      </w:r>
    </w:p>
    <w:p w:rsidR="00000000" w:rsidDel="00000000" w:rsidP="00000000" w:rsidRDefault="00000000" w:rsidRPr="00000000" w14:paraId="0000014A">
      <w:pPr>
        <w:spacing w:after="240" w:before="240" w:lineRule="auto"/>
        <w:rPr/>
      </w:pPr>
      <w:r w:rsidDel="00000000" w:rsidR="00000000" w:rsidRPr="00000000">
        <w:rPr>
          <w:rtl w:val="0"/>
        </w:rPr>
        <w:t xml:space="preserve">Liquidity shock scenarios show that price-mediated reward compression can trigger delayed churn even when nominal rewards remain unchanged. For Onocoy, where rewards are denominated in ONO, this introduces an indirect exposure to market volatility.</w:t>
      </w:r>
    </w:p>
    <w:p w:rsidR="00000000" w:rsidDel="00000000" w:rsidP="00000000" w:rsidRDefault="00000000" w:rsidRPr="00000000" w14:paraId="0000014B">
      <w:pPr>
        <w:spacing w:after="240" w:before="240" w:lineRule="auto"/>
        <w:rPr/>
      </w:pPr>
      <w:r w:rsidDel="00000000" w:rsidR="00000000" w:rsidRPr="00000000">
        <w:rPr>
          <w:rtl w:val="0"/>
        </w:rPr>
        <w:t xml:space="preserve">Actionable suggestion:</w:t>
        <w:br w:type="textWrapping"/>
        <w:t xml:space="preserve"> Onocoy may benefit from evaluating how reward timing, smoothing mechanisms, or partial stabilization strategies affect provider exposure to short-term price movements. While full price insulation may be neither feasible nor desirable, reducing abrupt changes in effective reward value could help dampen second-order churn effects following market stress.</w:t>
      </w:r>
    </w:p>
    <w:p w:rsidR="00000000" w:rsidDel="00000000" w:rsidP="00000000" w:rsidRDefault="00000000" w:rsidRPr="00000000" w14:paraId="0000014C">
      <w:pPr>
        <w:spacing w:after="240" w:before="240" w:lineRule="auto"/>
        <w:rPr/>
      </w:pPr>
      <w:r w:rsidDel="00000000" w:rsidR="00000000" w:rsidRPr="00000000">
        <w:rPr>
          <w:rtl w:val="0"/>
        </w:rPr>
        <w:t xml:space="preserve">This consideration is particularly relevant during known liquidity events or periods of heightened market uncertainty.</w:t>
      </w:r>
    </w:p>
    <w:p w:rsidR="00000000" w:rsidDel="00000000" w:rsidP="00000000" w:rsidRDefault="00000000" w:rsidRPr="00000000" w14:paraId="0000014D">
      <w:pPr>
        <w:pStyle w:val="Heading3"/>
        <w:keepNext w:val="0"/>
        <w:keepLines w:val="0"/>
        <w:spacing w:before="280" w:lineRule="auto"/>
        <w:rPr>
          <w:b w:val="1"/>
          <w:bCs w:val="1"/>
          <w:color w:val="000000"/>
          <w:sz w:val="22"/>
          <w:szCs w:val="22"/>
        </w:rPr>
      </w:pPr>
      <w:bookmarkStart w:colFirst="0" w:colLast="0" w:name="_1ttl6q9fsxo" w:id="52"/>
      <w:bookmarkEnd w:id="52"/>
      <w:r w:rsidDel="00000000" w:rsidR="00000000" w:rsidRPr="00000000">
        <w:rPr>
          <w:b w:val="1"/>
          <w:bCs w:val="1"/>
          <w:color w:val="000000"/>
          <w:sz w:val="22"/>
          <w:szCs w:val="22"/>
          <w:rtl w:val="0"/>
        </w:rPr>
        <w:t xml:space="preserve">7.2.4 Differentiate Incentives by Provider Commitment Level</w:t>
      </w:r>
    </w:p>
    <w:p w:rsidR="00000000" w:rsidDel="00000000" w:rsidP="00000000" w:rsidRDefault="00000000" w:rsidRPr="00000000" w14:paraId="0000014E">
      <w:pPr>
        <w:spacing w:after="240" w:before="240" w:lineRule="auto"/>
        <w:rPr/>
      </w:pPr>
      <w:r w:rsidDel="00000000" w:rsidR="00000000" w:rsidRPr="00000000">
        <w:rPr>
          <w:rtl w:val="0"/>
        </w:rPr>
        <w:t xml:space="preserve">Simulation results suggest that providers with higher sunk costs and longer commitment horizons exhibit greater resilience under stress. Given the physical and technical requirements of GNSS infrastructure, Onocoy’s provider base is likely heterogeneous in both cost structure and exit friction.</w:t>
      </w:r>
    </w:p>
    <w:p w:rsidR="00000000" w:rsidDel="00000000" w:rsidP="00000000" w:rsidRDefault="00000000" w:rsidRPr="00000000" w14:paraId="0000014F">
      <w:pPr>
        <w:spacing w:after="240" w:before="240" w:lineRule="auto"/>
        <w:rPr/>
      </w:pPr>
      <w:r w:rsidDel="00000000" w:rsidR="00000000" w:rsidRPr="00000000">
        <w:rPr>
          <w:rtl w:val="0"/>
        </w:rPr>
        <w:t xml:space="preserve">Actionable suggestion:</w:t>
        <w:br w:type="textWrapping"/>
        <w:t xml:space="preserve"> Onocoy could further explore incentive differentiation based on provider commitment characteristics, such as hardware tier, installation complexity, or operational reliability. Reward structures that recognize long-term contribution may reduce sensitivity to short-term competitive yield pressure and strengthen infrastructure stability.</w:t>
      </w:r>
    </w:p>
    <w:p w:rsidR="00000000" w:rsidDel="00000000" w:rsidP="00000000" w:rsidRDefault="00000000" w:rsidRPr="00000000" w14:paraId="00000150">
      <w:pPr>
        <w:spacing w:after="240" w:before="240" w:lineRule="auto"/>
        <w:rPr/>
      </w:pPr>
      <w:r w:rsidDel="00000000" w:rsidR="00000000" w:rsidRPr="00000000">
        <w:rPr>
          <w:rtl w:val="0"/>
        </w:rPr>
        <w:t xml:space="preserve">This approach aligns incentives with the physical realities of the network rather than assuming uniform provider behavior.</w:t>
      </w:r>
    </w:p>
    <w:p w:rsidR="00000000" w:rsidDel="00000000" w:rsidP="00000000" w:rsidRDefault="00000000" w:rsidRPr="00000000" w14:paraId="00000151">
      <w:pPr>
        <w:pStyle w:val="Heading3"/>
        <w:keepNext w:val="0"/>
        <w:keepLines w:val="0"/>
        <w:spacing w:before="280" w:lineRule="auto"/>
        <w:rPr>
          <w:b w:val="1"/>
          <w:bCs w:val="1"/>
          <w:color w:val="000000"/>
          <w:sz w:val="22"/>
          <w:szCs w:val="22"/>
        </w:rPr>
      </w:pPr>
      <w:bookmarkStart w:colFirst="0" w:colLast="0" w:name="_z1nz8zf3ptn4" w:id="53"/>
      <w:bookmarkEnd w:id="53"/>
      <w:r w:rsidDel="00000000" w:rsidR="00000000" w:rsidRPr="00000000">
        <w:rPr>
          <w:b w:val="1"/>
          <w:bCs w:val="1"/>
          <w:color w:val="000000"/>
          <w:sz w:val="22"/>
          <w:szCs w:val="22"/>
          <w:rtl w:val="0"/>
        </w:rPr>
        <w:t xml:space="preserve">7.2.5 Use Stress Testing as an Ongoing Governance Tool</w:t>
      </w:r>
    </w:p>
    <w:p w:rsidR="00000000" w:rsidDel="00000000" w:rsidP="00000000" w:rsidRDefault="00000000" w:rsidRPr="00000000" w14:paraId="00000152">
      <w:pPr>
        <w:spacing w:after="240" w:before="240" w:lineRule="auto"/>
        <w:rPr/>
      </w:pPr>
      <w:r w:rsidDel="00000000" w:rsidR="00000000" w:rsidRPr="00000000">
        <w:rPr>
          <w:rtl w:val="0"/>
        </w:rPr>
        <w:t xml:space="preserve">One of the central contributions of this thesis is the demonstration of how stress testing can be applied systematically to DePIN tokenomics. For Onocoy, such tools need not be limited to academic analysis.</w:t>
      </w:r>
    </w:p>
    <w:p w:rsidR="00000000" w:rsidDel="00000000" w:rsidP="00000000" w:rsidRDefault="00000000" w:rsidRPr="00000000" w14:paraId="00000153">
      <w:pPr>
        <w:spacing w:after="240" w:before="240" w:lineRule="auto"/>
        <w:rPr/>
      </w:pPr>
      <w:r w:rsidDel="00000000" w:rsidR="00000000" w:rsidRPr="00000000">
        <w:rPr>
          <w:rtl w:val="0"/>
        </w:rPr>
        <w:t xml:space="preserve">Actionable suggestion:</w:t>
        <w:br w:type="textWrapping"/>
        <w:t xml:space="preserve"> Onocoy could adopt simplified versions of stress-testing frameworks as part of internal governance or parameter review processes. Periodic evaluation of how proposed changes perform under adverse scenarios may help identify unintended consequences before they manifest in production.</w:t>
      </w:r>
    </w:p>
    <w:p w:rsidR="00000000" w:rsidDel="00000000" w:rsidP="00000000" w:rsidRDefault="00000000" w:rsidRPr="00000000" w14:paraId="00000154">
      <w:pPr>
        <w:spacing w:after="240" w:before="240" w:lineRule="auto"/>
        <w:rPr/>
      </w:pPr>
      <w:r w:rsidDel="00000000" w:rsidR="00000000" w:rsidRPr="00000000">
        <w:rPr>
          <w:rtl w:val="0"/>
        </w:rPr>
        <w:t xml:space="preserve">In this sense, stress testing functions less as a predictive instrument and more as a structured way to reason about risk.</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2"/>
          <w:szCs w:val="22"/>
        </w:rPr>
      </w:pPr>
      <w:bookmarkStart w:colFirst="0" w:colLast="0" w:name="_9pas2vu3dggh" w:id="54"/>
      <w:bookmarkEnd w:id="54"/>
      <w:r w:rsidDel="00000000" w:rsidR="00000000" w:rsidRPr="00000000">
        <w:rPr>
          <w:b w:val="1"/>
          <w:bCs w:val="1"/>
          <w:color w:val="000000"/>
          <w:sz w:val="22"/>
          <w:szCs w:val="22"/>
          <w:rtl w:val="0"/>
        </w:rPr>
        <w:t xml:space="preserve">Positioning Note</w:t>
      </w:r>
    </w:p>
    <w:p w:rsidR="00000000" w:rsidDel="00000000" w:rsidP="00000000" w:rsidRDefault="00000000" w:rsidRPr="00000000" w14:paraId="00000157">
      <w:pPr>
        <w:spacing w:after="240" w:before="240" w:lineRule="auto"/>
        <w:rPr/>
      </w:pPr>
      <w:r w:rsidDel="00000000" w:rsidR="00000000" w:rsidRPr="00000000">
        <w:rPr>
          <w:rtl w:val="0"/>
        </w:rPr>
        <w:t xml:space="preserve">These suggestions are derived from modeled behavior under standardized assumptions and should be interpreted as exploratory rather than definitive. Their value lies in identifying leverage points for further investigation and experimentation, not in asserting optimal solutions.</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242c7zv44jql" w:id="55"/>
      <w:bookmarkEnd w:id="55"/>
      <w:r w:rsidDel="00000000" w:rsidR="00000000" w:rsidRPr="00000000">
        <w:rPr>
          <w:b w:val="1"/>
          <w:bCs w:val="1"/>
          <w:sz w:val="34"/>
          <w:szCs w:val="34"/>
          <w:rtl w:val="0"/>
        </w:rPr>
        <w:t xml:space="preserve">7.3 Implications for Researchers (What This Enables and What It Does Not)</w:t>
      </w:r>
    </w:p>
    <w:p w:rsidR="00000000" w:rsidDel="00000000" w:rsidP="00000000" w:rsidRDefault="00000000" w:rsidRPr="00000000" w14:paraId="0000015B">
      <w:pPr>
        <w:spacing w:after="240" w:before="240" w:lineRule="auto"/>
        <w:rPr/>
      </w:pPr>
      <w:r w:rsidDel="00000000" w:rsidR="00000000" w:rsidRPr="00000000">
        <w:rPr>
          <w:rtl w:val="0"/>
        </w:rPr>
        <w:t xml:space="preserve">This thesis contributes to the growing body of research on Decentralized Physical Infrastructure Networks (DePIN) by demonstrating how tokenomic mechanisms can be evaluated through structured stress testing rather than through growth-oriented or valuation-centric analysis. The implications for researchers are twofold: the framework introduced here enables a new mode of comparative analysis, while also highlighting clear methodological boundaries that future work must respect.</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rpl9waxmu29b" w:id="56"/>
      <w:bookmarkEnd w:id="56"/>
      <w:r w:rsidDel="00000000" w:rsidR="00000000" w:rsidRPr="00000000">
        <w:rPr>
          <w:b w:val="1"/>
          <w:bCs w:val="1"/>
          <w:color w:val="000000"/>
          <w:sz w:val="26"/>
          <w:szCs w:val="26"/>
          <w:rtl w:val="0"/>
        </w:rPr>
        <w:t xml:space="preserve">7.3.1 What This Framework Enables</w:t>
      </w:r>
    </w:p>
    <w:p w:rsidR="00000000" w:rsidDel="00000000" w:rsidP="00000000" w:rsidRDefault="00000000" w:rsidRPr="00000000" w14:paraId="0000015D">
      <w:pPr>
        <w:spacing w:after="240" w:before="240" w:lineRule="auto"/>
        <w:rPr/>
      </w:pPr>
      <w:r w:rsidDel="00000000" w:rsidR="00000000" w:rsidRPr="00000000">
        <w:rPr>
          <w:rtl w:val="0"/>
        </w:rPr>
        <w:t xml:space="preserve">First, this work provides a reproducible approach for translating conceptual tokenomic designs into testable models under controlled conditions. By formalizing incentive mechanisms, provider behavior, and demand regimes into explicit parameters, researchers can move beyond narrative comparisons and evaluate directional robustness across protocols and scenarios.</w:t>
      </w:r>
    </w:p>
    <w:p w:rsidR="00000000" w:rsidDel="00000000" w:rsidP="00000000" w:rsidRDefault="00000000" w:rsidRPr="00000000" w14:paraId="0000015E">
      <w:pPr>
        <w:spacing w:after="240" w:before="240" w:lineRule="auto"/>
        <w:rPr/>
      </w:pPr>
      <w:r w:rsidDel="00000000" w:rsidR="00000000" w:rsidRPr="00000000">
        <w:rPr>
          <w:rtl w:val="0"/>
        </w:rPr>
        <w:t xml:space="preserve">This enables comparative questions that are otherwise difficult to answer empirically, such as how different emission structures respond to identical demand shocks, or how provider retention dynamics vary when reward–demand coupling weakens. Importantly, the framework allows for controlled falsification: assumptions can be varied systematically, and their effects observed transparently.</w:t>
      </w:r>
    </w:p>
    <w:p w:rsidR="00000000" w:rsidDel="00000000" w:rsidP="00000000" w:rsidRDefault="00000000" w:rsidRPr="00000000" w14:paraId="0000015F">
      <w:pPr>
        <w:spacing w:after="240" w:before="240" w:lineRule="auto"/>
        <w:rPr/>
      </w:pPr>
      <w:r w:rsidDel="00000000" w:rsidR="00000000" w:rsidRPr="00000000">
        <w:rPr>
          <w:rtl w:val="0"/>
        </w:rPr>
        <w:t xml:space="preserve">Second, the stress-testing approach supports interdisciplinary research at the intersection of economics, systems engineering, and blockchain governance. DePIN networks operate as socio-technical systems, where physical constraints, human behavior, and protocol rules interact. Simulation-based evaluation offers a practical method for studying these interactions without requiring complete or proprietary real-world data.</w:t>
      </w:r>
    </w:p>
    <w:p w:rsidR="00000000" w:rsidDel="00000000" w:rsidP="00000000" w:rsidRDefault="00000000" w:rsidRPr="00000000" w14:paraId="00000160">
      <w:pPr>
        <w:spacing w:after="240" w:before="240" w:lineRule="auto"/>
        <w:rPr/>
      </w:pPr>
      <w:r w:rsidDel="00000000" w:rsidR="00000000" w:rsidRPr="00000000">
        <w:rPr>
          <w:rtl w:val="0"/>
        </w:rPr>
        <w:t xml:space="preserve">Third, the framework is extensible. While this thesis applies the model to Onocoy as a primary case, the underlying structure can be adapted to other DePIN categories, alternative incentive designs, or different demand environments. This positions the work as a methodological contribution rather than a single-case evaluation.</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ej6hin88wip" w:id="57"/>
      <w:bookmarkEnd w:id="57"/>
      <w:r w:rsidDel="00000000" w:rsidR="00000000" w:rsidRPr="00000000">
        <w:rPr>
          <w:b w:val="1"/>
          <w:bCs w:val="1"/>
          <w:color w:val="000000"/>
          <w:sz w:val="26"/>
          <w:szCs w:val="26"/>
          <w:rtl w:val="0"/>
        </w:rPr>
        <w:t xml:space="preserve">7.3.2 What This Framework Does Not Enable</w:t>
      </w:r>
    </w:p>
    <w:p w:rsidR="00000000" w:rsidDel="00000000" w:rsidP="00000000" w:rsidRDefault="00000000" w:rsidRPr="00000000" w14:paraId="00000162">
      <w:pPr>
        <w:spacing w:after="240" w:before="240" w:lineRule="auto"/>
        <w:rPr/>
      </w:pPr>
      <w:r w:rsidDel="00000000" w:rsidR="00000000" w:rsidRPr="00000000">
        <w:rPr>
          <w:rtl w:val="0"/>
        </w:rPr>
        <w:t xml:space="preserve">At the same time, it is essential to clarify the limits of the approach. The simulations presented here do not predict real-world outcomes, token prices, or network success. All results are conditional on modeled assumptions and should be interpreted as directional indicators rather than forecasts.</w:t>
      </w:r>
    </w:p>
    <w:p w:rsidR="00000000" w:rsidDel="00000000" w:rsidP="00000000" w:rsidRDefault="00000000" w:rsidRPr="00000000" w14:paraId="00000163">
      <w:pPr>
        <w:spacing w:after="240" w:before="240" w:lineRule="auto"/>
        <w:rPr/>
      </w:pPr>
      <w:r w:rsidDel="00000000" w:rsidR="00000000" w:rsidRPr="00000000">
        <w:rPr>
          <w:rtl w:val="0"/>
        </w:rPr>
        <w:t xml:space="preserve">The framework also does not establish causal certainty. While modeled relationships between incentives, provider behavior, and outcomes are internally consistent, they remain abstractions of complex real-world dynamics. External factors such as regulatory changes, technological breakthroughs, or strategic behavior by large actors are not fully captured.</w:t>
      </w:r>
    </w:p>
    <w:p w:rsidR="00000000" w:rsidDel="00000000" w:rsidP="00000000" w:rsidRDefault="00000000" w:rsidRPr="00000000" w14:paraId="00000164">
      <w:pPr>
        <w:spacing w:after="240" w:before="240" w:lineRule="auto"/>
        <w:rPr/>
      </w:pPr>
      <w:r w:rsidDel="00000000" w:rsidR="00000000" w:rsidRPr="00000000">
        <w:rPr>
          <w:rtl w:val="0"/>
        </w:rPr>
        <w:t xml:space="preserve">Furthermore, the model does not replace empirical validation. Stress testing can identify plausible failure modes and robustness patterns, but it cannot confirm whether these dynamics will manifest identically in live networks. As such, simulation results should be viewed as complements to empirical observation, not substitutes for it.</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je9uhceqgjiz" w:id="58"/>
      <w:bookmarkEnd w:id="58"/>
      <w:r w:rsidDel="00000000" w:rsidR="00000000" w:rsidRPr="00000000">
        <w:rPr>
          <w:b w:val="1"/>
          <w:bCs w:val="1"/>
          <w:color w:val="000000"/>
          <w:sz w:val="26"/>
          <w:szCs w:val="26"/>
          <w:rtl w:val="0"/>
        </w:rPr>
        <w:t xml:space="preserve">7.3.3 Research Directions Opened by This Work</w:t>
      </w:r>
    </w:p>
    <w:p w:rsidR="00000000" w:rsidDel="00000000" w:rsidP="00000000" w:rsidRDefault="00000000" w:rsidRPr="00000000" w14:paraId="00000166">
      <w:pPr>
        <w:spacing w:after="240" w:before="240" w:lineRule="auto"/>
        <w:rPr/>
      </w:pPr>
      <w:r w:rsidDel="00000000" w:rsidR="00000000" w:rsidRPr="00000000">
        <w:rPr>
          <w:rtl w:val="0"/>
        </w:rPr>
        <w:t xml:space="preserve">The limitations of this thesis also point toward future research opportunities. One direction involves integrating richer empirical data, such as observed provider churn distributions or cost heterogeneity, to refine behavioral assumptions. Another involves extending the framework to multi-token or cross-network interactions, which are increasingly relevant as DePIN ecosystems mature.</w:t>
      </w:r>
    </w:p>
    <w:p w:rsidR="00000000" w:rsidDel="00000000" w:rsidP="00000000" w:rsidRDefault="00000000" w:rsidRPr="00000000" w14:paraId="00000167">
      <w:pPr>
        <w:spacing w:after="240" w:before="240" w:lineRule="auto"/>
        <w:rPr/>
      </w:pPr>
      <w:r w:rsidDel="00000000" w:rsidR="00000000" w:rsidRPr="00000000">
        <w:rPr>
          <w:rtl w:val="0"/>
        </w:rPr>
        <w:t xml:space="preserve">Finally, there is scope for methodological refinement. Sensitivity analysis techniques, alternative agent decision models, and formal validation against historical network events could further strengthen the robustness of simulation-based evaluation in this domain.</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pgtyjoopt9p2" w:id="59"/>
      <w:bookmarkEnd w:id="59"/>
      <w:r w:rsidDel="00000000" w:rsidR="00000000" w:rsidRPr="00000000">
        <w:rPr>
          <w:b w:val="1"/>
          <w:bCs w:val="1"/>
          <w:color w:val="000000"/>
          <w:sz w:val="26"/>
          <w:szCs w:val="26"/>
          <w:rtl w:val="0"/>
        </w:rPr>
        <w:t xml:space="preserve">Closing Positioning Note</w:t>
      </w:r>
    </w:p>
    <w:p w:rsidR="00000000" w:rsidDel="00000000" w:rsidP="00000000" w:rsidRDefault="00000000" w:rsidRPr="00000000" w14:paraId="0000016A">
      <w:pPr>
        <w:spacing w:after="240" w:before="240" w:lineRule="auto"/>
        <w:rPr/>
      </w:pPr>
      <w:r w:rsidDel="00000000" w:rsidR="00000000" w:rsidRPr="00000000">
        <w:rPr>
          <w:rtl w:val="0"/>
        </w:rPr>
        <w:t xml:space="preserve">Taken together, this thesis positions stress testing as a useful analytical lens for DePIN tokenomics, while maintaining a clear separation between evaluation and prediction. By explicitly defining what the framework enables and where its limits lie, the work aims to contribute responsibly to an emerging research area characterized by both technical complexity and high uncertainty.</w:t>
      </w:r>
      <w:r w:rsidDel="00000000" w:rsidR="00000000" w:rsidRPr="00000000">
        <w:rPr>
          <w:rtl w:val="0"/>
        </w:rPr>
      </w:r>
    </w:p>
    <w:p w:rsidR="00000000" w:rsidDel="00000000" w:rsidP="00000000" w:rsidRDefault="00000000" w:rsidRPr="00000000" w14:paraId="0000016B">
      <w:pPr>
        <w:pStyle w:val="Heading1"/>
        <w:rPr>
          <w:sz w:val="24"/>
          <w:szCs w:val="24"/>
        </w:rPr>
      </w:pPr>
      <w:bookmarkStart w:colFirst="0" w:colLast="0" w:name="_k85qvquvvgys" w:id="60"/>
      <w:bookmarkEnd w:id="60"/>
      <w:r w:rsidDel="00000000" w:rsidR="00000000" w:rsidRPr="00000000">
        <w:rPr>
          <w:sz w:val="24"/>
          <w:szCs w:val="24"/>
          <w:rtl w:val="0"/>
        </w:rPr>
        <w:t xml:space="preserve">8. Human Decision-Making Under Stress: DePIN Response Archetypes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[This section interprets simulation results through observed DePIN response patterns under stress. It introduces no new data.]</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spacing w:after="240" w:before="240" w:lineRule="auto"/>
        <w:rPr>
          <w:sz w:val="24"/>
          <w:szCs w:val="24"/>
        </w:rPr>
      </w:pPr>
      <w:bookmarkStart w:colFirst="0" w:colLast="0" w:name="_t95cskaqmsl1" w:id="61"/>
      <w:bookmarkEnd w:id="61"/>
      <w:r w:rsidDel="00000000" w:rsidR="00000000" w:rsidRPr="00000000">
        <w:rPr>
          <w:sz w:val="24"/>
          <w:szCs w:val="24"/>
          <w:rtl w:val="0"/>
        </w:rPr>
        <w:t xml:space="preserve">8.1 Why Mechanism Design Alone Is Insufficient</w:t>
      </w:r>
    </w:p>
    <w:p w:rsidR="00000000" w:rsidDel="00000000" w:rsidP="00000000" w:rsidRDefault="00000000" w:rsidRPr="00000000" w14:paraId="00000170">
      <w:pPr>
        <w:spacing w:after="240" w:before="240" w:lineRule="auto"/>
        <w:rPr/>
      </w:pPr>
      <w:r w:rsidDel="00000000" w:rsidR="00000000" w:rsidRPr="00000000">
        <w:rPr>
          <w:rtl w:val="0"/>
        </w:rPr>
        <w:t xml:space="preserve">Simulation-based stress testing provides insight into how tokenomic mechanisms behave when subjected to adverse conditions under controlled assumptions. In this thesis, the modeling framework intentionally holds protocol parameters fixed during each run in order to isolate the structural properties of incentive design. This approach makes it possible to compare mechanisms on a like-for-like basis and to identify recurring failure modes such as reward–demand decoupling, profitability-driven churn, and latent capacity degradation.</w:t>
      </w:r>
    </w:p>
    <w:p w:rsidR="00000000" w:rsidDel="00000000" w:rsidP="00000000" w:rsidRDefault="00000000" w:rsidRPr="00000000" w14:paraId="00000171">
      <w:pPr>
        <w:spacing w:after="240" w:before="240" w:lineRule="auto"/>
        <w:rPr/>
      </w:pPr>
      <w:r w:rsidDel="00000000" w:rsidR="00000000" w:rsidRPr="00000000">
        <w:rPr>
          <w:rtl w:val="0"/>
        </w:rPr>
        <w:t xml:space="preserve">However, real-world DePIN trajectories are not shaped by mechanism design alone. Protocol parameters are interpreted, adjusted, delayed, or defended by human actors operating under uncertainty. Decisions regarding emissions, reward structures, governance timing, and communication strategy are made in environments characterized by incomplete information, reputational risk, and asymmetric incentives. As a result, the realized behavior of a DePIN often reflects not only its tokenomic architecture, but also how operators respond—or fail to respond—to emerging stress signals.</w:t>
      </w:r>
    </w:p>
    <w:p w:rsidR="00000000" w:rsidDel="00000000" w:rsidP="00000000" w:rsidRDefault="00000000" w:rsidRPr="00000000" w14:paraId="00000172">
      <w:pPr>
        <w:spacing w:after="240" w:before="240" w:lineRule="auto"/>
        <w:rPr/>
      </w:pPr>
      <w:r w:rsidDel="00000000" w:rsidR="00000000" w:rsidRPr="00000000">
        <w:rPr>
          <w:rtl w:val="0"/>
        </w:rPr>
        <w:t xml:space="preserve">The simulation results presented in Section 6 demonstrate that many failure modes develop gradually rather than abruptly. Indicators such as declining provider margins, weakening burn-to-emission ratios, or rising sensitivity to external yield pressure often precede visible network deterioration. In practice, these early signals are frequently ambiguous, making it difficult to distinguish temporary volatility from structural stress. This ambiguity creates space for patterned human responses that interact with tokenomic mechanisms in predictable ways.</w:t>
      </w:r>
    </w:p>
    <w:p w:rsidR="00000000" w:rsidDel="00000000" w:rsidP="00000000" w:rsidRDefault="00000000" w:rsidRPr="00000000" w14:paraId="00000173">
      <w:pPr>
        <w:spacing w:after="240" w:before="240" w:lineRule="auto"/>
        <w:rPr/>
      </w:pPr>
      <w:r w:rsidDel="00000000" w:rsidR="00000000" w:rsidRPr="00000000">
        <w:rPr>
          <w:rtl w:val="0"/>
        </w:rPr>
        <w:t xml:space="preserve">Accordingly, understanding DePIN resilience requires examining not only how incentive systems behave under stress, but also how protocol teams tend to react when stress becomes apparent. The remainder of this section introduces a set of empirically observed response archetypes that recur across DePIN deployments. These archetypes do not replace the formal results of the simulation model. Rather, they provide an interpretive lens for connecting model-observed failure modes to real-world decision-making dynamics, including those relevant to the Onocoy network.</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7lnz63y66eq2" w:id="62"/>
      <w:bookmarkEnd w:id="62"/>
      <w:r w:rsidDel="00000000" w:rsidR="00000000" w:rsidRPr="00000000">
        <w:rPr>
          <w:b w:val="1"/>
          <w:bCs w:val="1"/>
          <w:color w:val="000000"/>
          <w:sz w:val="26"/>
          <w:szCs w:val="26"/>
          <w:rtl w:val="0"/>
        </w:rPr>
        <w:t xml:space="preserve">8.1.1 From Mechanism Stress to Human Response Patterns</w:t>
      </w:r>
    </w:p>
    <w:p w:rsidR="00000000" w:rsidDel="00000000" w:rsidP="00000000" w:rsidRDefault="00000000" w:rsidRPr="00000000" w14:paraId="00000175">
      <w:pPr>
        <w:spacing w:after="240" w:before="240" w:lineRule="auto"/>
        <w:rPr/>
      </w:pPr>
      <w:r w:rsidDel="00000000" w:rsidR="00000000" w:rsidRPr="00000000">
        <w:rPr>
          <w:rtl w:val="0"/>
        </w:rPr>
        <w:t xml:space="preserve">The simulation framework developed in this thesis evaluates how tokenomic mechanisms behave when subjected to standardized stress conditions, assuming fixed parameters and no discretionary intervention. In practice, however, DePINs are not passive systems. Protocol operators, core contributors, and governance bodies interpret stress signals and respond through concrete decisions that shape how incentive mechanisms are applied, modified, or deferred.</w:t>
      </w:r>
    </w:p>
    <w:p w:rsidR="00000000" w:rsidDel="00000000" w:rsidP="00000000" w:rsidRDefault="00000000" w:rsidRPr="00000000" w14:paraId="00000176">
      <w:pPr>
        <w:spacing w:after="240" w:before="240" w:lineRule="auto"/>
        <w:rPr/>
      </w:pPr>
      <w:r w:rsidDel="00000000" w:rsidR="00000000" w:rsidRPr="00000000">
        <w:rPr>
          <w:rtl w:val="0"/>
        </w:rPr>
        <w:t xml:space="preserve">The archetypes introduced in this section do not represent simulated agents or modeled behaviors within the stress-testing framework. Rather, they are analytical constructs derived from observed patterns across DePIN projects when similar stress conditions arise. Each archetype reflects a recurring mode of human response to deteriorating economic signals, such as declining demand, provider unprofitability, or increased volatility.</w:t>
      </w:r>
    </w:p>
    <w:p w:rsidR="00000000" w:rsidDel="00000000" w:rsidP="00000000" w:rsidRDefault="00000000" w:rsidRPr="00000000" w14:paraId="00000177">
      <w:pPr>
        <w:spacing w:after="240" w:before="240" w:lineRule="auto"/>
        <w:rPr/>
      </w:pPr>
      <w:r w:rsidDel="00000000" w:rsidR="00000000" w:rsidRPr="00000000">
        <w:rPr>
          <w:rtl w:val="0"/>
        </w:rPr>
        <w:t xml:space="preserve">Importantly, these response patterns are not inferred from narrative accounts alone. They are grounded in dashboard-observable signals produced by the simulation framework, including changes in provider retention, burn-to-emission ratios, incentive solvency, utilization efficiency, and concentration metrics. The archetypes therefore function as an interpretive layer that connects quantitative stress outcomes to real-world decision-making dynamics.</w:t>
      </w:r>
    </w:p>
    <w:p w:rsidR="00000000" w:rsidDel="00000000" w:rsidP="00000000" w:rsidRDefault="00000000" w:rsidRPr="00000000" w14:paraId="00000178">
      <w:pPr>
        <w:spacing w:after="240" w:before="240" w:lineRule="auto"/>
        <w:rPr/>
      </w:pPr>
      <w:r w:rsidDel="00000000" w:rsidR="00000000" w:rsidRPr="00000000">
        <w:rPr>
          <w:rtl w:val="0"/>
        </w:rPr>
        <w:t xml:space="preserve">By introducing this layer, the analysis moves beyond mechanism behavior in isolation and toward an integrated view of how tokenomic design and human intervention interact under stress. The purpose is not to predict specific governance actions, but to provide a structured lens for recognizing how different response patterns can amplify or mitigate the failure modes identified in earlier sections.</w:t>
      </w:r>
    </w:p>
    <w:p w:rsidR="00000000" w:rsidDel="00000000" w:rsidP="00000000" w:rsidRDefault="00000000" w:rsidRPr="00000000" w14:paraId="00000179">
      <w:pPr>
        <w:pStyle w:val="Heading2"/>
        <w:keepNext w:val="0"/>
        <w:keepLines w:val="0"/>
        <w:spacing w:before="280" w:lineRule="auto"/>
        <w:rPr>
          <w:sz w:val="24"/>
          <w:szCs w:val="24"/>
        </w:rPr>
      </w:pPr>
      <w:bookmarkStart w:colFirst="0" w:colLast="0" w:name="_71n1v1x4r3zj" w:id="63"/>
      <w:bookmarkEnd w:id="63"/>
      <w:r w:rsidDel="00000000" w:rsidR="00000000" w:rsidRPr="00000000">
        <w:rPr>
          <w:sz w:val="24"/>
          <w:szCs w:val="24"/>
          <w:rtl w:val="0"/>
        </w:rPr>
        <w:t xml:space="preserve">8.2 Archetype I: Subsidy Inertia</w:t>
      </w:r>
    </w:p>
    <w:p w:rsidR="00000000" w:rsidDel="00000000" w:rsidP="00000000" w:rsidRDefault="00000000" w:rsidRPr="00000000" w14:paraId="0000017A">
      <w:pPr>
        <w:spacing w:after="240" w:before="240" w:lineRule="auto"/>
        <w:rPr/>
      </w:pPr>
      <w:r w:rsidDel="00000000" w:rsidR="00000000" w:rsidRPr="00000000">
        <w:rPr>
          <w:rtl w:val="0"/>
        </w:rPr>
        <w:t xml:space="preserve">Subsidy inertia describes a response pattern in which protocol operators maintain emissions-driven provider rewards despite emerging signs of demand weakness or deteriorating incentive solvency. In this archetype, emissions are treated as a stabilizing force intended to preserve infrastructure participation, even as usage-driven demand and burn mechanisms lag behind issuance.</w:t>
      </w:r>
    </w:p>
    <w:p w:rsidR="00000000" w:rsidDel="00000000" w:rsidP="00000000" w:rsidRDefault="00000000" w:rsidRPr="00000000" w14:paraId="0000017B">
      <w:pPr>
        <w:spacing w:after="240" w:before="240" w:lineRule="auto"/>
        <w:rPr/>
      </w:pPr>
      <w:r w:rsidDel="00000000" w:rsidR="00000000" w:rsidRPr="00000000">
        <w:rPr>
          <w:rtl w:val="0"/>
        </w:rPr>
        <w:t xml:space="preserve">This response is often motivated by the structural characteristics of DePIN systems. Physical infrastructure is costly to deploy, geographically constrained, and slow to replace once removed. As shown in the baseline and stress simulations in Section 6, provider exit can lead to persistent capacity loss and degraded service quality. Faced with this risk, protocol teams may prioritize short-term provider retention over near-term emission discipline, particularly during early network growth.</w:t>
      </w:r>
    </w:p>
    <w:p w:rsidR="00000000" w:rsidDel="00000000" w:rsidP="00000000" w:rsidRDefault="00000000" w:rsidRPr="00000000" w14:paraId="0000017C">
      <w:pPr>
        <w:spacing w:after="240" w:before="240" w:lineRule="auto"/>
        <w:rPr/>
      </w:pPr>
      <w:r w:rsidDel="00000000" w:rsidR="00000000" w:rsidRPr="00000000">
        <w:rPr>
          <w:rtl w:val="0"/>
        </w:rPr>
        <w:t xml:space="preserve">From a tokenomic perspective, subsidy inertia delays visible churn but increases the divergence between rewards and real economic output. Simulation results demonstrate that when demand remains weak, sustained emissions compress real provider profitability even if nominal rewards remain unchanged. Over time, this dynamic manifests as reward–demand decoupling and declining incentive solvency, two failure modes identified in Section 6.5.</w:t>
      </w:r>
    </w:p>
    <w:p w:rsidR="00000000" w:rsidDel="00000000" w:rsidP="00000000" w:rsidRDefault="00000000" w:rsidRPr="00000000" w14:paraId="0000017D">
      <w:pPr>
        <w:spacing w:after="240" w:before="240" w:lineRule="auto"/>
        <w:rPr/>
      </w:pPr>
      <w:r w:rsidDel="00000000" w:rsidR="00000000" w:rsidRPr="00000000">
        <w:rPr>
          <w:rtl w:val="0"/>
        </w:rPr>
        <w:t xml:space="preserve">In the context of Onocoy, predefined emission decay and reward weighting mechanisms represent an attempt to balance retention against long-term dilution. Nevertheless, during periods where demand growth lags infrastructure deployment, a meaningful portion of provider compensation remains subsidy-supported. This reflects a deliberate trade-off rather than a design flaw: preserving geographic coverage and service reliability while demand matures.</w:t>
      </w:r>
    </w:p>
    <w:p w:rsidR="00000000" w:rsidDel="00000000" w:rsidP="00000000" w:rsidRDefault="00000000" w:rsidRPr="00000000" w14:paraId="0000017E">
      <w:pPr>
        <w:spacing w:after="240" w:before="240" w:lineRule="auto"/>
        <w:rPr/>
      </w:pPr>
      <w:r w:rsidDel="00000000" w:rsidR="00000000" w:rsidRPr="00000000">
        <w:rPr>
          <w:rtl w:val="0"/>
        </w:rPr>
        <w:t xml:space="preserve">Dashboard indicators associated with subsidy inertia include a declining burn-to-emission ratio, stable or slowly declining nominal rewards alongside falling real provider margins, and churn remaining muted until confidence thresholds are breached. When adjustment eventually occurs, exit dynamics tend to accelerate rather than unfold gradually, consistent with the delayed-release behavior observed in the stress scenarios.</w:t>
      </w:r>
    </w:p>
    <w:p w:rsidR="00000000" w:rsidDel="00000000" w:rsidP="00000000" w:rsidRDefault="00000000" w:rsidRPr="00000000" w14:paraId="0000017F">
      <w:pPr>
        <w:spacing w:after="240" w:before="240" w:lineRule="auto"/>
        <w:rPr/>
      </w:pPr>
      <w:r w:rsidDel="00000000" w:rsidR="00000000" w:rsidRPr="00000000">
        <w:rPr>
          <w:rtl w:val="0"/>
        </w:rPr>
        <w:t xml:space="preserve">Subsidy inertia does not constitute a failure in itself. Rather, it is a time-shifting mechanism that trades early stability for increased adjustment risk later. Recognizing this pattern is therefore critical for interpreting early stress signals and distinguishing temporary subsidy reliance from structurally unsustainable incentive dynamics.</w:t>
      </w:r>
    </w:p>
    <w:p w:rsidR="00000000" w:rsidDel="00000000" w:rsidP="00000000" w:rsidRDefault="00000000" w:rsidRPr="00000000" w14:paraId="00000180">
      <w:pPr>
        <w:pStyle w:val="Heading2"/>
        <w:keepNext w:val="0"/>
        <w:keepLines w:val="0"/>
        <w:spacing w:before="280" w:lineRule="auto"/>
        <w:rPr>
          <w:sz w:val="24"/>
          <w:szCs w:val="24"/>
        </w:rPr>
      </w:pPr>
      <w:bookmarkStart w:colFirst="0" w:colLast="0" w:name="_gvehovg5bp4" w:id="64"/>
      <w:bookmarkEnd w:id="64"/>
      <w:r w:rsidDel="00000000" w:rsidR="00000000" w:rsidRPr="00000000">
        <w:rPr>
          <w:sz w:val="24"/>
          <w:szCs w:val="24"/>
          <w:rtl w:val="0"/>
        </w:rPr>
        <w:t xml:space="preserve">8.3 Archetype II: Incentive Expansion vs Incentive Re-Targeting</w:t>
      </w:r>
    </w:p>
    <w:p w:rsidR="00000000" w:rsidDel="00000000" w:rsidP="00000000" w:rsidRDefault="00000000" w:rsidRPr="00000000" w14:paraId="00000181">
      <w:pPr>
        <w:spacing w:after="240" w:before="240" w:lineRule="auto"/>
        <w:rPr/>
      </w:pPr>
      <w:r w:rsidDel="00000000" w:rsidR="00000000" w:rsidRPr="00000000">
        <w:rPr>
          <w:rtl w:val="0"/>
        </w:rPr>
        <w:t xml:space="preserve">Under stress, many DePIN protocols respond by modifying incentive structures. However, simulation results and observed DePIN trajectories indicate that these responses fall into two materially different patterns. While both involve changes to rewards, their long-term implications diverge significantly.</w:t>
      </w:r>
    </w:p>
    <w:p w:rsidR="00000000" w:rsidDel="00000000" w:rsidP="00000000" w:rsidRDefault="00000000" w:rsidRPr="00000000" w14:paraId="00000182">
      <w:pPr>
        <w:pStyle w:val="Heading4"/>
        <w:keepNext w:val="0"/>
        <w:keepLines w:val="0"/>
        <w:spacing w:after="40" w:before="240" w:lineRule="auto"/>
        <w:rPr>
          <w:b w:val="1"/>
          <w:bCs w:val="1"/>
          <w:color w:val="000000"/>
          <w:sz w:val="22"/>
          <w:szCs w:val="22"/>
        </w:rPr>
      </w:pPr>
      <w:bookmarkStart w:colFirst="0" w:colLast="0" w:name="_762w55k4edfu" w:id="65"/>
      <w:bookmarkEnd w:id="65"/>
      <w:r w:rsidDel="00000000" w:rsidR="00000000" w:rsidRPr="00000000">
        <w:rPr>
          <w:b w:val="1"/>
          <w:bCs w:val="1"/>
          <w:color w:val="000000"/>
          <w:sz w:val="22"/>
          <w:szCs w:val="22"/>
          <w:rtl w:val="0"/>
        </w:rPr>
        <w:t xml:space="preserve">8.3.1 Subsidy Expansion (Incentive Overfitting)</w:t>
      </w:r>
    </w:p>
    <w:p w:rsidR="00000000" w:rsidDel="00000000" w:rsidP="00000000" w:rsidRDefault="00000000" w:rsidRPr="00000000" w14:paraId="00000183">
      <w:pPr>
        <w:spacing w:after="240" w:before="240" w:lineRule="auto"/>
        <w:rPr/>
      </w:pPr>
      <w:r w:rsidDel="00000000" w:rsidR="00000000" w:rsidRPr="00000000">
        <w:rPr>
          <w:rtl w:val="0"/>
        </w:rPr>
        <w:t xml:space="preserve">In the first subtype, protocol operators respond to declining provider profitability or emerging churn by broadly increasing emissions or introducing temporary reward multipliers. These adjustments are typically applied uniformly across providers and are framed as short-term stabilizing measures intended to preserve participation until demand conditions improve.</w:t>
      </w:r>
    </w:p>
    <w:p w:rsidR="00000000" w:rsidDel="00000000" w:rsidP="00000000" w:rsidRDefault="00000000" w:rsidRPr="00000000" w14:paraId="00000184">
      <w:pPr>
        <w:spacing w:after="240" w:before="240" w:lineRule="auto"/>
        <w:rPr/>
      </w:pPr>
      <w:r w:rsidDel="00000000" w:rsidR="00000000" w:rsidRPr="00000000">
        <w:rPr>
          <w:rtl w:val="0"/>
        </w:rPr>
        <w:t xml:space="preserve">The rationale behind subsidy expansion is rooted in immediacy. Increasing rewards is a fast, reversible intervention that requires minimal structural change. It also avoids difficult decisions around reducing participation or accepting near-term contraction. In practice, this response often reflects the belief that incentive strength, rather than incentive alignment, is the primary constraint.</w:t>
      </w:r>
    </w:p>
    <w:p w:rsidR="00000000" w:rsidDel="00000000" w:rsidP="00000000" w:rsidRDefault="00000000" w:rsidRPr="00000000" w14:paraId="00000185">
      <w:pPr>
        <w:spacing w:after="240" w:before="240" w:lineRule="auto"/>
        <w:rPr/>
      </w:pPr>
      <w:r w:rsidDel="00000000" w:rsidR="00000000" w:rsidRPr="00000000">
        <w:rPr>
          <w:rtl w:val="0"/>
        </w:rPr>
        <w:t xml:space="preserve">Simulation outcomes show that subsidy expansion can temporarily suppress churn by offsetting provider losses. However, this effect is short-lived. Because additional rewards are not coupled to increased demand or service utilization, emissions accelerate relative to usage-driven sinks. As a result, incentive solvency deteriorates more rapidly, and providers become conditioned to elevated subsidy levels.</w:t>
      </w:r>
    </w:p>
    <w:p w:rsidR="00000000" w:rsidDel="00000000" w:rsidP="00000000" w:rsidRDefault="00000000" w:rsidRPr="00000000" w14:paraId="00000186">
      <w:pPr>
        <w:spacing w:after="240" w:before="240" w:lineRule="auto"/>
        <w:rPr/>
      </w:pPr>
      <w:r w:rsidDel="00000000" w:rsidR="00000000" w:rsidRPr="00000000">
        <w:rPr>
          <w:rtl w:val="0"/>
        </w:rPr>
        <w:t xml:space="preserve">Once expanded incentives are withdrawn or normalized, churn dynamics tend to intensify. This pattern corresponds to the failure modes of reward–demand decoupling and liquidity-driven incentive compression identified in Section 6.5. Rather than smoothing adjustment, subsidy expansion shifts instability forward in time and increases sensitivity to subsequent shocks.</w:t>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1q3x7iggix1g" w:id="66"/>
      <w:bookmarkEnd w:id="66"/>
      <w:r w:rsidDel="00000000" w:rsidR="00000000" w:rsidRPr="00000000">
        <w:rPr>
          <w:b w:val="1"/>
          <w:bCs w:val="1"/>
          <w:color w:val="000000"/>
          <w:sz w:val="22"/>
          <w:szCs w:val="22"/>
          <w:rtl w:val="0"/>
        </w:rPr>
        <w:t xml:space="preserve">8.3.2 Incentive Re-Targeting (Adaptive Alignment)</w:t>
      </w:r>
    </w:p>
    <w:p w:rsidR="00000000" w:rsidDel="00000000" w:rsidP="00000000" w:rsidRDefault="00000000" w:rsidRPr="00000000" w14:paraId="00000188">
      <w:pPr>
        <w:spacing w:after="240" w:before="240" w:lineRule="auto"/>
        <w:rPr/>
      </w:pPr>
      <w:r w:rsidDel="00000000" w:rsidR="00000000" w:rsidRPr="00000000">
        <w:rPr>
          <w:rtl w:val="0"/>
        </w:rPr>
        <w:t xml:space="preserve">The second subtype involves modifying what is rewarded rather than how much is rewarded. Instead of increasing aggregate emissions, protocol operators adjust reward attribution to better reflect economically valuable output, such as coverage quality, service availability, or demand-aligned contribution.</w:t>
      </w:r>
    </w:p>
    <w:p w:rsidR="00000000" w:rsidDel="00000000" w:rsidP="00000000" w:rsidRDefault="00000000" w:rsidRPr="00000000" w14:paraId="00000189">
      <w:pPr>
        <w:spacing w:after="240" w:before="240" w:lineRule="auto"/>
        <w:rPr/>
      </w:pPr>
      <w:r w:rsidDel="00000000" w:rsidR="00000000" w:rsidRPr="00000000">
        <w:rPr>
          <w:rtl w:val="0"/>
        </w:rPr>
        <w:t xml:space="preserve">This response is structurally slower and requires deeper intervention in incentive logic. It often involves deprioritizing redundant or low-value supply while preserving incentives for providers that contribute disproportionately to service reliability or user demand. As a result, participation growth may slow, but average provider profitability improves.</w:t>
      </w:r>
    </w:p>
    <w:p w:rsidR="00000000" w:rsidDel="00000000" w:rsidP="00000000" w:rsidRDefault="00000000" w:rsidRPr="00000000" w14:paraId="0000018A">
      <w:pPr>
        <w:spacing w:after="240" w:before="240" w:lineRule="auto"/>
        <w:rPr/>
      </w:pPr>
      <w:r w:rsidDel="00000000" w:rsidR="00000000" w:rsidRPr="00000000">
        <w:rPr>
          <w:rtl w:val="0"/>
        </w:rPr>
        <w:t xml:space="preserve">Simulation results indicate that incentive re-targeting produces more stable outcomes under demand volatility. While total provider count may decline or grow more slowly, utilization efficiency increases and incentive solvency deteriorates less rapidly. These systems exhibit lower churn elasticity under stress, though they may sacrifice rapid expansion during favorable conditions.</w:t>
      </w:r>
    </w:p>
    <w:p w:rsidR="00000000" w:rsidDel="00000000" w:rsidP="00000000" w:rsidRDefault="00000000" w:rsidRPr="00000000" w14:paraId="0000018B">
      <w:pPr>
        <w:spacing w:after="240" w:before="240" w:lineRule="auto"/>
        <w:rPr/>
      </w:pPr>
      <w:r w:rsidDel="00000000" w:rsidR="00000000" w:rsidRPr="00000000">
        <w:rPr>
          <w:rtl w:val="0"/>
        </w:rPr>
        <w:t xml:space="preserve">In the context of Onocoy, quality-weighted rewards and location-based scaling mechanisms represent an early form of incentive re-targeting. By applying diminishing returns to dense geographic clustering and weighting rewards by service quality, the design attempts to limit over-incentivization of redundant supply. Simulation results suggest that such mechanisms improve resilience under demand stress but require careful calibration to avoid excessive centralization.</w:t>
      </w:r>
    </w:p>
    <w:p w:rsidR="00000000" w:rsidDel="00000000" w:rsidP="00000000" w:rsidRDefault="00000000" w:rsidRPr="00000000" w14:paraId="0000018C">
      <w:pPr>
        <w:spacing w:after="240" w:before="240" w:lineRule="auto"/>
        <w:rPr/>
      </w:pPr>
      <w:r w:rsidDel="00000000" w:rsidR="00000000" w:rsidRPr="00000000">
        <w:rPr>
          <w:rtl w:val="0"/>
        </w:rPr>
        <w:t xml:space="preserve">Dashboard indicators associated with incentive re-targeting include improved utilization ratios, slower but more stable provider growth, and a tighter coupling between burn dynamics and rewarded activity. Compared to subsidy expansion, this subtype exhibits fewer abrupt regime shifts and more gradual adjustment under stress.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ly2s05ocqdr6" w:id="67"/>
      <w:bookmarkEnd w:id="67"/>
      <w:r w:rsidDel="00000000" w:rsidR="00000000" w:rsidRPr="00000000">
        <w:rPr>
          <w:b w:val="1"/>
          <w:bCs w:val="1"/>
          <w:sz w:val="34"/>
          <w:szCs w:val="34"/>
          <w:rtl w:val="0"/>
        </w:rPr>
        <w:t xml:space="preserve">8.4 Archetype III: Narrative Repositioning Without Structural Adjustment</w:t>
      </w:r>
    </w:p>
    <w:p w:rsidR="00000000" w:rsidDel="00000000" w:rsidP="00000000" w:rsidRDefault="00000000" w:rsidRPr="00000000" w14:paraId="0000018F">
      <w:pPr>
        <w:spacing w:after="240" w:before="240" w:lineRule="auto"/>
        <w:rPr/>
      </w:pPr>
      <w:r w:rsidDel="00000000" w:rsidR="00000000" w:rsidRPr="00000000">
        <w:rPr>
          <w:rtl w:val="0"/>
        </w:rPr>
        <w:t xml:space="preserve">In this response pattern, protocol operators react to emerging stress not through changes to tokenomic parameters, but through shifts in narrative emphasis. Communication pivots toward future integrations, upcoming use cases, long-term vision, or anticipated demand growth, while the underlying incentive structure remains largely unchanged.</w:t>
      </w:r>
    </w:p>
    <w:p w:rsidR="00000000" w:rsidDel="00000000" w:rsidP="00000000" w:rsidRDefault="00000000" w:rsidRPr="00000000" w14:paraId="00000190">
      <w:pPr>
        <w:spacing w:after="240" w:before="240" w:lineRule="auto"/>
        <w:rPr/>
      </w:pPr>
      <w:r w:rsidDel="00000000" w:rsidR="00000000" w:rsidRPr="00000000">
        <w:rPr>
          <w:rtl w:val="0"/>
        </w:rPr>
        <w:t xml:space="preserve">The rationale behind narrative repositioning is pragmatic. Governance processes may be slow, parameter changes may be politically sensitive, or teams may judge that intervention risks outweigh benefits in the short term. Reframing the narrative is low-cost, reversible, and does not require explicit acknowledgment of structural weakness. It can also serve to maintain contributor morale and external confidence during periods of uncertainty.</w:t>
      </w:r>
    </w:p>
    <w:p w:rsidR="00000000" w:rsidDel="00000000" w:rsidP="00000000" w:rsidRDefault="00000000" w:rsidRPr="00000000" w14:paraId="00000191">
      <w:pPr>
        <w:spacing w:after="240" w:before="240" w:lineRule="auto"/>
        <w:rPr/>
      </w:pPr>
      <w:r w:rsidDel="00000000" w:rsidR="00000000" w:rsidRPr="00000000">
        <w:rPr>
          <w:rtl w:val="0"/>
        </w:rPr>
        <w:t xml:space="preserve">However, simulation results indicate that narrative shifts alone have no measurable impact on provider economics when incentive structures remain unchanged. Under continued demand weakness or adverse macro conditions, provider profitability, utilization efficiency, and incentive solvency continue to deteriorate along trajectories similar to those observed prior to the narrative shift.</w:t>
      </w:r>
    </w:p>
    <w:p w:rsidR="00000000" w:rsidDel="00000000" w:rsidP="00000000" w:rsidRDefault="00000000" w:rsidRPr="00000000" w14:paraId="00000192">
      <w:pPr>
        <w:spacing w:after="240" w:before="240" w:lineRule="auto"/>
        <w:rPr/>
      </w:pPr>
      <w:r w:rsidDel="00000000" w:rsidR="00000000" w:rsidRPr="00000000">
        <w:rPr>
          <w:rtl w:val="0"/>
        </w:rPr>
        <w:t xml:space="preserve">From a systems perspective, this archetype neither materially mitigates nor immediately worsens tokenomic fragility. Instead, it delays corrective action. As stress persists, the divergence between external communication and internal economic signals increases, often narrowing the window for effective structural adjustment later.</w:t>
      </w:r>
    </w:p>
    <w:p w:rsidR="00000000" w:rsidDel="00000000" w:rsidP="00000000" w:rsidRDefault="00000000" w:rsidRPr="00000000" w14:paraId="00000193">
      <w:pPr>
        <w:spacing w:after="240" w:before="240" w:lineRule="auto"/>
        <w:rPr/>
      </w:pPr>
      <w:r w:rsidDel="00000000" w:rsidR="00000000" w:rsidRPr="00000000">
        <w:rPr>
          <w:rtl w:val="0"/>
        </w:rPr>
        <w:t xml:space="preserve">Dashboard indicators associated with this pattern include stable or optimistic public messaging alongside declining utilization, worsening burn-to-emission ratios, and increasing reliance on subsidy-supported rewards. Over time, provider churn accelerates once confidence erodes, producing outcomes comparable to those observed under subsidy inertia.</w:t>
      </w:r>
    </w:p>
    <w:p w:rsidR="00000000" w:rsidDel="00000000" w:rsidP="00000000" w:rsidRDefault="00000000" w:rsidRPr="00000000" w14:paraId="00000194">
      <w:pPr>
        <w:spacing w:after="240" w:before="240" w:lineRule="auto"/>
        <w:rPr/>
      </w:pPr>
      <w:r w:rsidDel="00000000" w:rsidR="00000000" w:rsidRPr="00000000">
        <w:rPr>
          <w:rtl w:val="0"/>
        </w:rPr>
        <w:t xml:space="preserve">Narrative repositioning is therefore best understood as a buffering strategy rather than a stabilizing mechanism. It may extend perceived runway, but it does not alter the underlying dynamics captured by the stress-testing framework. In the absence of demand recovery or structural incentive adjustment, this archetype primarily shifts the timing of observable failure modes rather than their likelihood.</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s2zl9qp605mf" w:id="68"/>
      <w:bookmarkEnd w:id="68"/>
      <w:r w:rsidDel="00000000" w:rsidR="00000000" w:rsidRPr="00000000">
        <w:rPr>
          <w:b w:val="1"/>
          <w:bCs w:val="1"/>
          <w:sz w:val="34"/>
          <w:szCs w:val="34"/>
          <w:rtl w:val="0"/>
        </w:rPr>
        <w:t xml:space="preserve">8.5 Archetype IV: Emergency Centralization and Operational Intervention</w:t>
      </w:r>
    </w:p>
    <w:p w:rsidR="00000000" w:rsidDel="00000000" w:rsidP="00000000" w:rsidRDefault="00000000" w:rsidRPr="00000000" w14:paraId="00000196">
      <w:pPr>
        <w:spacing w:after="240" w:before="240" w:lineRule="auto"/>
        <w:rPr/>
      </w:pPr>
      <w:r w:rsidDel="00000000" w:rsidR="00000000" w:rsidRPr="00000000">
        <w:rPr>
          <w:rtl w:val="0"/>
        </w:rPr>
        <w:t xml:space="preserve">Under severe or accelerating stress, some DePIN protocols respond by intervening directly in network operations or governance processes to preserve service continuity. This response pattern prioritizes functional survivability over architectural purity and often involves temporary or permanent forms of centralization.</w:t>
      </w:r>
    </w:p>
    <w:p w:rsidR="00000000" w:rsidDel="00000000" w:rsidP="00000000" w:rsidRDefault="00000000" w:rsidRPr="00000000" w14:paraId="00000197">
      <w:pPr>
        <w:spacing w:after="240" w:before="240" w:lineRule="auto"/>
        <w:rPr/>
      </w:pPr>
      <w:r w:rsidDel="00000000" w:rsidR="00000000" w:rsidRPr="00000000">
        <w:rPr>
          <w:rtl w:val="0"/>
        </w:rPr>
        <w:t xml:space="preserve">Emergency interventions can take multiple forms. Protocol operators may adjust emission schedules or reward logic outside of regular governance cycles, selectively support core providers, restrict participation, or migrate operational components to more controllable environments. These actions are typically framed as exceptional measures taken to prevent irreversible infrastructure degradation.</w:t>
      </w:r>
    </w:p>
    <w:p w:rsidR="00000000" w:rsidDel="00000000" w:rsidP="00000000" w:rsidRDefault="00000000" w:rsidRPr="00000000" w14:paraId="00000198">
      <w:pPr>
        <w:spacing w:after="240" w:before="240" w:lineRule="auto"/>
        <w:rPr/>
      </w:pPr>
      <w:r w:rsidDel="00000000" w:rsidR="00000000" w:rsidRPr="00000000">
        <w:rPr>
          <w:rtl w:val="0"/>
        </w:rPr>
        <w:t xml:space="preserve">The rationale for emergency centralization is rooted in asymmetric risk. In infrastructure-based systems, prolonged service outages or loss of coverage can permanently damage user trust and market position. Teams therefore prioritize maintaining minimum viable service levels, even if doing so compromises decentralization in the short term.</w:t>
      </w:r>
    </w:p>
    <w:p w:rsidR="00000000" w:rsidDel="00000000" w:rsidP="00000000" w:rsidRDefault="00000000" w:rsidRPr="00000000" w14:paraId="00000199">
      <w:pPr>
        <w:spacing w:after="240" w:before="240" w:lineRule="auto"/>
        <w:rPr/>
      </w:pPr>
      <w:r w:rsidDel="00000000" w:rsidR="00000000" w:rsidRPr="00000000">
        <w:rPr>
          <w:rtl w:val="0"/>
        </w:rPr>
        <w:t xml:space="preserve">Simulation results suggest that such interventions can meaningfully reduce short-term churn and stabilize capacity. By concentrating rewards or operational support on higher-efficiency providers, networks can preserve core functionality and delay collapse. Volatility and churn metrics often improve immediately following intervention.</w:t>
      </w:r>
    </w:p>
    <w:p w:rsidR="00000000" w:rsidDel="00000000" w:rsidP="00000000" w:rsidRDefault="00000000" w:rsidRPr="00000000" w14:paraId="0000019A">
      <w:pPr>
        <w:spacing w:after="240" w:before="240" w:lineRule="auto"/>
        <w:rPr/>
      </w:pPr>
      <w:r w:rsidDel="00000000" w:rsidR="00000000" w:rsidRPr="00000000">
        <w:rPr>
          <w:rtl w:val="0"/>
        </w:rPr>
        <w:t xml:space="preserve">However, this stabilization comes with structural costs. Concentration increases as marginal providers exit or are deprioritized, reducing provider diversity and geographic redundancy. Over time, recovery elasticity diminishes: when demand conditions improve, re-expanding the provider base becomes slower and more capital-intensive. Additionally, reliance on discretionary intervention introduces governance risk, as future stability depends on continued centralized decision-making rather than on incentive alignment.</w:t>
      </w:r>
    </w:p>
    <w:p w:rsidR="00000000" w:rsidDel="00000000" w:rsidP="00000000" w:rsidRDefault="00000000" w:rsidRPr="00000000" w14:paraId="0000019B">
      <w:pPr>
        <w:spacing w:after="240" w:before="240" w:lineRule="auto"/>
        <w:rPr/>
      </w:pPr>
      <w:r w:rsidDel="00000000" w:rsidR="00000000" w:rsidRPr="00000000">
        <w:rPr>
          <w:rtl w:val="0"/>
        </w:rPr>
        <w:t xml:space="preserve">In the context of Onocoy, this archetype is most relevant at the governance margin. While the network operates natively within a decentralized execution environment, discretion over emission decay, reward weighting, and validator selection represents a softer form of centralization. Such controls can be used to smooth transitions under stress but also create dependencies that must be managed transparently to maintain trust.</w:t>
      </w:r>
    </w:p>
    <w:p w:rsidR="00000000" w:rsidDel="00000000" w:rsidP="00000000" w:rsidRDefault="00000000" w:rsidRPr="00000000" w14:paraId="0000019C">
      <w:pPr>
        <w:spacing w:after="240" w:before="240" w:lineRule="auto"/>
        <w:rPr/>
      </w:pPr>
      <w:r w:rsidDel="00000000" w:rsidR="00000000" w:rsidRPr="00000000">
        <w:rPr>
          <w:rtl w:val="0"/>
        </w:rPr>
        <w:t xml:space="preserve">Dashboard signals associated with emergency centralization include reduced short-term volatility, declining churn, rising concentration metrics, and improved utilization among remaining providers. These indicators may initially suggest recovery, but they also signal a shift in the network’s decentralization profile.</w:t>
      </w:r>
    </w:p>
    <w:p w:rsidR="00000000" w:rsidDel="00000000" w:rsidP="00000000" w:rsidRDefault="00000000" w:rsidRPr="00000000" w14:paraId="0000019D">
      <w:pPr>
        <w:spacing w:after="240" w:before="240" w:lineRule="auto"/>
        <w:rPr/>
      </w:pPr>
      <w:r w:rsidDel="00000000" w:rsidR="00000000" w:rsidRPr="00000000">
        <w:rPr>
          <w:rtl w:val="0"/>
        </w:rPr>
        <w:t xml:space="preserve">Emergency centralization should therefore be interpreted as a trade-off, not a solution. It can preserve operational continuity under extreme conditions, but it does so by externalizing risk into governance structures. Long-term resilience still depends on restoring demand-aligned incentives and reducing reliance on discretionary control.</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gtmmbq87bzjq" w:id="69"/>
      <w:bookmarkEnd w:id="69"/>
      <w:r w:rsidDel="00000000" w:rsidR="00000000" w:rsidRPr="00000000">
        <w:rPr>
          <w:b w:val="1"/>
          <w:bCs w:val="1"/>
          <w:sz w:val="34"/>
          <w:szCs w:val="34"/>
          <w:rtl w:val="0"/>
        </w:rPr>
        <w:t xml:space="preserve">8.6 Why These Archetypes Matter for the Stress-Testing Framework</w:t>
      </w:r>
    </w:p>
    <w:p w:rsidR="00000000" w:rsidDel="00000000" w:rsidP="00000000" w:rsidRDefault="00000000" w:rsidRPr="00000000" w14:paraId="0000019F">
      <w:pPr>
        <w:spacing w:after="240" w:before="240" w:lineRule="auto"/>
        <w:rPr/>
      </w:pPr>
      <w:r w:rsidDel="00000000" w:rsidR="00000000" w:rsidRPr="00000000">
        <w:rPr>
          <w:rtl w:val="0"/>
        </w:rPr>
        <w:t xml:space="preserve">The purpose of introducing stress-response archetypes is not to replace simulation-based analysis, but to contextualize it. Tokenomic stress testing evaluates how incentive mechanisms behave when left structurally unchanged under adverse conditions. Real-world DePIN trajectories, however, are shaped by the interaction between these mechanisms and human decision-making under uncertainty.</w:t>
      </w:r>
    </w:p>
    <w:p w:rsidR="00000000" w:rsidDel="00000000" w:rsidP="00000000" w:rsidRDefault="00000000" w:rsidRPr="00000000" w14:paraId="000001A0">
      <w:pPr>
        <w:spacing w:after="240" w:before="240" w:lineRule="auto"/>
        <w:rPr/>
      </w:pPr>
      <w:r w:rsidDel="00000000" w:rsidR="00000000" w:rsidRPr="00000000">
        <w:rPr>
          <w:rtl w:val="0"/>
        </w:rPr>
        <w:t xml:space="preserve">The archetypes identified in this section provide a bridge between modeled outcomes and observed protocol behavior. Each archetype corresponds to a recognizable pattern of intervention—or non-intervention—that alters how stress propagates through the system. Importantly, these patterns do not contradict the simulation results; rather, they help explain why real networks may diverge from simulated trajectories at specific inflection points.</w:t>
      </w:r>
    </w:p>
    <w:p w:rsidR="00000000" w:rsidDel="00000000" w:rsidP="00000000" w:rsidRDefault="00000000" w:rsidRPr="00000000" w14:paraId="000001A1">
      <w:pPr>
        <w:spacing w:after="240" w:before="240" w:lineRule="auto"/>
        <w:rPr/>
      </w:pPr>
      <w:r w:rsidDel="00000000" w:rsidR="00000000" w:rsidRPr="00000000">
        <w:rPr>
          <w:rtl w:val="0"/>
        </w:rPr>
        <w:t xml:space="preserve">From a modeling perspective, the value of these archetypes lies in diagnostic alignment. The dashboard metrics developed in this thesis—such as provider retention, incentive solvency, utilization efficiency, and concentration—act as early-warning indicators that signal which archetype a network may be drifting toward. For example, a widening gap between emissions and burns combined with stable nominal rewards suggests subsidy inertia, while declining churn alongside rising concentration points toward emergency centralization.</w:t>
      </w:r>
    </w:p>
    <w:p w:rsidR="00000000" w:rsidDel="00000000" w:rsidP="00000000" w:rsidRDefault="00000000" w:rsidRPr="00000000" w14:paraId="000001A2">
      <w:pPr>
        <w:spacing w:after="240" w:before="240" w:lineRule="auto"/>
        <w:rPr/>
      </w:pPr>
      <w:r w:rsidDel="00000000" w:rsidR="00000000" w:rsidRPr="00000000">
        <w:rPr>
          <w:rtl w:val="0"/>
        </w:rPr>
        <w:t xml:space="preserve">By mapping observed metric behavior to stress-response patterns, protocol operators and researchers can move beyond reactive interpretation toward anticipatory analysis. Rather than asking whether a network is “healthy” or “failing,” the more informative question becomes: which response pattern is currently dominant, and what second-order effects does it imply given the network’s tokenomic design?</w:t>
      </w:r>
    </w:p>
    <w:p w:rsidR="00000000" w:rsidDel="00000000" w:rsidP="00000000" w:rsidRDefault="00000000" w:rsidRPr="00000000" w14:paraId="000001A3">
      <w:pPr>
        <w:spacing w:after="240" w:before="240" w:lineRule="auto"/>
        <w:rPr/>
      </w:pPr>
      <w:r w:rsidDel="00000000" w:rsidR="00000000" w:rsidRPr="00000000">
        <w:rPr>
          <w:rtl w:val="0"/>
        </w:rPr>
        <w:t xml:space="preserve">For the Onocoy case, this framing clarifies how design choices—such as emission decay, quality-weighted rewards, and location-based penalties—interact with governance discretion and operator behavior under stress. The simulations establish the structural limits of these mechanisms, while the archetypes illuminate how real-world decisions may either mitigate or amplify those limits.</w:t>
      </w:r>
    </w:p>
    <w:p w:rsidR="00000000" w:rsidDel="00000000" w:rsidP="00000000" w:rsidRDefault="00000000" w:rsidRPr="00000000" w14:paraId="000001A4">
      <w:pPr>
        <w:spacing w:after="240" w:before="240" w:lineRule="auto"/>
        <w:rPr/>
      </w:pPr>
      <w:r w:rsidDel="00000000" w:rsidR="00000000" w:rsidRPr="00000000">
        <w:rPr>
          <w:rtl w:val="0"/>
        </w:rPr>
        <w:t xml:space="preserve">Crucially, this integration reinforces one of the core conclusions of the thesis: tokenomic mechanisms shape resilience trajectories, but they do not operate in isolation. Human intervention is inevitable in infrastructure networks, and its effectiveness depends on whether it aligns with or counteracts the underlying incentive structure.</w:t>
      </w:r>
    </w:p>
    <w:p w:rsidR="00000000" w:rsidDel="00000000" w:rsidP="00000000" w:rsidRDefault="00000000" w:rsidRPr="00000000" w14:paraId="000001A5">
      <w:pPr>
        <w:spacing w:after="240" w:before="240" w:lineRule="auto"/>
        <w:rPr/>
      </w:pPr>
      <w:r w:rsidDel="00000000" w:rsidR="00000000" w:rsidRPr="00000000">
        <w:rPr>
          <w:rtl w:val="0"/>
        </w:rPr>
        <w:t xml:space="preserve">By making this interaction explicit, the framework presented here extends DePIN analysis beyond static mechanism design. It provides a structured way to interpret not only what happens under stress, but why certain responses recur—and how their consequences can be anticipated rather than discovered through</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day159wxulri" w:id="70"/>
      <w:bookmarkEnd w:id="70"/>
      <w:r w:rsidDel="00000000" w:rsidR="00000000" w:rsidRPr="00000000">
        <w:rPr>
          <w:b w:val="1"/>
          <w:bCs w:val="1"/>
          <w:sz w:val="34"/>
          <w:szCs w:val="34"/>
          <w:rtl w:val="0"/>
        </w:rPr>
        <w:t xml:space="preserve">8.7 Positioning of This Contribution</w:t>
      </w:r>
    </w:p>
    <w:p w:rsidR="00000000" w:rsidDel="00000000" w:rsidP="00000000" w:rsidRDefault="00000000" w:rsidRPr="00000000" w14:paraId="000001A7">
      <w:pPr>
        <w:spacing w:after="240" w:before="240" w:lineRule="auto"/>
        <w:rPr/>
      </w:pPr>
      <w:r w:rsidDel="00000000" w:rsidR="00000000" w:rsidRPr="00000000">
        <w:rPr>
          <w:rtl w:val="0"/>
        </w:rPr>
        <w:t xml:space="preserve">This thesis positions its contribution at the intersection of mechanism design, applied simulation, and empirical observation. It does not claim to predict the success or failure of individual DePIN projects, nor does it propose a universal template for sustainable tokenomics. Instead, it offers a disciplined framework for evaluating how tokenomic mechanisms behave under stress and how those behaviors interact with human decision-making in real infrastructure networks.</w:t>
      </w:r>
    </w:p>
    <w:p w:rsidR="00000000" w:rsidDel="00000000" w:rsidP="00000000" w:rsidRDefault="00000000" w:rsidRPr="00000000" w14:paraId="000001A8">
      <w:pPr>
        <w:spacing w:after="240" w:before="240" w:lineRule="auto"/>
        <w:rPr/>
      </w:pPr>
      <w:r w:rsidDel="00000000" w:rsidR="00000000" w:rsidRPr="00000000">
        <w:rPr>
          <w:rtl w:val="0"/>
        </w:rPr>
        <w:t xml:space="preserve">The primary contribution lies in reframing tokenomics evaluation away from growth narratives and toward resilience analysis. By focusing on adverse conditions rather than idealized scenarios, the framework emphasizes directional robustness, failure modes, and trade-offs rather than optimality. This approach aligns with established practices in simulation-based research, where the goal is to falsify assumptions and surface vulnerabilities rather than to optimize parameters in isolation.</w:t>
      </w:r>
    </w:p>
    <w:p w:rsidR="00000000" w:rsidDel="00000000" w:rsidP="00000000" w:rsidRDefault="00000000" w:rsidRPr="00000000" w14:paraId="000001A9">
      <w:pPr>
        <w:spacing w:after="240" w:before="240" w:lineRule="auto"/>
        <w:rPr/>
      </w:pPr>
      <w:r w:rsidDel="00000000" w:rsidR="00000000" w:rsidRPr="00000000">
        <w:rPr>
          <w:rtl w:val="0"/>
        </w:rPr>
        <w:t xml:space="preserve">A second contribution is methodological. The combination of agent-based simulation, standardized stress scenarios, and dashboard-aligned metrics provides a reproducible and extensible evaluation tool. All results are explicitly conditioned on assumptions, parameter ranges, and scenario definitions, reinforcing methodological humility and avoiding overinterpretation. This makes the framework suitable not only for academic inquiry, but also for practical use by protocol designers seeking to test incentive structures before irreversible deployment decisions are made.</w:t>
      </w:r>
    </w:p>
    <w:p w:rsidR="00000000" w:rsidDel="00000000" w:rsidP="00000000" w:rsidRDefault="00000000" w:rsidRPr="00000000" w14:paraId="000001AA">
      <w:pPr>
        <w:spacing w:after="240" w:before="240" w:lineRule="auto"/>
        <w:rPr/>
      </w:pPr>
      <w:r w:rsidDel="00000000" w:rsidR="00000000" w:rsidRPr="00000000">
        <w:rPr>
          <w:rtl w:val="0"/>
        </w:rPr>
        <w:t xml:space="preserve">Finally, the integration of stress-response archetypes extends DePIN analysis beyond purely formal mechanisms. By explicitly acknowledging the role of human intervention under uncertainty, the thesis bridges the gap between modeled behavior and observed protocol trajectories. This layered perspective—mechanisms, metrics, and decision patterns—allows for a more realistic understanding of resilience in decentralized infrastructure systems.</w:t>
      </w:r>
    </w:p>
    <w:p w:rsidR="00000000" w:rsidDel="00000000" w:rsidP="00000000" w:rsidRDefault="00000000" w:rsidRPr="00000000" w14:paraId="000001AB">
      <w:pPr>
        <w:spacing w:after="240" w:before="240" w:lineRule="auto"/>
        <w:rPr/>
      </w:pPr>
      <w:r w:rsidDel="00000000" w:rsidR="00000000" w:rsidRPr="00000000">
        <w:rPr>
          <w:rtl w:val="0"/>
        </w:rPr>
        <w:t xml:space="preserve">Taken together, these elements position the thesis as an evaluative contribution rather than a prescriptive one. It does not assert what tokenomic designs should be adopted, but it does clarify how different designs are likely to behave when conditions deteriorate. In doing so, it aims to improve decision quality before failure occurs, rather than to explain outcomes after the fact.</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64nxhr7fhf53" w:id="71"/>
      <w:bookmarkEnd w:id="71"/>
      <w:r w:rsidDel="00000000" w:rsidR="00000000" w:rsidRPr="00000000">
        <w:rPr>
          <w:b w:val="1"/>
          <w:bCs w:val="1"/>
          <w:sz w:val="34"/>
          <w:szCs w:val="34"/>
          <w:rtl w:val="0"/>
        </w:rPr>
        <w:t xml:space="preserve">8.8 Counterexamples, Edge Cases, and Deliberate Exclusions</w:t>
      </w:r>
    </w:p>
    <w:p w:rsidR="00000000" w:rsidDel="00000000" w:rsidP="00000000" w:rsidRDefault="00000000" w:rsidRPr="00000000" w14:paraId="000001AD">
      <w:pPr>
        <w:spacing w:after="240" w:before="240" w:lineRule="auto"/>
        <w:rPr/>
      </w:pPr>
      <w:r w:rsidDel="00000000" w:rsidR="00000000" w:rsidRPr="00000000">
        <w:rPr>
          <w:rtl w:val="0"/>
        </w:rPr>
        <w:t xml:space="preserve">The analytical framework developed in this thesis is intentionally bounded. Its purpose is to evaluate the robustness of DePIN tokenomic mechanisms under stress, not to explain all possible network outcomes or to subsume every form of decentralized infrastructure. This section therefore addresses counterexamples, edge cases, and analytical exclusions that were considered during the research process. Making these boundaries explicit strengthens the interpretability of the results and clarifies where the framework is most informative.</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jny6eccwtycs" w:id="72"/>
      <w:bookmarkEnd w:id="72"/>
      <w:r w:rsidDel="00000000" w:rsidR="00000000" w:rsidRPr="00000000">
        <w:rPr>
          <w:b w:val="1"/>
          <w:bCs w:val="1"/>
          <w:color w:val="000000"/>
          <w:sz w:val="26"/>
          <w:szCs w:val="26"/>
          <w:rtl w:val="0"/>
        </w:rPr>
        <w:t xml:space="preserve">8.8.1 Counterexample I: Demand-Dominant DePIN Regimes</w:t>
      </w:r>
    </w:p>
    <w:p w:rsidR="00000000" w:rsidDel="00000000" w:rsidP="00000000" w:rsidRDefault="00000000" w:rsidRPr="00000000" w14:paraId="000001AF">
      <w:pPr>
        <w:spacing w:after="240" w:before="240" w:lineRule="auto"/>
        <w:rPr/>
      </w:pPr>
      <w:r w:rsidDel="00000000" w:rsidR="00000000" w:rsidRPr="00000000">
        <w:rPr>
          <w:rtl w:val="0"/>
        </w:rPr>
        <w:t xml:space="preserve">A first class of counterexamples arises in DePINs that successfully reach a demand-dominant regime. In such networks, sustained usage growth generates sufficient real revenue to support provider economics largely independent of tokenomic fine-tuning. Usage-driven burns, service fees, or off-chain payments become the primary drivers of incentive solvency, and token emissions play a secondary role.</w:t>
      </w:r>
    </w:p>
    <w:p w:rsidR="00000000" w:rsidDel="00000000" w:rsidP="00000000" w:rsidRDefault="00000000" w:rsidRPr="00000000" w14:paraId="000001B0">
      <w:pPr>
        <w:spacing w:after="240" w:before="240" w:lineRule="auto"/>
        <w:rPr/>
      </w:pPr>
      <w:r w:rsidDel="00000000" w:rsidR="00000000" w:rsidRPr="00000000">
        <w:rPr>
          <w:rtl w:val="0"/>
        </w:rPr>
        <w:t xml:space="preserve">Under these conditions, several failure modes emphasized in this thesis—such as reward–demand decoupling or subsidy dependence—become less predictive of network outcomes. Provider retention stabilizes even when emissions are imperfectly calibrated, and stress dynamics are absorbed primarily through revenue rather than incentive adjustment.</w:t>
      </w:r>
    </w:p>
    <w:p w:rsidR="00000000" w:rsidDel="00000000" w:rsidP="00000000" w:rsidRDefault="00000000" w:rsidRPr="00000000" w14:paraId="000001B1">
      <w:pPr>
        <w:spacing w:after="240" w:before="240" w:lineRule="auto"/>
        <w:rPr/>
      </w:pPr>
      <w:r w:rsidDel="00000000" w:rsidR="00000000" w:rsidRPr="00000000">
        <w:rPr>
          <w:rtl w:val="0"/>
        </w:rPr>
        <w:t xml:space="preserve">This does not invalidate the framework presented here. Instead, it reinforces its intended scope. The analysis is designed for early-stage and mid-stage DePINs operating under demand uncertainty, where tokenomics materially influences survival dynamics. Once a network crosses into a demand-dominant regime, tokenomic analysis shifts from resilience evaluation to efficiency optimization, which lies outside the focus of this work.</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u41vuhd11zx4" w:id="73"/>
      <w:bookmarkEnd w:id="73"/>
      <w:r w:rsidDel="00000000" w:rsidR="00000000" w:rsidRPr="00000000">
        <w:rPr>
          <w:b w:val="1"/>
          <w:bCs w:val="1"/>
          <w:color w:val="000000"/>
          <w:sz w:val="26"/>
          <w:szCs w:val="26"/>
          <w:rtl w:val="0"/>
        </w:rPr>
        <w:t xml:space="preserve">8.8.2 Counterexample II: Structurally Centralized Infrastructure Networks</w:t>
      </w:r>
    </w:p>
    <w:p w:rsidR="00000000" w:rsidDel="00000000" w:rsidP="00000000" w:rsidRDefault="00000000" w:rsidRPr="00000000" w14:paraId="000001B3">
      <w:pPr>
        <w:spacing w:after="240" w:before="240" w:lineRule="auto"/>
        <w:rPr/>
      </w:pPr>
      <w:r w:rsidDel="00000000" w:rsidR="00000000" w:rsidRPr="00000000">
        <w:rPr>
          <w:rtl w:val="0"/>
        </w:rPr>
        <w:t xml:space="preserve">A second counterexample concerns infrastructure systems that rely on persistent organizational centralization rather than decentralized incentive coordination. In such networks, provider participation is curated, economic stress is absorbed through discretionary intervention, and service continuity is maintained via off-chain authority.</w:t>
      </w:r>
    </w:p>
    <w:p w:rsidR="00000000" w:rsidDel="00000000" w:rsidP="00000000" w:rsidRDefault="00000000" w:rsidRPr="00000000" w14:paraId="000001B4">
      <w:pPr>
        <w:spacing w:after="240" w:before="240" w:lineRule="auto"/>
        <w:rPr/>
      </w:pPr>
      <w:r w:rsidDel="00000000" w:rsidR="00000000" w:rsidRPr="00000000">
        <w:rPr>
          <w:rtl w:val="0"/>
        </w:rPr>
        <w:t xml:space="preserve">While these systems may appear robust under adverse conditions, their stability is organizational rather than tokenomic. Provider churn, capacity allocation, and reward adjustment are governed by administrative decisions rather than incentive feedback loops. As a result, they are not meaningfully comparable within a framework that evaluates decentralized mechanism behavior.</w:t>
      </w:r>
    </w:p>
    <w:p w:rsidR="00000000" w:rsidDel="00000000" w:rsidP="00000000" w:rsidRDefault="00000000" w:rsidRPr="00000000" w14:paraId="000001B5">
      <w:pPr>
        <w:spacing w:after="240" w:before="240" w:lineRule="auto"/>
        <w:rPr/>
      </w:pPr>
      <w:r w:rsidDel="00000000" w:rsidR="00000000" w:rsidRPr="00000000">
        <w:rPr>
          <w:rtl w:val="0"/>
        </w:rPr>
        <w:t xml:space="preserve">These cases are therefore excluded by design. Their apparent resilience does not contradict the findings of this thesis; it reflects a fundamentally different coordination model with distinct risk profiles and governance assumptions.</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ettsbilq0i92" w:id="74"/>
      <w:bookmarkEnd w:id="74"/>
      <w:r w:rsidDel="00000000" w:rsidR="00000000" w:rsidRPr="00000000">
        <w:rPr>
          <w:b w:val="1"/>
          <w:bCs w:val="1"/>
          <w:color w:val="000000"/>
          <w:sz w:val="26"/>
          <w:szCs w:val="26"/>
          <w:rtl w:val="0"/>
        </w:rPr>
        <w:t xml:space="preserve">8.8.3 Honourable-Mention Archetypes Considered but Excluded</w:t>
      </w:r>
    </w:p>
    <w:p w:rsidR="00000000" w:rsidDel="00000000" w:rsidP="00000000" w:rsidRDefault="00000000" w:rsidRPr="00000000" w14:paraId="000001B7">
      <w:pPr>
        <w:spacing w:after="240" w:before="240" w:lineRule="auto"/>
        <w:rPr/>
      </w:pPr>
      <w:r w:rsidDel="00000000" w:rsidR="00000000" w:rsidRPr="00000000">
        <w:rPr>
          <w:rtl w:val="0"/>
        </w:rPr>
        <w:t xml:space="preserve">During the development of the stress-response archetypes in Section 8, several additional patterns were examined but deliberately excluded from the final taxonomy.</w:t>
      </w:r>
    </w:p>
    <w:p w:rsidR="00000000" w:rsidDel="00000000" w:rsidP="00000000" w:rsidRDefault="00000000" w:rsidRPr="00000000" w14:paraId="000001B8">
      <w:pPr>
        <w:spacing w:after="240" w:before="240" w:lineRule="auto"/>
        <w:rPr/>
      </w:pPr>
      <w:r w:rsidDel="00000000" w:rsidR="00000000" w:rsidRPr="00000000">
        <w:rPr>
          <w:rtl w:val="0"/>
        </w:rPr>
        <w:t xml:space="preserve">One such pattern is governance paralysis, where clear stress signals coexist with delayed or contested intervention. While empirically common, governance paralysis does not constitute a stable response archetype. It represents the absence of coordinated response rather than a patterned interaction between decision-making and tokenomic structure. Including it would have reduced analytical clarity without improving explanatory power.</w:t>
      </w:r>
    </w:p>
    <w:p w:rsidR="00000000" w:rsidDel="00000000" w:rsidP="00000000" w:rsidRDefault="00000000" w:rsidRPr="00000000" w14:paraId="000001B9">
      <w:pPr>
        <w:spacing w:after="240" w:before="240" w:lineRule="auto"/>
        <w:rPr/>
      </w:pPr>
      <w:r w:rsidDel="00000000" w:rsidR="00000000" w:rsidRPr="00000000">
        <w:rPr>
          <w:rtl w:val="0"/>
        </w:rPr>
        <w:t xml:space="preserve">Another excluded pattern is speculative reflexivity, where participation and provider behavior are driven primarily by price momentum rather than service utility. Although relevant to market dynamics, such behavior is highly sensitive to external sentiment and difficult to distinguish from noise in simulation-based analysis. Given the thesis’ explicit avoidance of price prediction and sentiment modeling, this pattern was excluded to preserve methodological discipline.</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64tfvurxuzlh" w:id="75"/>
      <w:bookmarkEnd w:id="75"/>
      <w:r w:rsidDel="00000000" w:rsidR="00000000" w:rsidRPr="00000000">
        <w:rPr>
          <w:b w:val="1"/>
          <w:bCs w:val="1"/>
          <w:color w:val="000000"/>
          <w:sz w:val="26"/>
          <w:szCs w:val="26"/>
          <w:rtl w:val="0"/>
        </w:rPr>
        <w:t xml:space="preserve">8.8.4 Honourable-Mention Metrics Considered but Excluded</w:t>
      </w:r>
    </w:p>
    <w:p w:rsidR="00000000" w:rsidDel="00000000" w:rsidP="00000000" w:rsidRDefault="00000000" w:rsidRPr="00000000" w14:paraId="000001BB">
      <w:pPr>
        <w:spacing w:after="240" w:before="240" w:lineRule="auto"/>
        <w:rPr/>
      </w:pPr>
      <w:r w:rsidDel="00000000" w:rsidR="00000000" w:rsidRPr="00000000">
        <w:rPr>
          <w:rtl w:val="0"/>
        </w:rPr>
        <w:t xml:space="preserve">A similar discipline was applied to metric selection. Several commonly cited indicators were considered but excluded from the core evaluation framework.</w:t>
      </w:r>
    </w:p>
    <w:p w:rsidR="00000000" w:rsidDel="00000000" w:rsidP="00000000" w:rsidRDefault="00000000" w:rsidRPr="00000000" w14:paraId="000001BC">
      <w:pPr>
        <w:spacing w:after="240" w:before="240" w:lineRule="auto"/>
        <w:rPr/>
      </w:pPr>
      <w:r w:rsidDel="00000000" w:rsidR="00000000" w:rsidRPr="00000000">
        <w:rPr>
          <w:rtl w:val="0"/>
        </w:rPr>
        <w:t xml:space="preserve">Raw token price and market capitalization were excluded due to their volatility and weak interpretability under stress. Social engagement and governance participation metrics were omitted because their linkage to economic sustainability is indirect and context-dependent. Short-term return metrics were excluded as they conflate speculative behavior with infrastructure performance.</w:t>
      </w:r>
    </w:p>
    <w:p w:rsidR="00000000" w:rsidDel="00000000" w:rsidP="00000000" w:rsidRDefault="00000000" w:rsidRPr="00000000" w14:paraId="000001BD">
      <w:pPr>
        <w:spacing w:after="240" w:before="240" w:lineRule="auto"/>
        <w:rPr/>
      </w:pPr>
      <w:r w:rsidDel="00000000" w:rsidR="00000000" w:rsidRPr="00000000">
        <w:rPr>
          <w:rtl w:val="0"/>
        </w:rPr>
        <w:t xml:space="preserve">The retained metrics—such as provider retention, incentive solvency, utilization efficiency, and concentration—were selected for their direct relationship to service continuity and economic viability under adverse conditions.</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vdh6rb4tfj5y" w:id="76"/>
      <w:bookmarkEnd w:id="76"/>
      <w:r w:rsidDel="00000000" w:rsidR="00000000" w:rsidRPr="00000000">
        <w:rPr>
          <w:b w:val="1"/>
          <w:bCs w:val="1"/>
          <w:color w:val="000000"/>
          <w:sz w:val="26"/>
          <w:szCs w:val="26"/>
          <w:rtl w:val="0"/>
        </w:rPr>
        <w:t xml:space="preserve">8.8.5 Implications for Interpretation</w:t>
      </w:r>
    </w:p>
    <w:p w:rsidR="00000000" w:rsidDel="00000000" w:rsidP="00000000" w:rsidRDefault="00000000" w:rsidRPr="00000000" w14:paraId="000001BF">
      <w:pPr>
        <w:spacing w:after="240" w:before="240" w:lineRule="auto"/>
        <w:rPr/>
      </w:pPr>
      <w:r w:rsidDel="00000000" w:rsidR="00000000" w:rsidRPr="00000000">
        <w:rPr>
          <w:rtl w:val="0"/>
        </w:rPr>
        <w:t xml:space="preserve">By explicitly addressing counterexamples and exclusions, this thesis positions its contribution as conditional rather than universal. The framework does not claim to explain all DePIN trajectories. Instead, it provides a structured method for evaluating how decentralized incentive systems behave, and how human decision-making interacts with those systems, when demand is uncertain and stress is unavoidable.</w:t>
      </w:r>
    </w:p>
    <w:p w:rsidR="00000000" w:rsidDel="00000000" w:rsidP="00000000" w:rsidRDefault="00000000" w:rsidRPr="00000000" w14:paraId="000001C0">
      <w:pPr>
        <w:spacing w:after="240" w:before="240" w:lineRule="auto"/>
        <w:rPr/>
      </w:pPr>
      <w:r w:rsidDel="00000000" w:rsidR="00000000" w:rsidRPr="00000000">
        <w:rPr>
          <w:rtl w:val="0"/>
        </w:rPr>
        <w:t xml:space="preserve">This bounded positioning strengthens both internal validity and practical relevance. For protocol designers operating within comparable conditions, the framework offers a way to surface vulnerabilities and trade-offs before failure occurs. For researchers, it provides a transparent foundation that can be extended, challenged, or refined without overstating its scope.</w:t>
      </w:r>
    </w:p>
    <w:p w:rsidR="00000000" w:rsidDel="00000000" w:rsidP="00000000" w:rsidRDefault="00000000" w:rsidRPr="00000000" w14:paraId="000001C1">
      <w:pPr>
        <w:pStyle w:val="Heading1"/>
        <w:rPr>
          <w:sz w:val="22"/>
          <w:szCs w:val="22"/>
        </w:rPr>
      </w:pPr>
      <w:bookmarkStart w:colFirst="0" w:colLast="0" w:name="_fpkg329xmjzz" w:id="77"/>
      <w:bookmarkEnd w:id="77"/>
      <w:r w:rsidDel="00000000" w:rsidR="00000000" w:rsidRPr="00000000">
        <w:rPr>
          <w:sz w:val="22"/>
          <w:szCs w:val="22"/>
          <w:rtl w:val="0"/>
        </w:rPr>
        <w:t xml:space="preserve">Citations TODO</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