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DePIN Tokenomics Under Stress</w:t>
      </w:r>
      <w:r>
        <w:br/>
      </w:r>
      <w:r>
        <w:t xml:space="preserve">A Simulation-Based Sustainability Analysis Using the Onocoy Network as a Case Study</w:t>
      </w:r>
      <w:r>
        <w:t xml:space="preserve"> </w:t>
      </w:r>
    </w:p>
    <w:p>
      <w:pPr>
        <w:pStyle w:val="Author"/>
      </w:pPr>
      <w:r>
        <w:t xml:space="preserve">Author A</w:t>
      </w:r>
      <w:r>
        <w:br/>
      </w:r>
      <w:r>
        <w:t xml:space="preserve">Author B</w:t>
      </w:r>
      <w:r>
        <w:br/>
      </w:r>
      <w:r>
        <w:t xml:space="preserve">Author C</w:t>
      </w:r>
    </w:p>
    <w:p>
      <w:pPr>
        <w:pStyle w:val="Date"/>
      </w:pPr>
      <w:r>
        <w:t xml:space="preserve">2026-01-19</w:t>
      </w:r>
    </w:p>
    <w:p>
      <w:pPr>
        <w:pStyle w:val="FirstParagraph"/>
      </w:pPr>
      <w:r>
        <w:rPr>
          <w:b/>
          <w:bCs/>
        </w:rPr>
        <w:t xml:space="preserve">DePIN Tokenomics Under Stress</w:t>
      </w:r>
    </w:p>
    <w:p>
      <w:pPr>
        <w:pStyle w:val="BodyText"/>
      </w:pPr>
      <w:r>
        <w:t xml:space="preserve">A Simulation-Based Sustainability Analysis Using the Onocoy Network as a Case Study</w:t>
      </w:r>
    </w:p>
    <w:p>
      <w:pPr>
        <w:pStyle w:val="BodyText"/>
      </w:pPr>
      <w:r>
        <w:rPr>
          <w:b/>
          <w:bCs/>
        </w:rPr>
        <w:t xml:space="preserve">Author A</w:t>
      </w:r>
      <w:r>
        <w:br/>
      </w:r>
      <w:r>
        <w:rPr>
          <w:b/>
          <w:bCs/>
        </w:rPr>
        <w:t xml:space="preserve">Author B</w:t>
      </w:r>
      <w:r>
        <w:br/>
      </w:r>
      <w:r>
        <w:rPr>
          <w:b/>
          <w:bCs/>
        </w:rPr>
        <w:t xml:space="preserve">Author C</w:t>
      </w:r>
    </w:p>
    <w:p>
      <w:pPr>
        <w:pStyle w:val="BodyText"/>
      </w:pPr>
      <w:r>
        <w:t xml:space="preserve">CAS Blockchain</w:t>
      </w:r>
      <w:r>
        <w:br/>
      </w:r>
      <w:r>
        <w:t xml:space="preserve">Lucerne University of Applied Sciences and Arts (HSLU)</w:t>
      </w:r>
    </w:p>
    <w:p>
      <w:pPr>
        <w:pStyle w:val="BodyText"/>
      </w:pPr>
      <w:r>
        <w:t xml:space="preserve">2026-01-19</w:t>
      </w:r>
    </w:p>
    <w:bookmarkStart w:id="9" w:name="abstract"/>
    <w:p>
      <w:pPr>
        <w:pStyle w:val="Heading1"/>
      </w:pPr>
      <w:r>
        <w:t xml:space="preserve">Abstract</w:t>
      </w:r>
    </w:p>
    <w:p>
      <w:pPr>
        <w:pStyle w:val="FirstParagraph"/>
      </w:pPr>
      <w:r>
        <w:t xml:space="preserve">Decentralized Physical Infrastructure Networks (DePIN) rely on token-based incentive systems to bootstrap and sustain real-world infrastructure operated by independent providers. While tokenomics is frequently discussed in terms of growth and market valuation, significantly less attention has been paid to how these mechanisms behave under adverse conditions such as demand shocks, liquidity events, or deteriorating provider economics</w:t>
      </w:r>
      <w:r>
        <w:t xml:space="preserve"> </w:t>
      </w:r>
      <w:r>
        <w:t xml:space="preserve">. This gap is particularly consequential for DePIN systems, where infrastructure churn can lead to irreversible losses in service capacity due to physical deployment constraints.</w:t>
      </w:r>
    </w:p>
    <w:p>
      <w:pPr>
        <w:pStyle w:val="BodyText"/>
      </w:pPr>
      <w:r>
        <w:t xml:space="preserve">This thesis evaluates the robustness of DePIN tokenomic mechanisms under standardized stress conditions using a reproducible, simulation-based framework. Rather than forecasting token prices or predicting network success, the analysis focuses on comparative, directional behavior: how different incentive structures respond when subjected to adverse scenarios</w:t>
      </w:r>
      <w:r>
        <w:t xml:space="preserve"> </w:t>
      </w:r>
      <w:r>
        <w:t xml:space="preserve">. An agent-based simulation model is employed to represent heterogeneous infrastructure providers interacting with a rule-based protocol under exogenous demand and macroeconomic regimes</w:t>
      </w:r>
      <w:r>
        <w:t xml:space="preserve"> </w:t>
      </w:r>
      <w:r>
        <w:t xml:space="preserve">.</w:t>
      </w:r>
    </w:p>
    <w:p>
      <w:pPr>
        <w:pStyle w:val="BodyText"/>
      </w:pPr>
      <w:r>
        <w:t xml:space="preserve">The framework is applied to the Onocoy network and its ONO token as a primary case study. Results are interpreted as conditional insights into mechanism resilience, not as claims of causal certainty or real-world prediction. The contribution of this work lies in demonstrating how stress-testing can be systematically applied to DePIN tokenomics, offering a tool for researchers and builders to evaluate incentive robustness before failure occurs.</w:t>
      </w:r>
    </w:p>
    <w:bookmarkEnd w:id="9"/>
    <w:bookmarkStart w:id="14" w:name="sec:introduction"/>
    <w:p>
      <w:pPr>
        <w:pStyle w:val="Heading1"/>
      </w:pPr>
      <w:r>
        <w:t xml:space="preserve">Introduction</w:t>
      </w:r>
    </w:p>
    <w:bookmarkStart w:id="10" w:name="motivation"/>
    <w:p>
      <w:pPr>
        <w:pStyle w:val="Heading2"/>
      </w:pPr>
      <w:r>
        <w:t xml:space="preserve">Motivation</w:t>
      </w:r>
    </w:p>
    <w:p>
      <w:pPr>
        <w:pStyle w:val="FirstParagraph"/>
      </w:pPr>
      <w:r>
        <w:t xml:space="preserve">Decentralized Physical Infrastructure Networks (DePIN) represent an emerging class of blockchain-enabled systems that coordinate the deployment and operation of real-world infrastructure through cryptographic incentives</w:t>
      </w:r>
      <w:r>
        <w:t xml:space="preserve"> </w:t>
      </w:r>
      <w:r>
        <w:t xml:space="preserve">. Unlike purely digital protocols, DePIN networks depend on physical assets, such as sensors, antennas, or positioning stations, that require upfront capital expenditure, ongoing operational costs, and geographic placement. These characteristics fundamentally alter the economic and risk profile of the network</w:t>
      </w:r>
      <w:r>
        <w:t xml:space="preserve"> </w:t>
      </w:r>
      <w:r>
        <w:t xml:space="preserve">.</w:t>
      </w:r>
    </w:p>
    <w:p>
      <w:pPr>
        <w:pStyle w:val="BodyText"/>
      </w:pPr>
      <w:r>
        <w:t xml:space="preserve">In such systems, tokenomics is not merely a mechanism for value transfer or speculative participation; it is the primary coordination tool through which infrastructure is deployed, maintained, and retained. When incentive structures fail under adverse conditions, providers may exit the network, leading to degraded service quality and potentially permanent loss of coverage. Unlike software-based protocols, where participation can be restored with minimal friction, the reinstallation of physical infrastructure involves logistical delays, sunk costs, and regulatory constraints.</w:t>
      </w:r>
    </w:p>
    <w:p>
      <w:pPr>
        <w:pStyle w:val="BodyText"/>
      </w:pPr>
      <w:r>
        <w:t xml:space="preserve">Despite this fragility, most discussions of DePIN tokenomics focus on growth-phase dynamics or long-term valuation narratives. Few researchers examine how these systems behave under stress, precisely the conditions that determine long-term viability.</w:t>
      </w:r>
    </w:p>
    <w:bookmarkEnd w:id="10"/>
    <w:bookmarkStart w:id="11" w:name="problem-statement"/>
    <w:p>
      <w:pPr>
        <w:pStyle w:val="Heading2"/>
      </w:pPr>
      <w:r>
        <w:t xml:space="preserve">Problem Statement</w:t>
      </w:r>
    </w:p>
    <w:p>
      <w:pPr>
        <w:pStyle w:val="FirstParagraph"/>
      </w:pPr>
      <w:r>
        <w:t xml:space="preserve">Most rigorous tokenomic evaluations assume average conditions—stable demand and growing participation. This approach ignores the volatility inherent to physical networks. Real-world networks operate in environments characterized by volatility and uncertainty. DePIN networks may face sudden drops in demand, adverse macroeconomic regimes, liquidity shocks caused by token unlocks, or increased competition for infrastructure operators</w:t>
      </w:r>
      <w:r>
        <w:t xml:space="preserve"> </w:t>
      </w:r>
      <w:r>
        <w:t xml:space="preserve">.</w:t>
      </w:r>
    </w:p>
    <w:p>
      <w:pPr>
        <w:pStyle w:val="BodyText"/>
      </w:pPr>
      <w:r>
        <w:t xml:space="preserve">When such stresses occur, the incentive system must continue to perform three essential functions: retain providers, sustain service capacity, and prevent incentive collapse. Failure in any of these dimensions can initiate feedback loops, such as provider churn reducing service quality, that accelerate network degradation. Similar dynamics have been observed in other incentive-driven systems, where poorly calibrated mechanisms amplify shocks rather than absorb them</w:t>
      </w:r>
      <w:r>
        <w:t xml:space="preserve"> </w:t>
      </w:r>
      <w:r>
        <w:t xml:space="preserve">.</w:t>
      </w:r>
    </w:p>
    <w:bookmarkEnd w:id="11"/>
    <w:bookmarkStart w:id="12" w:name="research-focus-and-scope"/>
    <w:p>
      <w:pPr>
        <w:pStyle w:val="Heading2"/>
      </w:pPr>
      <w:r>
        <w:t xml:space="preserve">Research Focus and Scope</w:t>
      </w:r>
    </w:p>
    <w:p>
      <w:pPr>
        <w:pStyle w:val="FirstParagraph"/>
      </w:pPr>
      <w:r>
        <w:t xml:space="preserve">This thesis focuses on the stress-testing of tokenomic mechanisms in DePIN networks through simulation-based analysis. The objective is to evaluate how different incentive structures behave under adverse scenarios, rather than to predict future outcomes or token prices.</w:t>
      </w:r>
    </w:p>
    <w:p>
      <w:pPr>
        <w:pStyle w:val="BodyText"/>
      </w:pPr>
      <w:r>
        <w:t xml:space="preserve">Several deliberate scope constraints are imposed. The thesis does not attempt to forecast token prices or market capitalization, following critiques of predictive overreach in crypto-asset valuation literature</w:t>
      </w:r>
      <w:r>
        <w:t xml:space="preserve"> </w:t>
      </w:r>
      <w:r>
        <w:t xml:space="preserve">. It does not claim causal certainty regarding real-world network behavior. Nor does it propose novel tokenomic designs; instead, existing mechanisms are evaluated through controlled experimentation.</w:t>
      </w:r>
    </w:p>
    <w:p>
      <w:pPr>
        <w:pStyle w:val="BodyText"/>
      </w:pPr>
      <w:r>
        <w:t xml:space="preserve">The Onocoy network and its ONO token serve as the primary empirical anchor. ONO is treated as a representative DePIN implementation with clearly defined incentive mechanisms and observable infrastructure constraints. While the analysis is grounded in this case, the modeling framework is designed to be extensible to other DePIN systems.</w:t>
      </w:r>
    </w:p>
    <w:bookmarkEnd w:id="12"/>
    <w:bookmarkStart w:id="13" w:name="contribution"/>
    <w:p>
      <w:pPr>
        <w:pStyle w:val="Heading2"/>
      </w:pPr>
      <w:r>
        <w:t xml:space="preserve">Contribution</w:t>
      </w:r>
    </w:p>
    <w:p>
      <w:pPr>
        <w:pStyle w:val="FirstParagraph"/>
      </w:pPr>
      <w:r>
        <w:t xml:space="preserve">This thesis makes three contributions: a structured simulation approach for stress-testing DePIN tokenomics under adverse conditions, drawing on established evaluation frameworks for complex systems modeling</w:t>
      </w:r>
      <w:r>
        <w:t xml:space="preserve"> </w:t>
      </w:r>
      <w:r>
        <w:t xml:space="preserve">; the application of this framework to a real-world DePIN case, translating conceptual incentive mechanisms into testable model parameters; and an emphasis on comparative robustness and trade-off analysis over prediction, offering a practical evaluation tool for both researchers and protocol designers.</w:t>
      </w:r>
    </w:p>
    <w:bookmarkEnd w:id="13"/>
    <w:bookmarkEnd w:id="14"/>
    <w:bookmarkStart w:id="17" w:name="sec:depin_fundamentals"/>
    <w:p>
      <w:pPr>
        <w:pStyle w:val="Heading1"/>
      </w:pPr>
      <w:r>
        <w:t xml:space="preserve">DePIN Fundamentals</w:t>
      </w:r>
    </w:p>
    <w:p>
      <w:pPr>
        <w:pStyle w:val="FirstParagraph"/>
      </w:pPr>
      <w:r>
        <w:rPr>
          <w:i/>
          <w:iCs/>
        </w:rPr>
        <w:t xml:space="preserve">[INSTRUCTIONS FOR PERSON A: Define the core concepts here. Distinguish DePIN from normal crypto.]</w:t>
      </w:r>
    </w:p>
    <w:bookmarkStart w:id="15" w:name="defining-depin"/>
    <w:p>
      <w:pPr>
        <w:pStyle w:val="Heading2"/>
      </w:pPr>
      <w:r>
        <w:t xml:space="preserve">Defining DePIN</w:t>
      </w:r>
    </w:p>
    <w:p>
      <w:pPr>
        <w:numPr>
          <w:ilvl w:val="0"/>
          <w:numId w:val="1001"/>
        </w:numPr>
      </w:pPr>
      <w:r>
        <w:rPr>
          <w:b/>
          <w:bCs/>
        </w:rPr>
        <w:t xml:space="preserve">Definition:</w:t>
      </w:r>
      <w:r>
        <w:t xml:space="preserve"> </w:t>
      </w:r>
      <w:r>
        <w:t xml:space="preserve">Define Decentralized Physical Infrastructure Networks.</w:t>
      </w:r>
    </w:p>
    <w:p>
      <w:pPr>
        <w:numPr>
          <w:ilvl w:val="0"/>
          <w:numId w:val="1001"/>
        </w:numPr>
      </w:pPr>
      <w:r>
        <w:rPr>
          <w:b/>
          <w:bCs/>
        </w:rPr>
        <w:t xml:space="preserve">Key Difference:</w:t>
      </w:r>
      <w:r>
        <w:t xml:space="preserve"> </w:t>
      </w:r>
      <w:r>
        <w:t xml:space="preserve">Contrast it with DeFi (purely digital/capital) vs DePIN (physical/labor/hardware).</w:t>
      </w:r>
    </w:p>
    <w:bookmarkEnd w:id="15"/>
    <w:bookmarkStart w:id="16" w:name="the-physical-constraint-hardware"/>
    <w:p>
      <w:pPr>
        <w:pStyle w:val="Heading2"/>
      </w:pPr>
      <w:r>
        <w:t xml:space="preserve">The Physical Constraint (Hardware)</w:t>
      </w:r>
    </w:p>
    <w:p>
      <w:pPr>
        <w:numPr>
          <w:ilvl w:val="0"/>
          <w:numId w:val="1002"/>
        </w:numPr>
      </w:pPr>
      <w:r>
        <w:rPr>
          <w:b/>
          <w:bCs/>
        </w:rPr>
        <w:t xml:space="preserve">Sunk Costs:</w:t>
      </w:r>
      <w:r>
        <w:t xml:space="preserve"> </w:t>
      </w:r>
      <w:r>
        <w:t xml:space="preserve">Explain that buying a $1,000 miner is a sunk cost that creates "stickiness" (unlike staking tokens which can be unsold instantly).</w:t>
      </w:r>
    </w:p>
    <w:p>
      <w:pPr>
        <w:numPr>
          <w:ilvl w:val="0"/>
          <w:numId w:val="1002"/>
        </w:numPr>
      </w:pPr>
      <w:r>
        <w:rPr>
          <w:b/>
          <w:bCs/>
        </w:rPr>
        <w:t xml:space="preserve">Geographic Friction:</w:t>
      </w:r>
      <w:r>
        <w:t xml:space="preserve"> </w:t>
      </w:r>
      <w:r>
        <w:t xml:space="preserve">moving a miner is hard.</w:t>
      </w:r>
    </w:p>
    <w:bookmarkEnd w:id="16"/>
    <w:bookmarkEnd w:id="17"/>
    <w:bookmarkStart w:id="23" w:name="sec:theoretical_definitions"/>
    <w:p>
      <w:pPr>
        <w:pStyle w:val="Heading1"/>
      </w:pPr>
      <w:r>
        <w:t xml:space="preserve">Theoretical Definitions of Stress</w:t>
      </w:r>
    </w:p>
    <w:p>
      <w:pPr>
        <w:pStyle w:val="FirstParagraph"/>
      </w:pPr>
      <w:r>
        <w:rPr>
          <w:i/>
          <w:iCs/>
        </w:rPr>
        <w:t xml:space="preserve">[INSTRUCTIONS FOR PERSON A: This is critical. You must define the "Disease" so Person C can test the "Cure". Use these exact definitions.]</w:t>
      </w:r>
    </w:p>
    <w:bookmarkStart w:id="19" w:name="summary-of-stress-factors"/>
    <w:p>
      <w:pPr>
        <w:pStyle w:val="Heading2"/>
      </w:pPr>
      <w:r>
        <w:t xml:space="preserve">Summary of Stress Factors</w:t>
      </w:r>
    </w:p>
    <w:p>
      <w:pPr>
        <w:pStyle w:val="FirstParagraph"/>
      </w:pPr>
      <w:r>
        <w:t xml:space="preserve">Table</w:t>
      </w:r>
      <w:r>
        <w:t xml:space="preserve"> </w:t>
      </w:r>
      <w:hyperlink w:anchor="tab:stress_factors">
        <w:r>
          <w:rPr>
            <w:rStyle w:val="Hyperlink"/>
          </w:rPr>
          <w:t xml:space="preserve">1</w:t>
        </w:r>
      </w:hyperlink>
      <w:r>
        <w:t xml:space="preserve"> </w:t>
      </w:r>
      <w:r>
        <w:t xml:space="preserve">summarizes the core theoretical definitions of stress used throughout this thesis.</w:t>
      </w:r>
    </w:p>
    <w:bookmarkStart w:id="18" w:name="tab:stress_factors"/>
    <w:p>
      <w:pPr>
        <w:pStyle w:val="TableCaption"/>
      </w:pPr>
      <w:r>
        <w:t xml:space="preserve">Theoretical Definitions of Stress Factors</w:t>
      </w:r>
    </w:p>
    <w:tbl>
      <w:tblPr>
        <w:tblStyle w:val="Table"/>
        <w:tblW w:type="pct" w:w="4500"/>
        <w:tblLayout w:type="fixed"/>
        <w:tblLook w:firstRow="1" w:lastRow="0" w:firstColumn="0" w:lastColumn="0" w:noHBand="0" w:noVBand="0" w:val="0020"/>
        <w:tblCaption w:val="Theoretical Definitions of Stress Factors"/>
      </w:tblPr>
      <w:tblGrid>
        <w:gridCol w:w="1980"/>
        <w:gridCol w:w="3168"/>
        <w:gridCol w:w="1980"/>
      </w:tblGrid>
      <w:tr>
        <w:trPr>
          <w:tblHeader w:val="on"/>
        </w:trPr>
        <w:tc>
          <w:tcPr/>
          <w:p>
            <w:pPr>
              <w:pStyle w:val="Compact"/>
              <w:jc w:val="left"/>
            </w:pPr>
            <w:r>
              <w:rPr>
                <w:b/>
                <w:bCs/>
              </w:rPr>
              <w:t xml:space="preserve">Concept</w:t>
            </w:r>
          </w:p>
        </w:tc>
        <w:tc>
          <w:tcPr/>
          <w:p>
            <w:pPr>
              <w:pStyle w:val="Compact"/>
              <w:jc w:val="left"/>
            </w:pPr>
            <w:r>
              <w:rPr>
                <w:b/>
                <w:bCs/>
              </w:rPr>
              <w:t xml:space="preserve">Definition</w:t>
            </w:r>
          </w:p>
        </w:tc>
        <w:tc>
          <w:tcPr/>
          <w:p>
            <w:pPr>
              <w:pStyle w:val="Compact"/>
              <w:jc w:val="left"/>
            </w:pPr>
            <w:r>
              <w:rPr>
                <w:b/>
                <w:bCs/>
              </w:rPr>
              <w:t xml:space="preserve">Risk Driver</w:t>
            </w:r>
          </w:p>
        </w:tc>
      </w:tr>
      <w:tr>
        <w:tc>
          <w:tcPr/>
          <w:p>
            <w:pPr>
              <w:pStyle w:val="Compact"/>
              <w:jc w:val="left"/>
            </w:pPr>
            <w:r>
              <w:rPr>
                <w:b/>
                <w:bCs/>
              </w:rPr>
              <w:t xml:space="preserve">Reward Addiction</w:t>
            </w:r>
          </w:p>
        </w:tc>
        <w:tc>
          <w:tcPr/>
          <w:p>
            <w:pPr>
              <w:pStyle w:val="Compact"/>
              <w:jc w:val="left"/>
            </w:pPr>
            <w:r>
              <w:t xml:space="preserve">A state where maintaining supply requires exponentially increasing token incentives.</w:t>
            </w:r>
          </w:p>
        </w:tc>
        <w:tc>
          <w:tcPr/>
          <w:p>
            <w:pPr>
              <w:pStyle w:val="Compact"/>
              <w:jc w:val="left"/>
            </w:pPr>
            <w:r>
              <w:t xml:space="preserve">If incentives flatten, mercenary supply churns immediately.</w:t>
            </w:r>
          </w:p>
        </w:tc>
      </w:tr>
      <w:tr>
        <w:tc>
          <w:tcPr/>
          <w:p>
            <w:pPr>
              <w:pStyle w:val="Compact"/>
              <w:jc w:val="left"/>
            </w:pPr>
            <w:r>
              <w:rPr>
                <w:b/>
                <w:bCs/>
              </w:rPr>
              <w:t xml:space="preserve">The Subsidy Gap</w:t>
            </w:r>
          </w:p>
        </w:tc>
        <w:tc>
          <w:tcPr/>
          <w:p>
            <w:pPr>
              <w:pStyle w:val="Compact"/>
              <w:jc w:val="left"/>
            </w:pPr>
            <w:r>
              <w:t xml:space="preserve">The delta between real operating costs (CapEx + OpEx) and real fiat revenue entering the system.</w:t>
            </w:r>
          </w:p>
        </w:tc>
        <w:tc>
          <w:tcPr/>
          <w:p>
            <w:pPr>
              <w:pStyle w:val="Compact"/>
              <w:jc w:val="left"/>
            </w:pPr>
            <w:r>
              <w:t xml:space="preserve">Early-stage gaps are bridged entirely by speculative token value, creating solvency risk.</w:t>
            </w:r>
          </w:p>
        </w:tc>
      </w:tr>
      <w:tr>
        <w:tc>
          <w:tcPr/>
          <w:p>
            <w:pPr>
              <w:pStyle w:val="Compact"/>
              <w:jc w:val="left"/>
            </w:pPr>
            <w:r>
              <w:rPr>
                <w:b/>
                <w:bCs/>
              </w:rPr>
              <w:t xml:space="preserve">Speculative Fragility</w:t>
            </w:r>
          </w:p>
        </w:tc>
        <w:tc>
          <w:tcPr/>
          <w:p>
            <w:pPr>
              <w:pStyle w:val="Compact"/>
              <w:jc w:val="left"/>
            </w:pPr>
            <w:r>
              <w:t xml:space="preserve">The correlation between network security (provider uptime) and token price volatility.</w:t>
            </w:r>
          </w:p>
        </w:tc>
        <w:tc>
          <w:tcPr/>
          <w:p>
            <w:pPr>
              <w:pStyle w:val="Compact"/>
              <w:jc w:val="left"/>
            </w:pPr>
            <w:r>
              <w:t xml:space="preserve">High fragility implies that price drops trigger immediate hardware churn (</w:t>
            </w:r>
            <m:oMath>
              <m:r>
                <m:rPr>
                  <m:sty m:val="p"/>
                </m:rPr>
                <m:t>&gt;</m:t>
              </m:r>
              <m:r>
                <m:t>10</m:t>
              </m:r>
              <m:r>
                <m:rPr>
                  <m:sty m:val="p"/>
                </m:rPr>
                <m:t>%</m:t>
              </m:r>
            </m:oMath>
            <w:r>
              <w:t xml:space="preserve"> </w:t>
            </w:r>
            <w:r>
              <w:t xml:space="preserve">drop</w:t>
            </w:r>
            <w:r>
              <w:t xml:space="preserve"> </w:t>
            </w:r>
            <m:oMath>
              <m:r>
                <m:rPr>
                  <m:sty m:val="p"/>
                </m:rPr>
                <m:t>→</m:t>
              </m:r>
              <m:r>
                <m:rPr>
                  <m:sty m:val="p"/>
                </m:rPr>
                <m:t>&gt;</m:t>
              </m:r>
              <m:r>
                <m:t>10</m:t>
              </m:r>
              <m:r>
                <m:rPr>
                  <m:sty m:val="p"/>
                </m:rPr>
                <m:t>%</m:t>
              </m:r>
            </m:oMath>
            <w:r>
              <w:t xml:space="preserve"> </w:t>
            </w:r>
            <w:r>
              <w:t xml:space="preserve">churn).</w:t>
            </w:r>
          </w:p>
        </w:tc>
      </w:tr>
    </w:tbl>
    <w:bookmarkEnd w:id="18"/>
    <w:bookmarkEnd w:id="19"/>
    <w:bookmarkStart w:id="22" w:name="sec:positioning"/>
    <w:p>
      <w:pPr>
        <w:pStyle w:val="Heading2"/>
      </w:pPr>
      <w:r>
        <w:t xml:space="preserve">Positioning Within the Overall Research</w:t>
      </w:r>
    </w:p>
    <w:bookmarkStart w:id="20" w:name="relationship-to-the-broader-research"/>
    <w:p>
      <w:pPr>
        <w:pStyle w:val="Heading3"/>
      </w:pPr>
      <w:r>
        <w:t xml:space="preserve">Relationship to the Broader Research</w:t>
      </w:r>
    </w:p>
    <w:p>
      <w:pPr>
        <w:pStyle w:val="FirstParagraph"/>
      </w:pPr>
      <w:r>
        <w:t xml:space="preserve">This work forms part of a larger collaborative research effort examining the sustainability of DePIN networks. Within that context, this thesis occupies a clearly defined role: the evaluation of tokenomic mechanisms through formal modeling and stress testing.</w:t>
      </w:r>
    </w:p>
    <w:p>
      <w:pPr>
        <w:pStyle w:val="BodyText"/>
      </w:pPr>
      <w:r>
        <w:t xml:space="preserve">Foundational definitions of DePIN, hardware constraints, and empirical observations of the Onocoy network are established elsewhere in the broader research. Analytical descriptions of tokenomic design patterns and market logic are likewise addressed in parallel work. This thesis builds upon those components by translating conceptual mechanisms into a formal simulation environment and evaluating their behavior under stress, following best practices for simulation-based evaluation of complex socio-technical systems</w:t>
      </w:r>
      <w:r>
        <w:t xml:space="preserve"> </w:t>
      </w:r>
      <w:r>
        <w:t xml:space="preserve">.</w:t>
      </w:r>
    </w:p>
    <w:bookmarkEnd w:id="20"/>
    <w:bookmarkStart w:id="21" w:name="unique-analytical-responsibility"/>
    <w:p>
      <w:pPr>
        <w:pStyle w:val="Heading3"/>
      </w:pPr>
      <w:r>
        <w:t xml:space="preserve">Unique Analytical Responsibility</w:t>
      </w:r>
    </w:p>
    <w:p>
      <w:pPr>
        <w:pStyle w:val="FirstParagraph"/>
      </w:pPr>
      <w:r>
        <w:t xml:space="preserve">The unique contribution of this thesis lies in the operationalization of stress-testing. Conceptual definitions of stress are converted into explicit model inputs, and tokenomic mechanisms are evaluated through their simulated effects on provider retention, incentive solvency, and service continuity. By grounding all claims in explicit assumptions, transparent metrics, and reproducible experimental design, the thesis aligns with established methodological standards for simulation-based research</w:t>
      </w:r>
      <w:r>
        <w:t xml:space="preserve"> </w:t>
      </w:r>
      <w:r>
        <w:t xml:space="preserve">.</w:t>
      </w:r>
    </w:p>
    <w:bookmarkEnd w:id="21"/>
    <w:bookmarkEnd w:id="22"/>
    <w:bookmarkEnd w:id="23"/>
    <w:bookmarkStart w:id="28" w:name="sec:analytical_framework"/>
    <w:p>
      <w:pPr>
        <w:pStyle w:val="Heading1"/>
      </w:pPr>
      <w:r>
        <w:t xml:space="preserve">Analytical Framework: Tokenomic Design Patterns</w:t>
      </w:r>
    </w:p>
    <w:p>
      <w:pPr>
        <w:pStyle w:val="FirstParagraph"/>
      </w:pPr>
      <w:r>
        <w:rPr>
          <w:i/>
          <w:iCs/>
        </w:rPr>
        <w:t xml:space="preserve">[INSTRUCTIONS FOR PERSON B: This is the comparative analysis chapter. You must frame Onocoy within the wider ecosystem of Solana-based DePINs.]</w:t>
      </w:r>
    </w:p>
    <w:bookmarkStart w:id="24" w:name="comparative-scope-solana-depin-ecosystem"/>
    <w:p>
      <w:pPr>
        <w:pStyle w:val="Heading2"/>
      </w:pPr>
      <w:r>
        <w:t xml:space="preserve">Comparative Scope: Solana DePIN Ecosystem</w:t>
      </w:r>
    </w:p>
    <w:p>
      <w:pPr>
        <w:numPr>
          <w:ilvl w:val="0"/>
          <w:numId w:val="1003"/>
        </w:numPr>
      </w:pPr>
      <w:r>
        <w:rPr>
          <w:b/>
          <w:bCs/>
        </w:rPr>
        <w:t xml:space="preserve">The Comparative Set:</w:t>
      </w:r>
      <w:r>
        <w:t xml:space="preserve"> </w:t>
      </w:r>
      <w:r>
        <w:t xml:space="preserve">Please analyze these 8 projects: Helium, Grass, GEODNET, io.net, Hivemapper, Nosana, Aleph.im, XNET.</w:t>
      </w:r>
    </w:p>
    <w:p>
      <w:pPr>
        <w:numPr>
          <w:ilvl w:val="0"/>
          <w:numId w:val="1003"/>
        </w:numPr>
      </w:pPr>
      <w:r>
        <w:rPr>
          <w:b/>
          <w:bCs/>
        </w:rPr>
        <w:t xml:space="preserve">Comparison Table:</w:t>
      </w:r>
      <w:r>
        <w:t xml:space="preserve"> </w:t>
      </w:r>
      <w:r>
        <w:t xml:space="preserve">Create a summary table comparing them by:</w:t>
      </w:r>
    </w:p>
    <w:p>
      <w:pPr>
        <w:numPr>
          <w:ilvl w:val="1"/>
          <w:numId w:val="1004"/>
        </w:numPr>
      </w:pPr>
      <w:r>
        <w:t xml:space="preserve">Market Cap &amp; Sector (Compute, Sensor, Wireless).</w:t>
      </w:r>
    </w:p>
    <w:p>
      <w:pPr>
        <w:numPr>
          <w:ilvl w:val="1"/>
          <w:numId w:val="1004"/>
        </w:numPr>
      </w:pPr>
      <w:r>
        <w:t xml:space="preserve">Token Model (e.g., BME vs. capped supply).</w:t>
      </w:r>
    </w:p>
    <w:p>
      <w:pPr>
        <w:numPr>
          <w:ilvl w:val="1"/>
          <w:numId w:val="1004"/>
        </w:numPr>
      </w:pPr>
      <w:r>
        <w:t xml:space="preserve">Revenue Source (B2B vs B2C).</w:t>
      </w:r>
    </w:p>
    <w:bookmarkEnd w:id="24"/>
    <w:bookmarkStart w:id="25" w:name="tokenomic-building-blocks"/>
    <w:p>
      <w:pPr>
        <w:pStyle w:val="Heading2"/>
      </w:pPr>
      <w:r>
        <w:t xml:space="preserve">Tokenomic Building Blocks</w:t>
      </w:r>
    </w:p>
    <w:p>
      <w:pPr>
        <w:numPr>
          <w:ilvl w:val="0"/>
          <w:numId w:val="1005"/>
        </w:numPr>
      </w:pPr>
      <w:r>
        <w:rPr>
          <w:b/>
          <w:bCs/>
        </w:rPr>
        <w:t xml:space="preserve">Emission Logic:</w:t>
      </w:r>
      <w:r>
        <w:t xml:space="preserve"> </w:t>
      </w:r>
      <w:r>
        <w:t xml:space="preserve">Identify common patterns. Do most projects favor early adopters aggressively?</w:t>
      </w:r>
    </w:p>
    <w:p>
      <w:pPr>
        <w:numPr>
          <w:ilvl w:val="0"/>
          <w:numId w:val="1005"/>
        </w:numPr>
      </w:pPr>
      <w:r>
        <w:rPr>
          <w:b/>
          <w:bCs/>
        </w:rPr>
        <w:t xml:space="preserve">Verification (Proof of Physical Work):</w:t>
      </w:r>
      <w:r>
        <w:t xml:space="preserve"> </w:t>
      </w:r>
      <w:r>
        <w:t xml:space="preserve">How does Helium verify coverage vs. Hivemapper verifying roads?</w:t>
      </w:r>
    </w:p>
    <w:p>
      <w:pPr>
        <w:numPr>
          <w:ilvl w:val="0"/>
          <w:numId w:val="1005"/>
        </w:numPr>
      </w:pPr>
      <w:r>
        <w:rPr>
          <w:b/>
          <w:bCs/>
        </w:rPr>
        <w:t xml:space="preserve">Value Capture (Sinks):</w:t>
      </w:r>
      <w:r>
        <w:t xml:space="preserve"> </w:t>
      </w:r>
      <w:r>
        <w:t xml:space="preserve">Analyze how these protocols burn tokens. Is it working?</w:t>
      </w:r>
    </w:p>
    <w:bookmarkEnd w:id="25"/>
    <w:bookmarkStart w:id="26" w:name="monetization-and-demand-structures"/>
    <w:p>
      <w:pPr>
        <w:pStyle w:val="Heading2"/>
      </w:pPr>
      <w:r>
        <w:t xml:space="preserve">Monetization and Demand Structures</w:t>
      </w:r>
    </w:p>
    <w:p>
      <w:pPr>
        <w:numPr>
          <w:ilvl w:val="0"/>
          <w:numId w:val="1006"/>
        </w:numPr>
      </w:pPr>
      <w:r>
        <w:rPr>
          <w:b/>
          <w:bCs/>
        </w:rPr>
        <w:t xml:space="preserve">Demand Regimes:</w:t>
      </w:r>
      <w:r>
        <w:t xml:space="preserve"> </w:t>
      </w:r>
      <w:r>
        <w:t xml:space="preserve">Distinguish between Enterprise Demand (stable, slow) and Consumer Demand (volatile).</w:t>
      </w:r>
    </w:p>
    <w:p>
      <w:pPr>
        <w:numPr>
          <w:ilvl w:val="0"/>
          <w:numId w:val="1006"/>
        </w:numPr>
      </w:pPr>
      <w:r>
        <w:rPr>
          <w:b/>
          <w:bCs/>
        </w:rPr>
        <w:t xml:space="preserve">The Fiat Bridge:</w:t>
      </w:r>
      <w:r>
        <w:t xml:space="preserve"> </w:t>
      </w:r>
      <w:r>
        <w:t xml:space="preserve">How does fiat money enter the system to buy tokens?</w:t>
      </w:r>
    </w:p>
    <w:bookmarkEnd w:id="26"/>
    <w:bookmarkStart w:id="27" w:name="ono-token-design-analysis"/>
    <w:p>
      <w:pPr>
        <w:pStyle w:val="Heading2"/>
      </w:pPr>
      <w:r>
        <w:t xml:space="preserve">ONO Token Design Analysis</w:t>
      </w:r>
    </w:p>
    <w:p>
      <w:pPr>
        <w:numPr>
          <w:ilvl w:val="0"/>
          <w:numId w:val="1007"/>
        </w:numPr>
      </w:pPr>
      <w:r>
        <w:rPr>
          <w:b/>
          <w:bCs/>
        </w:rPr>
        <w:t xml:space="preserve">Deep Dive:</w:t>
      </w:r>
      <w:r>
        <w:t xml:space="preserve"> </w:t>
      </w:r>
      <w:r>
        <w:t xml:space="preserve">Analyze Onocoy’s specific mechanism logic here.</w:t>
      </w:r>
    </w:p>
    <w:p>
      <w:pPr>
        <w:numPr>
          <w:ilvl w:val="0"/>
          <w:numId w:val="1007"/>
        </w:numPr>
      </w:pPr>
      <w:r>
        <w:rPr>
          <w:b/>
          <w:bCs/>
        </w:rPr>
        <w:t xml:space="preserve">Mechanism Critique:</w:t>
      </w:r>
      <w:r>
        <w:t xml:space="preserve"> </w:t>
      </w:r>
      <w:r>
        <w:t xml:space="preserve">How does ONO’s bonding curve or emission logic differ from the standard BME model?</w:t>
      </w:r>
    </w:p>
    <w:p>
      <w:pPr>
        <w:numPr>
          <w:ilvl w:val="0"/>
          <w:numId w:val="1007"/>
        </w:numPr>
      </w:pPr>
      <w:r>
        <w:rPr>
          <w:i/>
          <w:iCs/>
        </w:rPr>
        <w:t xml:space="preserve">(Note: This analysis feeds into Person C’s simulation parameters in the next chapter.)</w:t>
      </w:r>
    </w:p>
    <w:bookmarkEnd w:id="27"/>
    <w:bookmarkEnd w:id="28"/>
    <w:bookmarkStart w:id="32" w:name="sec:onocoy_case"/>
    <w:p>
      <w:pPr>
        <w:pStyle w:val="Heading1"/>
      </w:pPr>
      <w:r>
        <w:t xml:space="preserve">Empirical Case: Onocoy</w:t>
      </w:r>
    </w:p>
    <w:p>
      <w:pPr>
        <w:pStyle w:val="FirstParagraph"/>
      </w:pPr>
      <w:r>
        <w:rPr>
          <w:i/>
          <w:iCs/>
        </w:rPr>
        <w:t xml:space="preserve">[INSTRUCTIONS FOR PERSON A: Please fill this section with descriptive facts. Do not analyze the token price or success yet. Focus on the business and the hardware.]</w:t>
      </w:r>
    </w:p>
    <w:bookmarkStart w:id="29" w:name="system-overview"/>
    <w:p>
      <w:pPr>
        <w:pStyle w:val="Heading2"/>
      </w:pPr>
      <w:r>
        <w:t xml:space="preserve">System Overview</w:t>
      </w:r>
    </w:p>
    <w:p>
      <w:pPr>
        <w:numPr>
          <w:ilvl w:val="0"/>
          <w:numId w:val="1008"/>
        </w:numPr>
      </w:pPr>
      <w:r>
        <w:rPr>
          <w:b/>
          <w:bCs/>
        </w:rPr>
        <w:t xml:space="preserve">GNSS &amp; RTK Technology:</w:t>
      </w:r>
      <w:r>
        <w:t xml:space="preserve"> </w:t>
      </w:r>
      <w:r>
        <w:t xml:space="preserve">Explain what Real-Time Kinematics (RTK) is and why it improves GPS accuracy (centimeter-level precision).</w:t>
      </w:r>
    </w:p>
    <w:p>
      <w:pPr>
        <w:numPr>
          <w:ilvl w:val="0"/>
          <w:numId w:val="1008"/>
        </w:numPr>
      </w:pPr>
      <w:r>
        <w:rPr>
          <w:b/>
          <w:bCs/>
        </w:rPr>
        <w:t xml:space="preserve">The Physical Network:</w:t>
      </w:r>
      <w:r>
        <w:t xml:space="preserve"> </w:t>
      </w:r>
      <w:r>
        <w:t xml:space="preserve">Describe the density of stations required (e.g., 20km baseline) and why a distributed network makes sense versus a centralized one.</w:t>
      </w:r>
    </w:p>
    <w:bookmarkEnd w:id="29"/>
    <w:bookmarkStart w:id="30" w:name="network-participants"/>
    <w:p>
      <w:pPr>
        <w:pStyle w:val="Heading2"/>
      </w:pPr>
      <w:r>
        <w:t xml:space="preserve">Network Participants</w:t>
      </w:r>
    </w:p>
    <w:p>
      <w:pPr>
        <w:numPr>
          <w:ilvl w:val="0"/>
          <w:numId w:val="1009"/>
        </w:numPr>
      </w:pPr>
      <w:r>
        <w:rPr>
          <w:b/>
          <w:bCs/>
        </w:rPr>
        <w:t xml:space="preserve">Miners (Reference Stations):</w:t>
      </w:r>
      <w:r>
        <w:t xml:space="preserve"> </w:t>
      </w:r>
      <w:r>
        <w:t xml:space="preserve">Define the hardware requirements. Cost of entry? (e.g., $1,000+). Install requirements? (Roof access, clear sky view).</w:t>
      </w:r>
    </w:p>
    <w:p>
      <w:pPr>
        <w:numPr>
          <w:ilvl w:val="0"/>
          <w:numId w:val="1009"/>
        </w:numPr>
      </w:pPr>
      <w:r>
        <w:rPr>
          <w:b/>
          <w:bCs/>
        </w:rPr>
        <w:t xml:space="preserve">Users (Rovers):</w:t>
      </w:r>
      <w:r>
        <w:t xml:space="preserve"> </w:t>
      </w:r>
      <w:r>
        <w:t xml:space="preserve">Who buys the data? (Surveyors, drones, agriculture machines). How do they access it? (NTRIP caster).</w:t>
      </w:r>
    </w:p>
    <w:bookmarkEnd w:id="30"/>
    <w:bookmarkStart w:id="31" w:name="tokenomic-mechanics-descriptive"/>
    <w:p>
      <w:pPr>
        <w:pStyle w:val="Heading2"/>
      </w:pPr>
      <w:r>
        <w:t xml:space="preserve">Tokenomic Mechanics (Descriptive)</w:t>
      </w:r>
    </w:p>
    <w:p>
      <w:pPr>
        <w:numPr>
          <w:ilvl w:val="0"/>
          <w:numId w:val="1010"/>
        </w:numPr>
      </w:pPr>
      <w:r>
        <w:rPr>
          <w:b/>
          <w:bCs/>
        </w:rPr>
        <w:t xml:space="preserve">The ONO Token:</w:t>
      </w:r>
      <w:r>
        <w:t xml:space="preserve"> </w:t>
      </w:r>
      <w:r>
        <w:t xml:space="preserve">Describe the emission schedule (halving? decay?).</w:t>
      </w:r>
    </w:p>
    <w:p>
      <w:pPr>
        <w:numPr>
          <w:ilvl w:val="0"/>
          <w:numId w:val="1010"/>
        </w:numPr>
      </w:pPr>
      <w:r>
        <w:rPr>
          <w:b/>
          <w:bCs/>
        </w:rPr>
        <w:t xml:space="preserve">Burn/Sink Mechanism:</w:t>
      </w:r>
      <w:r>
        <w:t xml:space="preserve"> </w:t>
      </w:r>
      <w:r>
        <w:t xml:space="preserve">How does the system capture value? (e.g., Data Credits or burn-and-mint).</w:t>
      </w:r>
    </w:p>
    <w:p>
      <w:pPr>
        <w:numPr>
          <w:ilvl w:val="0"/>
          <w:numId w:val="1010"/>
        </w:numPr>
      </w:pPr>
      <w:r>
        <w:rPr>
          <w:b/>
          <w:bCs/>
        </w:rPr>
        <w:t xml:space="preserve">Staking Rules:</w:t>
      </w:r>
      <w:r>
        <w:t xml:space="preserve"> </w:t>
      </w:r>
      <w:r>
        <w:t xml:space="preserve">Are there staking requirements for miners to participate?</w:t>
      </w:r>
    </w:p>
    <w:bookmarkEnd w:id="31"/>
    <w:bookmarkEnd w:id="32"/>
    <w:bookmarkStart w:id="41" w:name="sec:methodology"/>
    <w:p>
      <w:pPr>
        <w:pStyle w:val="Heading1"/>
      </w:pPr>
      <w:r>
        <w:t xml:space="preserve">Methodology: Simulation-Based Stress Testing</w:t>
      </w:r>
    </w:p>
    <w:bookmarkStart w:id="33" w:name="purpose-and-non-goals"/>
    <w:p>
      <w:pPr>
        <w:pStyle w:val="Heading2"/>
      </w:pPr>
      <w:r>
        <w:t xml:space="preserve">Purpose and Non-Goals</w:t>
      </w:r>
    </w:p>
    <w:p>
      <w:pPr>
        <w:pStyle w:val="FirstParagraph"/>
      </w:pPr>
      <w:r>
        <w:t xml:space="preserve">This simulation framework examines how tokenomic mechanisms in Decentralized Physical Infrastructure Networks (DePIN) behave when conditions deteriorate</w:t>
      </w:r>
      <w:r>
        <w:t xml:space="preserve"> </w:t>
      </w:r>
      <w:r>
        <w:t xml:space="preserve">. Our aim is not to predict future outcomes or identify winning designs, but to compare how different incentive structures respond when exposed to the same adverse scenarios. The emphasis is therefore on</w:t>
      </w:r>
      <w:r>
        <w:t xml:space="preserve"> </w:t>
      </w:r>
      <w:r>
        <w:rPr>
          <w:i/>
          <w:iCs/>
        </w:rPr>
        <w:t xml:space="preserve">relative behavior</w:t>
      </w:r>
      <w:r>
        <w:t xml:space="preserve"> </w:t>
      </w:r>
      <w:r>
        <w:t xml:space="preserve">under stress, rather than on absolute performance or forecasting accuracy</w:t>
      </w:r>
      <w:r>
        <w:t xml:space="preserve"> </w:t>
      </w:r>
      <w:r>
        <w:t xml:space="preserve">.</w:t>
      </w:r>
    </w:p>
    <w:p>
      <w:pPr>
        <w:pStyle w:val="BodyText"/>
      </w:pPr>
      <w:r>
        <w:t xml:space="preserve">We use simulation because DePIN systems combine several features that are difficult to study analytically. Infrastructure providers are heterogeneous, incentives operate through protocol rules rather than direct contracts, and external conditions such as demand or market sentiment can change abruptly</w:t>
      </w:r>
      <w:r>
        <w:t xml:space="preserve"> </w:t>
      </w:r>
      <w:r>
        <w:t xml:space="preserve">. These elements interact in non-linear ways, especially once feedback effects emerge. A simulation-based approach makes it possible to examine these interactions directly, while keeping assumptions explicit and inspectable</w:t>
      </w:r>
      <w:r>
        <w:t xml:space="preserve"> </w:t>
      </w:r>
      <w:r>
        <w:t xml:space="preserve">.</w:t>
      </w:r>
    </w:p>
    <w:p>
      <w:pPr>
        <w:pStyle w:val="BodyText"/>
      </w:pPr>
      <w:r>
        <w:t xml:space="preserve">To avoid over-interpretation, a number of non-goals are defined upfront. The model does not produce token price forecasts, valuation estimates, or projections of market capitalization</w:t>
      </w:r>
      <w:r>
        <w:t xml:space="preserve"> </w:t>
      </w:r>
      <w:r>
        <w:t xml:space="preserve">. Price dynamics are included only as internal signals that reflect supply, demand, and liquidity assumptions. Likewise, the results are not treated as causal claims about real-world networks. All observed patterns are conditional on the modeled assumptions and should be understood as indicative rather than predictive.</w:t>
      </w:r>
    </w:p>
    <w:p>
      <w:pPr>
        <w:pStyle w:val="BodyText"/>
      </w:pPr>
      <w:r>
        <w:t xml:space="preserve">The framework does not identify optimal parameter settings or prescribe specific tokenomic designs. Instead, it surfaces trade-offs and failure modes visible under stress. Finally, the model abstracts from governance processes, legal constraints, and off-chain behavioral factors that may be important in practice but cannot be represented in a tractable and reproducible way within the scope of this study.</w:t>
      </w:r>
    </w:p>
    <w:p>
      <w:pPr>
        <w:pStyle w:val="BodyText"/>
      </w:pPr>
      <w:r>
        <w:t xml:space="preserve">This aligns with standard practice in complex systems research, where controlled comparison under adverse conditions is preferred over predictive modeling in settings characterized by uncertainty, feedback effects, and heterogeneous agents</w:t>
      </w:r>
      <w:r>
        <w:t xml:space="preserve"> </w:t>
      </w:r>
      <w:r>
        <w:t xml:space="preserve">.</w:t>
      </w:r>
    </w:p>
    <w:bookmarkEnd w:id="33"/>
    <w:bookmarkStart w:id="34" w:name="model-scope-and-agent-representation"/>
    <w:p>
      <w:pPr>
        <w:pStyle w:val="Heading2"/>
      </w:pPr>
      <w:r>
        <w:t xml:space="preserve">Model Scope and Agent Representation</w:t>
      </w:r>
    </w:p>
    <w:p>
      <w:pPr>
        <w:pStyle w:val="FirstParagraph"/>
      </w:pPr>
      <w:r>
        <w:t xml:space="preserve">The simulation model represents DePIN dynamics through a limited set of interacting components that capture the core economic relationships relevant to infrastructure sustainability. The scope is defined by what can be meaningfully stress-tested, rather than by an attempt to mirror the full complexity of real-world networks</w:t>
      </w:r>
      <w:r>
        <w:t xml:space="preserve"> </w:t>
      </w:r>
      <w:r>
        <w:t xml:space="preserve">.</w:t>
      </w:r>
    </w:p>
    <w:p>
      <w:pPr>
        <w:pStyle w:val="BodyText"/>
      </w:pPr>
      <w:r>
        <w:t xml:space="preserve">At the center of the model are infrastructure providers, represented as heterogeneous agents. Providers differ along several dimensions that materially affect their economic outcomes, including operational costs, effective capacity contribution, and hardware tier. This heterogeneity is essential, as DePIN networks do not consist of interchangeable participants but of operators with varying cost structures. Provider behavior is limited to economically motivated decisions, primarily continued participation, exit (churn), or entry, based on profitability thresholds and accumulated losses</w:t>
      </w:r>
      <w:r>
        <w:t xml:space="preserve"> </w:t>
      </w:r>
      <w:r>
        <w:t xml:space="preserve">.</w:t>
      </w:r>
    </w:p>
    <w:p>
      <w:pPr>
        <w:pStyle w:val="BodyText"/>
      </w:pPr>
      <w:r>
        <w:t xml:space="preserve">Users are not modeled as individual agents. Instead, service demand is treated as an exogenous input, specified through time-varying demand regimes. While real demand may respond endogenously to price or service quality, introducing such feedback would require assumptions that cannot be validated within the scope of this thesis. Demand is therefore used as a controlled external driver, allowing the analysis to focus on how tokenomic mechanisms respond to stress rather than on how demand itself forms.</w:t>
      </w:r>
    </w:p>
    <w:p>
      <w:pPr>
        <w:pStyle w:val="BodyText"/>
      </w:pPr>
      <w:r>
        <w:t xml:space="preserve">The protocol is represented as a rule-based system that governs emissions, reward allocation, burn mechanisms, and price-related dynamics. Protocol behavior is deterministic given a set of parameters and inputs, and does not adapt strategically over time. This abstraction is intentional: the objective is to evaluate the behavior of tokenomic mechanisms as designed, not to model governance interventions.</w:t>
      </w:r>
    </w:p>
    <w:p>
      <w:pPr>
        <w:pStyle w:val="BodyText"/>
      </w:pPr>
      <w:r>
        <w:t xml:space="preserve">Within this structure, we maintain a clear distinction between endogenous variables (token supply, provider profitability, churn, incentive solvency) and exogenous variables (demand regimes, macroeconomic conditions, liquidity shocks). This separation allows observed outcomes to be traced back to specific stress inputs and mechanism responses.</w:t>
      </w:r>
    </w:p>
    <w:bookmarkEnd w:id="34"/>
    <w:bookmarkStart w:id="35" w:name="Xf08e3a833a7de0ad886b691ed3b6dcbc9283d8b"/>
    <w:p>
      <w:pPr>
        <w:pStyle w:val="Heading2"/>
      </w:pPr>
      <w:r>
        <w:t xml:space="preserve">Inputs, Parameters, and Exogenous vs Endogenous Variables</w:t>
      </w:r>
    </w:p>
    <w:p>
      <w:pPr>
        <w:pStyle w:val="FirstParagraph"/>
      </w:pPr>
      <w:r>
        <w:t xml:space="preserve">The simulation framework operates on a clearly defined set of inputs and parameters that determine how the system evolves over time. These inputs are grouped by their role in the model rather than by their real-world source, in order to make assumptions explicit. A central design principle is that parameters are treated as</w:t>
      </w:r>
      <w:r>
        <w:t xml:space="preserve"> </w:t>
      </w:r>
      <w:r>
        <w:rPr>
          <w:i/>
          <w:iCs/>
        </w:rPr>
        <w:t xml:space="preserve">ranges and regimes</w:t>
      </w:r>
      <w:r>
        <w:t xml:space="preserve">, not as precise estimates of real-world values.</w:t>
      </w:r>
    </w:p>
    <w:p>
      <w:pPr>
        <w:pStyle w:val="BodyText"/>
      </w:pPr>
      <w:r>
        <w:t xml:space="preserve">Exogenous inputs define the external environment. These include demand regimes, macroeconomic conditions, and discrete shock events. Demand is specified as a time series that can follow different patterns, such as steady usage, growth followed by decay, or highly volatile behavior. Macroeconomic conditions are represented through scenario-level modifiers. Liquidity shocks, such as large token unlocks, are introduced as one-time exogenous disturbances. Treating these factors as exogenous allows the same stress conditions to be applied consistently across different tokenomic configurations.</w:t>
      </w:r>
    </w:p>
    <w:p>
      <w:pPr>
        <w:pStyle w:val="BodyText"/>
      </w:pPr>
      <w:r>
        <w:t xml:space="preserve">Protocol-level parameters define the incentive mechanisms under evaluation. These include emission limits, burn fractions, reward allocation rules, and treasury handling strategies. Parameters in this category are varied across simulation runs to represent alternative tokenomic designs or policy choices. Importantly, the model does not assume that protocol parameters adapt dynamically in response to outcomes. Any change in emissions or incentive structure is introduced explicitly as part of a scenario, rather than emerging endogenously.</w:t>
      </w:r>
    </w:p>
    <w:p>
      <w:pPr>
        <w:pStyle w:val="BodyText"/>
      </w:pPr>
      <w:r>
        <w:t xml:space="preserve">Provider-level parameters describe the economic characteristics of infrastructure operators. These include capital expenditure proxies, ongoing operational costs, and participation thresholds. Provider heterogeneity is introduced by sampling these parameters from predefined distributions. Where practitioner input is used (e.g., typical cost ranges or revenue expectations), it is incorporated as broad intervals influenced by public documentation, not as exact figures.</w:t>
      </w:r>
    </w:p>
    <w:bookmarkEnd w:id="35"/>
    <w:bookmarkStart w:id="36" w:name="stress-dimensions-and-scenario-design"/>
    <w:p>
      <w:pPr>
        <w:pStyle w:val="Heading2"/>
      </w:pPr>
      <w:r>
        <w:t xml:space="preserve">Stress Dimensions and Scenario Design</w:t>
      </w:r>
    </w:p>
    <w:p>
      <w:pPr>
        <w:pStyle w:val="FirstParagraph"/>
      </w:pPr>
      <w:r>
        <w:t xml:space="preserve">Stress scenarios in the simulation are designed to represent adverse conditions that are plausible for DePIN networks and that materially challenge incentive alignment, provider retention, and service continuity. The model focuses on a limited set of stress dimensions that recur across incentive-driven infrastructure systems.</w:t>
      </w:r>
    </w:p>
    <w:p>
      <w:pPr>
        <w:pStyle w:val="BodyText"/>
      </w:pPr>
      <w:r>
        <w:t xml:space="preserve">A first category of stress relates to demand conditions. Demand regimes are specified exogenously and include stable demand, growth followed by decay, and highly volatile usage patterns. These regimes reflect the well-documented risk that early network adoption does not translate into sustained utilization</w:t>
      </w:r>
      <w:r>
        <w:t xml:space="preserve"> </w:t>
      </w:r>
      <w:r>
        <w:t xml:space="preserve">.</w:t>
      </w:r>
    </w:p>
    <w:p>
      <w:pPr>
        <w:pStyle w:val="BodyText"/>
      </w:pPr>
      <w:r>
        <w:t xml:space="preserve">A second category relates to external market shocks. Macroeconomic regimes (Bear, Bull, Sideways) modulate the baseline assumptions for token price drift and volatility. Liquidity shocks simulate sudden sell pressure events, testing the system’s ability to maintain incentive alignment even in the absence of changes in underlying demand</w:t>
      </w:r>
      <w:r>
        <w:t xml:space="preserve"> </w:t>
      </w:r>
      <w:r>
        <w:t xml:space="preserve">.</w:t>
      </w:r>
    </w:p>
    <w:p>
      <w:pPr>
        <w:pStyle w:val="BodyText"/>
      </w:pPr>
      <w:r>
        <w:t xml:space="preserve">Provider-side stress is introduced through economic viability thresholds. In scenarios where operational costs increase, rewards decline, or token prices fall, providers may experience sustained losses. The model represents this through probabilistic churn mechanisms that activate after consecutive periods of unprofitability.</w:t>
      </w:r>
    </w:p>
    <w:p>
      <w:pPr>
        <w:pStyle w:val="BodyText"/>
      </w:pPr>
      <w:r>
        <w:t xml:space="preserve">These stress dimensions can be applied individually or in combination, allowing the analysis to explore compound failure conditions. Prior work on complex systems suggests that the interaction of multiple stressors often produces non-linear outcomes that are not apparent when shocks are considered in isolation. By standardizing the definition and timing of stress across scenarios, the model enables direct comparison of how different tokenomic mechanisms absorb or amplify adverse conditions.</w:t>
      </w:r>
    </w:p>
    <w:bookmarkEnd w:id="36"/>
    <w:bookmarkStart w:id="37" w:name="metrics-and-computation"/>
    <w:p>
      <w:pPr>
        <w:pStyle w:val="Heading2"/>
      </w:pPr>
      <w:r>
        <w:t xml:space="preserve">Metrics and Computation</w:t>
      </w:r>
    </w:p>
    <w:p>
      <w:pPr>
        <w:pStyle w:val="FirstParagraph"/>
      </w:pPr>
      <w:r>
        <w:t xml:space="preserve">The evaluation of tokenomic robustness in this study relies on a fixed set of metrics defined prior to analysis. Metrics are selected based on their ability to capture incentive sustainability, provider behavior, and system-level stress responses, rather than short-term market performance.</w:t>
      </w:r>
    </w:p>
    <w:p>
      <w:pPr>
        <w:pStyle w:val="BodyText"/>
      </w:pPr>
      <w:r>
        <w:t xml:space="preserve">A primary category of metrics captures provider sustainability and retention. Provider retention rates and churn counts are used to assess whether incentive structures are able to maintain infrastructure participation under stress. These measures are particularly important in DePIN systems, where provider exit can lead to persistent losses in service capacity due to physical deployment constraints.</w:t>
      </w:r>
    </w:p>
    <w:p>
      <w:pPr>
        <w:pStyle w:val="BodyText"/>
      </w:pPr>
      <w:r>
        <w:t xml:space="preserve">A second category relates to economic viability and incentive solvency. Metrics such as provider profitability, net incentive balance, and revenue-to-emission ratios are used to examine whether rewards remain economically meaningful relative to costs over time. Rather than interpreting these values as precise financial indicators, they are used as</w:t>
      </w:r>
      <w:r>
        <w:t xml:space="preserve"> </w:t>
      </w:r>
      <w:r>
        <w:rPr>
          <w:i/>
          <w:iCs/>
        </w:rPr>
        <w:t xml:space="preserve">proxies</w:t>
      </w:r>
      <w:r>
        <w:t xml:space="preserve"> </w:t>
      </w:r>
      <w:r>
        <w:t xml:space="preserve">for incentive health.</w:t>
      </w:r>
    </w:p>
    <w:p>
      <w:pPr>
        <w:pStyle w:val="BodyText"/>
      </w:pPr>
      <w:r>
        <w:t xml:space="preserve">System-level performance is captured through capacity and utilization metrics, including total active capacity, demand served, and utilization rates. These measures reflect whether the network continues to deliver service under adverse conditions, independent of token price dynamics.</w:t>
      </w:r>
    </w:p>
    <w:p>
      <w:pPr>
        <w:pStyle w:val="BodyText"/>
      </w:pPr>
      <w:r>
        <w:t xml:space="preserve">To assess broader tokenomic dynamics, the model tracks supply-side and flow-based indicators, including net emissions, burn-to-mint ratios, and token velocity proxies derived from transaction turnover. These metrics are not interpreted as direct measures of market efficiency, but as signals of whether token circulation and supply pressures remain aligned with usage-driven demand.</w:t>
      </w:r>
    </w:p>
    <w:p>
      <w:pPr>
        <w:pStyle w:val="BodyText"/>
      </w:pPr>
      <w:r>
        <w:t xml:space="preserve">Finally, distributional outcomes are examined using concentration metrics, such as top-participant reward shares or inequality proxies. These measures are included to detect whether stress conditions lead to excessive centralization of rewards or capacity, which may undermine network resilience even when aggregate metrics appear stable.</w:t>
      </w:r>
    </w:p>
    <w:bookmarkEnd w:id="37"/>
    <w:bookmarkStart w:id="38" w:name="reproducibility-and-validation-strategy"/>
    <w:p>
      <w:pPr>
        <w:pStyle w:val="Heading2"/>
      </w:pPr>
      <w:r>
        <w:t xml:space="preserve">Reproducibility and Validation Strategy</w:t>
      </w:r>
    </w:p>
    <w:p>
      <w:pPr>
        <w:pStyle w:val="FirstParagraph"/>
      </w:pPr>
      <w:r>
        <w:t xml:space="preserve">Reproducibility is treated as a core requirement of the simulation framework. All experiments are defined by an explicit set of parameters, scenario inputs, and random seeds, allowing results to be regenerated and inspected without reliance on undocumented assumptions or interactive tuning.</w:t>
      </w:r>
    </w:p>
    <w:p>
      <w:pPr>
        <w:pStyle w:val="BodyText"/>
      </w:pPr>
      <w:r>
        <w:t xml:space="preserve">Stochastic elements are present in several parts of the simulation, including demand variation, provider heterogeneity, churn decisions, and price-related noise. To ensure that observed outcomes are not driven by single-run artifacts, each scenario is evaluated across multiple simulation runs using seeded pseudo-random number generation. Results are then aggregated to examine central tendencies and dispersion rather than relying on individual trajectories.</w:t>
      </w:r>
    </w:p>
    <w:p>
      <w:pPr>
        <w:pStyle w:val="BodyText"/>
      </w:pPr>
      <w:r>
        <w:t xml:space="preserve">Validation in this context does not aim to establish empirical accuracy with respect to real-world data. Instead, the model is validated through internal consistency and behavioral plausibility checks. These include baseline runs without stress, where the system is expected to exhibit stable participation and bounded dynamics, as well as controlled perturbations where directional responses can be anticipated based on incentive logic.</w:t>
      </w:r>
    </w:p>
    <w:p>
      <w:pPr>
        <w:pStyle w:val="BodyText"/>
      </w:pPr>
      <w:r>
        <w:t xml:space="preserve">Sensitivity analysis is used to further assess robustness. Key parameters (cost ranges, emission limits, and churn thresholds) are varied within predefined intervals to examine whether qualitative outcomes persist under moderate perturbations. Outcomes that remain stable across reasonable parameter variations are treated as more robust signals.</w:t>
      </w:r>
    </w:p>
    <w:bookmarkEnd w:id="38"/>
    <w:bookmarkStart w:id="39" w:name="limitations-of-the-model"/>
    <w:p>
      <w:pPr>
        <w:pStyle w:val="Heading2"/>
      </w:pPr>
      <w:r>
        <w:t xml:space="preserve">Limitations of the Model</w:t>
      </w:r>
    </w:p>
    <w:p>
      <w:pPr>
        <w:pStyle w:val="FirstParagraph"/>
      </w:pPr>
      <w:r>
        <w:t xml:space="preserve">While the simulation framework is designed to support structured stress testing, it necessarily abstracts from many aspects of real-world network behavior. These limitations are not incidental, but a consequence of deliberate design choices made to preserve interpretability and reproducibility.</w:t>
      </w:r>
    </w:p>
    <w:p>
      <w:pPr>
        <w:pStyle w:val="BodyText"/>
      </w:pPr>
      <w:r>
        <w:t xml:space="preserve">Several limitations shape the model’s scope. Demand is modeled as an exogenous process; although some scenarios allow demand to vary over time, the model does not fully endogenize user behavior or price elasticity. Providers are represented as economically rational agents operating under simplified decision rules, excluding strategic behavior such as long-term speculation or coordinated action.</w:t>
      </w:r>
    </w:p>
    <w:p>
      <w:pPr>
        <w:pStyle w:val="BodyText"/>
      </w:pPr>
      <w:r>
        <w:t xml:space="preserve">The price formation mechanism is a reduced-form approximation, combining buy and sell pressure, dilution effects, scarcity signals, and stochastic noise to generate directional price dynamics. This approach is sufficient for comparative stress testing but does not attempt to replicate actual market microstructure. The temporal resolution of the model is limited to discrete time steps, obscuring intra-period dynamics such as short-term volatility spikes.</w:t>
      </w:r>
    </w:p>
    <w:p>
      <w:pPr>
        <w:pStyle w:val="BodyText"/>
      </w:pPr>
      <w:r>
        <w:t xml:space="preserve">Finally, empirical calibration is constrained by data availability. Inputs derived from interviews or public documentation are treated as indicative ranges rather than precise measurements. The framework is therefore better suited to identifying relative sensitivities and failure modes than to making absolute performance claims.</w:t>
      </w:r>
    </w:p>
    <w:p>
      <w:pPr>
        <w:pStyle w:val="BodyText"/>
      </w:pPr>
      <w:r>
        <w:t xml:space="preserve">Taken together, these limitations imply that the results of the simulation should be interpreted as comparative, conditional insights rather than predictions. The value of the model lies in its ability to expose how different tokenomic mechanisms respond under controlled stress scenarios, not in asserting how any particular network will behave in practice.</w:t>
      </w:r>
    </w:p>
    <w:bookmarkEnd w:id="39"/>
    <w:bookmarkStart w:id="40" w:name="adversarial-stress-and-future-work"/>
    <w:p>
      <w:pPr>
        <w:pStyle w:val="Heading2"/>
      </w:pPr>
      <w:r>
        <w:t xml:space="preserve">Adversarial Stress and Future Work</w:t>
      </w:r>
    </w:p>
    <w:p>
      <w:pPr>
        <w:pStyle w:val="FirstParagraph"/>
      </w:pPr>
      <w:r>
        <w:t xml:space="preserve">A critical distinction in this framework is the assumption of</w:t>
      </w:r>
      <w:r>
        <w:t xml:space="preserve"> </w:t>
      </w:r>
      <w:r>
        <w:t xml:space="preserve">“economically rational but honest”</w:t>
      </w:r>
      <w:r>
        <w:t xml:space="preserve"> </w:t>
      </w:r>
      <w:r>
        <w:t xml:space="preserve">agents. Real-world DePIN networks, however, face existential risks from adversarial behavior, such as Sybil attacks, GPS spoofing, and strategic governance capture</w:t>
      </w:r>
      <w:r>
        <w:t xml:space="preserve"> </w:t>
      </w:r>
      <w:r>
        <w:t xml:space="preserve">. While the current model captures economic stress, it does not explicitly promote</w:t>
      </w:r>
      <w:r>
        <w:t xml:space="preserve"> </w:t>
      </w:r>
      <w:r>
        <w:t xml:space="preserve">“Scenario S5: Verification Failure,”</w:t>
      </w:r>
      <w:r>
        <w:t xml:space="preserve"> </w:t>
      </w:r>
      <w:r>
        <w:t xml:space="preserve">where malicious actors dilute rewards for honest participants, potentially triggering a</w:t>
      </w:r>
      <w:r>
        <w:t xml:space="preserve"> </w:t>
      </w:r>
      <w:r>
        <w:t xml:space="preserve">“Lemons Market”</w:t>
      </w:r>
      <w:r>
        <w:t xml:space="preserve"> </w:t>
      </w:r>
      <w:r>
        <w:t xml:space="preserve">dynamic</w:t>
      </w:r>
      <w:r>
        <w:t xml:space="preserve"> </w:t>
      </w:r>
      <w:r>
        <w:t xml:space="preserve">.</w:t>
      </w:r>
    </w:p>
    <w:p>
      <w:pPr>
        <w:pStyle w:val="BodyText"/>
      </w:pPr>
      <w:r>
        <w:t xml:space="preserve">Future iterations of this framework should integrate adversarial agent types to evaluate the resilience of verification mechanisms (e.g., Proof of Physical Work) against coordinated spoofing. This would allow for a more comprehensive assessment of</w:t>
      </w:r>
      <w:r>
        <w:t xml:space="preserve"> </w:t>
      </w:r>
      <w:r>
        <w:t xml:space="preserve">“Anti-Fragile”</w:t>
      </w:r>
      <w:r>
        <w:t xml:space="preserve"> </w:t>
      </w:r>
      <w:r>
        <w:t xml:space="preserve">tokenomics that includes security vectors alongside economic ones</w:t>
      </w:r>
      <w:r>
        <w:t xml:space="preserve"> </w:t>
      </w:r>
      <w:r>
        <w:t xml:space="preserve">.</w:t>
      </w:r>
    </w:p>
    <w:bookmarkEnd w:id="40"/>
    <w:bookmarkEnd w:id="41"/>
    <w:bookmarkStart w:id="51" w:name="sec:stress_scenarios"/>
    <w:p>
      <w:pPr>
        <w:pStyle w:val="Heading1"/>
      </w:pPr>
      <w:r>
        <w:t xml:space="preserve">Stress Scenario Design</w:t>
      </w:r>
    </w:p>
    <w:bookmarkStart w:id="42" w:name="operational-definition-of-stress"/>
    <w:p>
      <w:pPr>
        <w:pStyle w:val="Heading2"/>
      </w:pPr>
      <w:r>
        <w:t xml:space="preserve">Operational Definition of Stress</w:t>
      </w:r>
    </w:p>
    <w:p>
      <w:pPr>
        <w:pStyle w:val="FirstParagraph"/>
      </w:pPr>
      <w:r>
        <w:t xml:space="preserve">In the context of this thesis, stress is defined operationally as an externally imposed adverse condition that challenges the ability of a DePIN network to maintain functional capacity through its incentive system. Stress is not treated as an outcome, such as price decline or provider exit, but as an input condition applied to the system.</w:t>
      </w:r>
    </w:p>
    <w:p>
      <w:pPr>
        <w:pStyle w:val="BodyText"/>
      </w:pPr>
      <w:r>
        <w:t xml:space="preserve">This distinction is critical. By defining stress as an exogenous input, the analysis avoids circular reasoning in which system failure is both the cause and the consequence of stress. Instead, stress scenarios are constructed as controlled perturbations to the environment in which tokenomic mechanisms operate, allowing their responses to be observed and compared.</w:t>
      </w:r>
    </w:p>
    <w:p>
      <w:pPr>
        <w:pStyle w:val="BodyText"/>
      </w:pPr>
      <w:r>
        <w:t xml:space="preserve">Stress, as modeled here, targets three core dimensions of network sustainability:</w:t>
      </w:r>
    </w:p>
    <w:p>
      <w:pPr>
        <w:numPr>
          <w:ilvl w:val="0"/>
          <w:numId w:val="1011"/>
        </w:numPr>
      </w:pPr>
      <w:r>
        <w:t xml:space="preserve">Provider retention, reflecting the willingness of infrastructure operators to remain active.</w:t>
      </w:r>
    </w:p>
    <w:p>
      <w:pPr>
        <w:numPr>
          <w:ilvl w:val="0"/>
          <w:numId w:val="1011"/>
        </w:numPr>
      </w:pPr>
      <w:r>
        <w:t xml:space="preserve">Service continuity, reflecting the network’s ability to meet demand through available capacity.</w:t>
      </w:r>
    </w:p>
    <w:p>
      <w:pPr>
        <w:numPr>
          <w:ilvl w:val="0"/>
          <w:numId w:val="1011"/>
        </w:numPr>
      </w:pPr>
      <w:r>
        <w:t xml:space="preserve">Incentive solvency, reflecting the balance between token issuance, usage-driven sinks, and economic viability.</w:t>
      </w:r>
    </w:p>
    <w:p>
      <w:pPr>
        <w:pStyle w:val="FirstParagraph"/>
      </w:pPr>
      <w:r>
        <w:t xml:space="preserve">These dimensions align with established interpretations of robustness in complex systems, where resilience is assessed by continued function rather than by avoidance of disturbance</w:t>
      </w:r>
      <w:r>
        <w:t xml:space="preserve"> </w:t>
      </w:r>
      <w:r>
        <w:t xml:space="preserve">.</w:t>
      </w:r>
    </w:p>
    <w:bookmarkEnd w:id="42"/>
    <w:bookmarkStart w:id="48" w:name="stress-dimensions-implemented"/>
    <w:p>
      <w:pPr>
        <w:pStyle w:val="Heading2"/>
      </w:pPr>
      <w:r>
        <w:t xml:space="preserve">Stress Dimensions Implemented</w:t>
      </w:r>
    </w:p>
    <w:p>
      <w:pPr>
        <w:pStyle w:val="FirstParagraph"/>
      </w:pPr>
      <w:r>
        <w:t xml:space="preserve">The simulation framework implements multiple stress dimensions, each corresponding to real-world risk factors commonly observed in crypto-economic systems and infrastructure networks. All stress dimensions are treated as exogenous inputs, consistent with the scope constraints defined in Section</w:t>
      </w:r>
      <w:r>
        <w:t xml:space="preserve"> </w:t>
      </w:r>
      <w:hyperlink w:anchor="sec:methodology">
        <w:r>
          <w:rPr>
            <w:rStyle w:val="Hyperlink"/>
          </w:rPr>
          <w:t xml:space="preserve">6</w:t>
        </w:r>
      </w:hyperlink>
      <w:r>
        <w:t xml:space="preserve">.</w:t>
      </w:r>
    </w:p>
    <w:bookmarkStart w:id="43" w:name="macroeconomic-regimes"/>
    <w:p>
      <w:pPr>
        <w:pStyle w:val="Heading3"/>
      </w:pPr>
      <w:r>
        <w:t xml:space="preserve">Macroeconomic Regimes</w:t>
      </w:r>
    </w:p>
    <w:p>
      <w:pPr>
        <w:pStyle w:val="FirstParagraph"/>
      </w:pPr>
      <w:r>
        <w:t xml:space="preserve">Macroeconomic conditions are represented through regime-based modifiers that influence token price drift and volatility. Three regimes are defined:</w:t>
      </w:r>
    </w:p>
    <w:p>
      <w:pPr>
        <w:numPr>
          <w:ilvl w:val="0"/>
          <w:numId w:val="1012"/>
        </w:numPr>
      </w:pPr>
      <w:r>
        <w:t xml:space="preserve">Bearish, characterized by negative drift and elevated volatility.</w:t>
      </w:r>
    </w:p>
    <w:p>
      <w:pPr>
        <w:numPr>
          <w:ilvl w:val="0"/>
          <w:numId w:val="1012"/>
        </w:numPr>
      </w:pPr>
      <w:r>
        <w:t xml:space="preserve">Sideways, characterized by neutral drift and moderate volatility.</w:t>
      </w:r>
    </w:p>
    <w:p>
      <w:pPr>
        <w:numPr>
          <w:ilvl w:val="0"/>
          <w:numId w:val="1012"/>
        </w:numPr>
      </w:pPr>
      <w:r>
        <w:t xml:space="preserve">Bullish, characterized by positive drift and reduced volatility.</w:t>
      </w:r>
    </w:p>
    <w:p>
      <w:pPr>
        <w:pStyle w:val="FirstParagraph"/>
      </w:pPr>
      <w:r>
        <w:t xml:space="preserve">These regimes abstract broader market sentiment and liquidity conditions without attempting to model specific macroeconomic variables. Their purpose is to expose tokenomic mechanisms to varying background conditions rather than to replicate real-world cycles.</w:t>
      </w:r>
    </w:p>
    <w:bookmarkEnd w:id="43"/>
    <w:bookmarkStart w:id="44" w:name="demand-regimes"/>
    <w:p>
      <w:pPr>
        <w:pStyle w:val="Heading3"/>
      </w:pPr>
      <w:r>
        <w:t xml:space="preserve">Demand Regimes</w:t>
      </w:r>
    </w:p>
    <w:p>
      <w:pPr>
        <w:pStyle w:val="FirstParagraph"/>
      </w:pPr>
      <w:r>
        <w:t xml:space="preserve">Demand for network services is modeled as a stochastic time series with configurable structure. Four demand regimes are implemented:</w:t>
      </w:r>
    </w:p>
    <w:p>
      <w:pPr>
        <w:numPr>
          <w:ilvl w:val="0"/>
          <w:numId w:val="1013"/>
        </w:numPr>
      </w:pPr>
      <w:r>
        <w:t xml:space="preserve">Stable demand, with low variance around a constant mean.</w:t>
      </w:r>
    </w:p>
    <w:p>
      <w:pPr>
        <w:numPr>
          <w:ilvl w:val="0"/>
          <w:numId w:val="1013"/>
        </w:numPr>
      </w:pPr>
      <w:r>
        <w:t xml:space="preserve">Growth demand, exhibiting sustained upward trends.</w:t>
      </w:r>
    </w:p>
    <w:p>
      <w:pPr>
        <w:numPr>
          <w:ilvl w:val="0"/>
          <w:numId w:val="1013"/>
        </w:numPr>
      </w:pPr>
      <w:r>
        <w:t xml:space="preserve">Volatile demand, characterized by high variance without long-term trend.</w:t>
      </w:r>
    </w:p>
    <w:p>
      <w:pPr>
        <w:numPr>
          <w:ilvl w:val="0"/>
          <w:numId w:val="1013"/>
        </w:numPr>
      </w:pPr>
      <w:r>
        <w:t xml:space="preserve">High-to-decay demand, representing an initial surge followed by gradual decline.</w:t>
      </w:r>
    </w:p>
    <w:p>
      <w:pPr>
        <w:pStyle w:val="FirstParagraph"/>
      </w:pPr>
      <w:r>
        <w:t xml:space="preserve">These regimes reflect common adoption patterns observed in infrastructure services, including early hype cycles and post-deployment normalization. Demand remains exogenous by design, enabling isolation of provider-side incentive responses.</w:t>
      </w:r>
    </w:p>
    <w:bookmarkEnd w:id="44"/>
    <w:bookmarkStart w:id="45" w:name="liquidity-shocks"/>
    <w:p>
      <w:pPr>
        <w:pStyle w:val="Heading3"/>
      </w:pPr>
      <w:r>
        <w:t xml:space="preserve">Liquidity Shocks</w:t>
      </w:r>
    </w:p>
    <w:p>
      <w:pPr>
        <w:pStyle w:val="FirstParagraph"/>
      </w:pPr>
      <w:r>
        <w:t xml:space="preserve">Liquidity stress is introduced through discrete token unlock events combined with finite market depth. These events simulate situations in which large token holders sell a portion of their holdings into an automated market maker pool, producing abrupt price shocks.</w:t>
      </w:r>
    </w:p>
    <w:p>
      <w:pPr>
        <w:pStyle w:val="BodyText"/>
      </w:pPr>
      <w:r>
        <w:t xml:space="preserve">Liquidity shocks are parameterized by:</w:t>
      </w:r>
    </w:p>
    <w:p>
      <w:pPr>
        <w:numPr>
          <w:ilvl w:val="0"/>
          <w:numId w:val="1014"/>
        </w:numPr>
      </w:pPr>
      <w:r>
        <w:t xml:space="preserve">Unlock timing</w:t>
      </w:r>
    </w:p>
    <w:p>
      <w:pPr>
        <w:numPr>
          <w:ilvl w:val="0"/>
          <w:numId w:val="1014"/>
        </w:numPr>
      </w:pPr>
      <w:r>
        <w:t xml:space="preserve">Proportion of circulating supply unlocked</w:t>
      </w:r>
    </w:p>
    <w:p>
      <w:pPr>
        <w:numPr>
          <w:ilvl w:val="0"/>
          <w:numId w:val="1014"/>
        </w:numPr>
      </w:pPr>
      <w:r>
        <w:t xml:space="preserve">Available liquidity depth</w:t>
      </w:r>
    </w:p>
    <w:p>
      <w:pPr>
        <w:pStyle w:val="FirstParagraph"/>
      </w:pPr>
      <w:r>
        <w:t xml:space="preserve">The objective is not to model investor behavior but to evaluate how tokenomic mechanisms respond to sudden price dislocations.</w:t>
      </w:r>
    </w:p>
    <w:bookmarkEnd w:id="45"/>
    <w:bookmarkStart w:id="46" w:name="provider-economics-stress"/>
    <w:p>
      <w:pPr>
        <w:pStyle w:val="Heading3"/>
      </w:pPr>
      <w:r>
        <w:t xml:space="preserve">Provider Economics Stress</w:t>
      </w:r>
    </w:p>
    <w:p>
      <w:pPr>
        <w:pStyle w:val="FirstParagraph"/>
      </w:pPr>
      <w:r>
        <w:t xml:space="preserve">Provider-side economic stress is modeled through increases in operational costs, competitive yield opportunities, and reduced profitability thresholds. These inputs reflect real-world pressures faced by infrastructure operators, such as rising energy prices or alternative revenue opportunities.</w:t>
      </w:r>
    </w:p>
    <w:p>
      <w:pPr>
        <w:pStyle w:val="BodyText"/>
      </w:pPr>
      <w:r>
        <w:t xml:space="preserve">In addition, the model distinguishes between provider types (e.g., higher-cost professional installations versus lower-cost basic setups), allowing differential sensitivity to stress.</w:t>
      </w:r>
    </w:p>
    <w:bookmarkEnd w:id="46"/>
    <w:bookmarkStart w:id="47" w:name="tokenomics-parameter-stress"/>
    <w:p>
      <w:pPr>
        <w:pStyle w:val="Heading3"/>
      </w:pPr>
      <w:r>
        <w:t xml:space="preserve">Tokenomics Parameter Stress</w:t>
      </w:r>
    </w:p>
    <w:p>
      <w:pPr>
        <w:pStyle w:val="FirstParagraph"/>
      </w:pPr>
      <w:r>
        <w:t xml:space="preserve">Finally, stress is applied directly to tokenomic parameters, including emission caps, burn fractions, and initial supply conditions. This allows evaluation of how sensitive system behavior is to design choices, rather than to external shocks alone.</w:t>
      </w:r>
    </w:p>
    <w:bookmarkEnd w:id="47"/>
    <w:bookmarkEnd w:id="48"/>
    <w:bookmarkStart w:id="49" w:name="scenario-combination-rules"/>
    <w:p>
      <w:pPr>
        <w:pStyle w:val="Heading2"/>
      </w:pPr>
      <w:r>
        <w:t xml:space="preserve">Scenario Combination Rules</w:t>
      </w:r>
    </w:p>
    <w:p>
      <w:pPr>
        <w:pStyle w:val="FirstParagraph"/>
      </w:pPr>
      <w:r>
        <w:t xml:space="preserve">Stress dimensions are combined according to clearly defined rules. Parameter-based stresses (e.g., macro regime, demand regime, provider costs) may be combined freely, allowing compound stress scenarios to be evaluated. In contrast, scenario-specific behaviors (such as saturation or utility-focused modes) are treated as mutually exclusive to preserve interpretability.</w:t>
      </w:r>
    </w:p>
    <w:p>
      <w:pPr>
        <w:pStyle w:val="BodyText"/>
      </w:pPr>
      <w:r>
        <w:t xml:space="preserve">This design choice reflects a trade-off between realism and experimental control. While real-world systems may experience overlapping structural transitions, isolating scenario-specific behaviors reduces confounding effects and supports clearer comparative analysis.</w:t>
      </w:r>
    </w:p>
    <w:bookmarkEnd w:id="49"/>
    <w:bookmarkStart w:id="50" w:name="relevance-of-stress-scenarios"/>
    <w:p>
      <w:pPr>
        <w:pStyle w:val="Heading2"/>
      </w:pPr>
      <w:r>
        <w:t xml:space="preserve">Relevance of Stress Scenarios</w:t>
      </w:r>
    </w:p>
    <w:p>
      <w:pPr>
        <w:pStyle w:val="FirstParagraph"/>
      </w:pPr>
      <w:r>
        <w:t xml:space="preserve">The stress scenarios implemented in this thesis are not exhaustive representations of all possible risks faced by DePIN networks. Rather, they are selected to capture representative failure pressures commonly cited in practitioner and academic literature, including subsidy dependency, liquidity fragility, and provider churn</w:t>
      </w:r>
      <w:r>
        <w:t xml:space="preserve"> </w:t>
      </w:r>
      <w:r>
        <w:t xml:space="preserve">.</w:t>
      </w:r>
    </w:p>
    <w:p>
      <w:pPr>
        <w:pStyle w:val="BodyText"/>
      </w:pPr>
      <w:r>
        <w:t xml:space="preserve">By standardizing these scenarios, the framework enables consistent comparison across tokenomic mechanisms and protocol profiles.</w:t>
      </w:r>
    </w:p>
    <w:bookmarkEnd w:id="50"/>
    <w:bookmarkEnd w:id="51"/>
    <w:bookmarkStart w:id="64" w:name="sec:evaluation_metrics"/>
    <w:p>
      <w:pPr>
        <w:pStyle w:val="Heading1"/>
      </w:pPr>
      <w:r>
        <w:t xml:space="preserve">Evaluation Metrics</w:t>
      </w:r>
    </w:p>
    <w:bookmarkStart w:id="52" w:name="principles-for-metric-selection"/>
    <w:p>
      <w:pPr>
        <w:pStyle w:val="Heading2"/>
      </w:pPr>
      <w:r>
        <w:t xml:space="preserve">Principles for Metric Selection</w:t>
      </w:r>
    </w:p>
    <w:p>
      <w:pPr>
        <w:pStyle w:val="FirstParagraph"/>
      </w:pPr>
      <w:r>
        <w:t xml:space="preserve">Evaluating the robustness of tokenomic mechanisms requires metrics that are both interpretable and aligned with the functional objectives of DePIN networks. Three principles guide metric selection in this thesis: metrics must be comparative, enabling evaluation of relative performance across mechanisms and scenarios rather than absolute success or failure; they must be mechanism-relevant, reflecting provider incentives, service delivery, or economic sustainability rather than speculative market outcomes; and they must be transparent, with clearly defined computation and interpretation.</w:t>
      </w:r>
    </w:p>
    <w:p>
      <w:pPr>
        <w:pStyle w:val="BodyText"/>
      </w:pPr>
      <w:r>
        <w:t xml:space="preserve">These principles align with established guidance for simulation-based evaluation, where metrics should illuminate system behavior without overstating precision</w:t>
      </w:r>
      <w:r>
        <w:t xml:space="preserve"> </w:t>
      </w:r>
      <w:r>
        <w:t xml:space="preserve">.</w:t>
      </w:r>
    </w:p>
    <w:bookmarkEnd w:id="52"/>
    <w:bookmarkStart w:id="59" w:name="core-sustainability-metrics"/>
    <w:p>
      <w:pPr>
        <w:pStyle w:val="Heading2"/>
      </w:pPr>
      <w:r>
        <w:t xml:space="preserve">Core Sustainability Metrics</w:t>
      </w:r>
    </w:p>
    <w:p>
      <w:pPr>
        <w:pStyle w:val="FirstParagraph"/>
      </w:pPr>
      <w:r>
        <w:t xml:space="preserve">The following core metrics are used to evaluate system behavior under stress.</w:t>
      </w:r>
    </w:p>
    <w:bookmarkStart w:id="53" w:name="provider-retention-and-churn"/>
    <w:p>
      <w:pPr>
        <w:pStyle w:val="Heading3"/>
      </w:pPr>
      <w:r>
        <w:t xml:space="preserve">Provider Retention and Churn</w:t>
      </w:r>
    </w:p>
    <w:p>
      <w:pPr>
        <w:pStyle w:val="FirstParagraph"/>
      </w:pPr>
      <w:r>
        <w:t xml:space="preserve">Provider retention is measured as the proportion of active providers remaining over time, while churn captures the rate and magnitude of provider exit events. These metrics directly reflect the stability of the infrastructure layer and are central to DePIN sustainability.</w:t>
      </w:r>
    </w:p>
    <w:p>
      <w:pPr>
        <w:pStyle w:val="BodyText"/>
      </w:pPr>
      <w:r>
        <w:t xml:space="preserve">Retention is interpreted directionally: higher retention under comparable stress indicates greater robustness, but does not imply optimal or permanent stability.</w:t>
      </w:r>
    </w:p>
    <w:bookmarkEnd w:id="53"/>
    <w:bookmarkStart w:id="54" w:name="X8b7a6d3d46559d363d56d7fc23a3d39e8a0c4ef"/>
    <w:p>
      <w:pPr>
        <w:pStyle w:val="Heading3"/>
      </w:pPr>
      <w:r>
        <w:t xml:space="preserve">Capacity Utilization and Service Continuity</w:t>
      </w:r>
    </w:p>
    <w:p>
      <w:pPr>
        <w:pStyle w:val="FirstParagraph"/>
      </w:pPr>
      <w:r>
        <w:t xml:space="preserve">Service continuity is assessed through capacity utilization and demand satisfaction rates. Capacity utilization measures the extent to which deployed infrastructure is effectively used, while demand satisfaction captures the proportion of demand that can be served given available capacity.</w:t>
      </w:r>
    </w:p>
    <w:p>
      <w:pPr>
        <w:pStyle w:val="BodyText"/>
      </w:pPr>
      <w:r>
        <w:t xml:space="preserve">Together, these metrics indicate whether incentive mechanisms support not only provider participation but also functional service delivery.</w:t>
      </w:r>
    </w:p>
    <w:bookmarkEnd w:id="54"/>
    <w:bookmarkStart w:id="55" w:name="incentive-solvency-burn-to-mint-ratio"/>
    <w:p>
      <w:pPr>
        <w:pStyle w:val="Heading3"/>
      </w:pPr>
      <w:r>
        <w:t xml:space="preserve">Incentive Solvency (Burn-to-Mint Ratio)</w:t>
      </w:r>
    </w:p>
    <w:p>
      <w:pPr>
        <w:pStyle w:val="FirstParagraph"/>
      </w:pPr>
      <w:r>
        <w:t xml:space="preserve">Incentive solvency is proxied by the ratio of value burned through usage-driven sinks to value emitted through token issuance. A ratio approaching or exceeding unity suggests reduced reliance on subsidies, while persistent divergence indicates ongoing subsidy dependency.</w:t>
      </w:r>
    </w:p>
    <w:p>
      <w:pPr>
        <w:pStyle w:val="BodyText"/>
      </w:pPr>
      <w:r>
        <w:t xml:space="preserve">This metric abstracts complex monetary dynamics into a single comparative signal and is interpreted cautiously as an indicator rather than a definitive threshold.</w:t>
      </w:r>
    </w:p>
    <w:bookmarkEnd w:id="55"/>
    <w:bookmarkStart w:id="56" w:name="net-emissions-and-inflation-dynamics"/>
    <w:p>
      <w:pPr>
        <w:pStyle w:val="Heading3"/>
      </w:pPr>
      <w:r>
        <w:t xml:space="preserve">Net Emissions and Inflation Dynamics</w:t>
      </w:r>
    </w:p>
    <w:p>
      <w:pPr>
        <w:pStyle w:val="FirstParagraph"/>
      </w:pPr>
      <w:r>
        <w:t xml:space="preserve">Net emissions capture the balance between token issuance and destruction over time. While absolute inflation rates are not used as targets, changes in net emissions under stress reveal how mechanisms respond to shifts in demand and participation.</w:t>
      </w:r>
    </w:p>
    <w:bookmarkEnd w:id="56"/>
    <w:bookmarkStart w:id="57" w:name="token-velocity-proxy"/>
    <w:p>
      <w:pPr>
        <w:pStyle w:val="Heading3"/>
      </w:pPr>
      <w:r>
        <w:t xml:space="preserve">Token Velocity (Proxy)</w:t>
      </w:r>
    </w:p>
    <w:p>
      <w:pPr>
        <w:pStyle w:val="FirstParagraph"/>
      </w:pPr>
      <w:r>
        <w:t xml:space="preserve">Token velocity is estimated using transaction turnover as a proxy. While this does not capture all aspects of monetary velocity, it provides insight into whether tokens circulate primarily as a medium of exchange or accumulate as idle balances.</w:t>
      </w:r>
    </w:p>
    <w:p>
      <w:pPr>
        <w:pStyle w:val="BodyText"/>
      </w:pPr>
      <w:r>
        <w:t xml:space="preserve">Velocity is interpreted comparatively across scenarios and mechanisms, not as an absolute indicator of economic health.</w:t>
      </w:r>
    </w:p>
    <w:bookmarkEnd w:id="57"/>
    <w:bookmarkStart w:id="58" w:name="volatility-proxy"/>
    <w:p>
      <w:pPr>
        <w:pStyle w:val="Heading3"/>
      </w:pPr>
      <w:r>
        <w:t xml:space="preserve">Volatility Proxy</w:t>
      </w:r>
    </w:p>
    <w:p>
      <w:pPr>
        <w:pStyle w:val="FirstParagraph"/>
      </w:pPr>
      <w:r>
        <w:t xml:space="preserve">Price volatility is measured using relative dispersion metrics derived from simulated price series. Given the simplified market representation, volatility is treated as a stress signal affecting provider incentives rather than as a market performance indicator.</w:t>
      </w:r>
    </w:p>
    <w:bookmarkEnd w:id="58"/>
    <w:bookmarkEnd w:id="59"/>
    <w:bookmarkStart w:id="62" w:name="derived-summary-indicators"/>
    <w:p>
      <w:pPr>
        <w:pStyle w:val="Heading2"/>
      </w:pPr>
      <w:r>
        <w:t xml:space="preserve">Derived Summary Indicators</w:t>
      </w:r>
    </w:p>
    <w:p>
      <w:pPr>
        <w:pStyle w:val="FirstParagraph"/>
      </w:pPr>
      <w:r>
        <w:t xml:space="preserve">Several derived indicators are computed to support synthesis and interpretation.</w:t>
      </w:r>
    </w:p>
    <w:bookmarkStart w:id="60" w:name="death-spiral-probability"/>
    <w:p>
      <w:pPr>
        <w:pStyle w:val="Heading3"/>
      </w:pPr>
      <w:r>
        <w:t xml:space="preserve">Death Spiral Probability</w:t>
      </w:r>
    </w:p>
    <w:p>
      <w:pPr>
        <w:pStyle w:val="FirstParagraph"/>
      </w:pPr>
      <w:r>
        <w:t xml:space="preserve">Death spiral probability is defined operationally as the frequency with which simulations exhibit concurrent declines in price, provider count, and service capacity beyond defined thresholds. This indicator captures compounded failure dynamics without asserting inevitability.</w:t>
      </w:r>
    </w:p>
    <w:bookmarkEnd w:id="60"/>
    <w:bookmarkStart w:id="61" w:name="X349b6f3213f3782eaf67efbb677b1606efa17f8"/>
    <w:p>
      <w:pPr>
        <w:pStyle w:val="Heading3"/>
      </w:pPr>
      <w:r>
        <w:t xml:space="preserve">Network Revenue and Provider Profitability</w:t>
      </w:r>
    </w:p>
    <w:p>
      <w:pPr>
        <w:pStyle w:val="FirstParagraph"/>
      </w:pPr>
      <w:r>
        <w:t xml:space="preserve">Aggregate network revenue and average provider profitability are tracked to contextualize incentive outcomes. These metrics help distinguish between retention driven by genuine economic viability and retention sustained by temporary subsidies.</w:t>
      </w:r>
    </w:p>
    <w:bookmarkEnd w:id="61"/>
    <w:bookmarkEnd w:id="62"/>
    <w:bookmarkStart w:id="63" w:name="X45dcbd146c995c5a7c549936a15ddb5cea421e1"/>
    <w:p>
      <w:pPr>
        <w:pStyle w:val="Heading2"/>
      </w:pPr>
      <w:r>
        <w:t xml:space="preserve">Interpretation and Limitations of Metrics</w:t>
      </w:r>
    </w:p>
    <w:p>
      <w:pPr>
        <w:pStyle w:val="FirstParagraph"/>
      </w:pPr>
      <w:r>
        <w:t xml:space="preserve">All metrics used in this thesis are subject to limitations arising from model assumptions and abstraction. In particular, simplified price formation and exogenous demand constrain the interpretation of monetary indicators. Accordingly, metrics are used to compare relative robustness, not to establish optimal designs or real-world predictions.</w:t>
      </w:r>
    </w:p>
    <w:p>
      <w:pPr>
        <w:pStyle w:val="BodyText"/>
      </w:pPr>
      <w:r>
        <w:t xml:space="preserve">This cautious interpretation aligns with best practices in simulation-based research and supports the thesis’s evaluative rather than predictive orientation</w:t>
      </w:r>
      <w:r>
        <w:t xml:space="preserve"> </w:t>
      </w:r>
      <w:r>
        <w:t xml:space="preserve">.</w:t>
      </w:r>
    </w:p>
    <w:bookmarkEnd w:id="63"/>
    <w:bookmarkEnd w:id="64"/>
    <w:bookmarkStart w:id="111" w:name="sec:simulation_results"/>
    <w:p>
      <w:pPr>
        <w:pStyle w:val="Heading1"/>
      </w:pPr>
      <w:r>
        <w:t xml:space="preserve">Simulation Results</w:t>
      </w:r>
    </w:p>
    <w:bookmarkStart w:id="69" w:name="baseline-behavior-sanity-check"/>
    <w:p>
      <w:pPr>
        <w:pStyle w:val="Heading2"/>
      </w:pPr>
      <w:r>
        <w:t xml:space="preserve">Baseline Behavior (Sanity Check)</w:t>
      </w:r>
    </w:p>
    <w:p>
      <w:pPr>
        <w:pStyle w:val="FirstParagraph"/>
      </w:pPr>
      <w:r>
        <w:t xml:space="preserve">This section presents the results of the stress-testing simulations</w:t>
      </w:r>
      <w:r>
        <w:t xml:space="preserve"> </w:t>
      </w:r>
      <w:r>
        <w:t xml:space="preserve">described in Chapter 5. The purpose is to report observed outcomes under</w:t>
      </w:r>
      <w:r>
        <w:t xml:space="preserve"> </w:t>
      </w:r>
      <w:r>
        <w:t xml:space="preserve">standardized adverse scenarios, not to evaluate their desirability or to</w:t>
      </w:r>
      <w:r>
        <w:t xml:space="preserve"> </w:t>
      </w:r>
      <w:r>
        <w:t xml:space="preserve">draw normative conclusions. Interpretation and implications are deferred</w:t>
      </w:r>
      <w:r>
        <w:t xml:space="preserve"> </w:t>
      </w:r>
      <w:r>
        <w:t xml:space="preserve">to Chapter 7.</w:t>
      </w:r>
    </w:p>
    <w:p>
      <w:pPr>
        <w:pStyle w:val="BodyText"/>
      </w:pPr>
      <w:r>
        <w:t xml:space="preserve">Results are organized around comparative stress responses of</w:t>
      </w:r>
      <w:r>
        <w:t xml:space="preserve"> </w:t>
      </w:r>
      <w:r>
        <w:t xml:space="preserve">tokenomic mechanisms rather than absolute performance levels. Each</w:t>
      </w:r>
      <w:r>
        <w:t xml:space="preserve"> </w:t>
      </w:r>
      <w:r>
        <w:t xml:space="preserve">experiment evaluates how a given protocol configuration behaves relative</w:t>
      </w:r>
      <w:r>
        <w:t xml:space="preserve"> </w:t>
      </w:r>
      <w:r>
        <w:t xml:space="preserve">to others when exposed to the same stress inputs. This structure</w:t>
      </w:r>
      <w:r>
        <w:t xml:space="preserve"> </w:t>
      </w:r>
      <w:r>
        <w:t xml:space="preserve">reflects the central aim of the thesis: to assess directional</w:t>
      </w:r>
      <w:r>
        <w:t xml:space="preserve"> </w:t>
      </w:r>
      <w:r>
        <w:t xml:space="preserve">robustness and failure sensitivity, not to rank protocols by success or</w:t>
      </w:r>
      <w:r>
        <w:t xml:space="preserve"> </w:t>
      </w:r>
      <w:r>
        <w:t xml:space="preserve">forecast real-world outcomes.</w:t>
      </w:r>
    </w:p>
    <w:p>
      <w:pPr>
        <w:pStyle w:val="BodyText"/>
      </w:pPr>
      <w:r>
        <w:t xml:space="preserve">The results are grouped into four thematic blocks:</w:t>
      </w:r>
    </w:p>
    <w:p>
      <w:pPr>
        <w:numPr>
          <w:ilvl w:val="0"/>
          <w:numId w:val="1015"/>
        </w:numPr>
      </w:pPr>
      <w:r>
        <w:t xml:space="preserve">Baseline Behavior Under Neutral Conditions</w:t>
      </w:r>
      <w:r>
        <w:br/>
      </w:r>
      <w:r>
        <w:t xml:space="preserve">Establishes reference trajectories for price, supply, provider</w:t>
      </w:r>
      <w:r>
        <w:t xml:space="preserve"> </w:t>
      </w:r>
      <w:r>
        <w:t xml:space="preserve">participation, and incentive balance in the absence of external</w:t>
      </w:r>
      <w:r>
        <w:t xml:space="preserve"> </w:t>
      </w:r>
      <w:r>
        <w:t xml:space="preserve">stress. These runs serve solely as comparison anchors and are not</w:t>
      </w:r>
      <w:r>
        <w:t xml:space="preserve"> </w:t>
      </w:r>
      <w:r>
        <w:t xml:space="preserve">interpreted as equilibrium states.</w:t>
      </w:r>
    </w:p>
    <w:p>
      <w:pPr>
        <w:numPr>
          <w:ilvl w:val="0"/>
          <w:numId w:val="1015"/>
        </w:numPr>
      </w:pPr>
      <w:r>
        <w:t xml:space="preserve">Response to Demand-Side Stress</w:t>
      </w:r>
      <w:r>
        <w:br/>
      </w:r>
      <w:r>
        <w:t xml:space="preserve">Examines how tokenomic mechanisms react to sudden demand</w:t>
      </w:r>
      <w:r>
        <w:t xml:space="preserve"> </w:t>
      </w:r>
      <w:r>
        <w:t xml:space="preserve">contraction, demand volatility, and high-to-decay demand regimes.</w:t>
      </w:r>
      <w:r>
        <w:t xml:space="preserve"> </w:t>
      </w:r>
      <w:r>
        <w:t xml:space="preserve">Outcomes are evaluated in terms of provider retention, utilization,</w:t>
      </w:r>
      <w:r>
        <w:t xml:space="preserve"> </w:t>
      </w:r>
      <w:r>
        <w:t xml:space="preserve">and emission efficiency.</w:t>
      </w:r>
    </w:p>
    <w:p>
      <w:pPr>
        <w:numPr>
          <w:ilvl w:val="0"/>
          <w:numId w:val="1015"/>
        </w:numPr>
      </w:pPr>
      <w:r>
        <w:t xml:space="preserve">Response to Supply- and Liquidity-Side Stress</w:t>
      </w:r>
      <w:r>
        <w:br/>
      </w:r>
      <w:r>
        <w:t xml:space="preserve">Analyzes the effects of emission pressure, burn intensity, and</w:t>
      </w:r>
      <w:r>
        <w:t xml:space="preserve"> </w:t>
      </w:r>
      <w:r>
        <w:t xml:space="preserve">liquidity shocks such as investor unlock events. Focus is placed on</w:t>
      </w:r>
      <w:r>
        <w:t xml:space="preserve"> </w:t>
      </w:r>
      <w:r>
        <w:t xml:space="preserve">dilution dynamics, price drawdowns, and churn amplification.</w:t>
      </w:r>
    </w:p>
    <w:p>
      <w:pPr>
        <w:numPr>
          <w:ilvl w:val="0"/>
          <w:numId w:val="1015"/>
        </w:numPr>
      </w:pPr>
      <w:r>
        <w:t xml:space="preserve">Compound Stress and Failure Thresholds</w:t>
      </w:r>
      <w:r>
        <w:br/>
      </w:r>
      <w:r>
        <w:t xml:space="preserve">Evaluates system behavior under combined stressors, including</w:t>
      </w:r>
      <w:r>
        <w:t xml:space="preserve"> </w:t>
      </w:r>
      <w:r>
        <w:t xml:space="preserve">bearish macro regimes, adverse provider economics, and competitive</w:t>
      </w:r>
      <w:r>
        <w:t xml:space="preserve"> </w:t>
      </w:r>
      <w:r>
        <w:t xml:space="preserve">yield pressure. These scenarios are used to identify tipping points</w:t>
      </w:r>
      <w:r>
        <w:t xml:space="preserve"> </w:t>
      </w:r>
      <w:r>
        <w:t xml:space="preserve">where incentive mechanisms cease to function as intended.</w:t>
      </w:r>
    </w:p>
    <w:p>
      <w:pPr>
        <w:pStyle w:val="FirstParagraph"/>
      </w:pPr>
      <w:r>
        <w:t xml:space="preserve">For each block, results are presented using a consistent set of metrics</w:t>
      </w:r>
      <w:r>
        <w:t xml:space="preserve"> </w:t>
      </w:r>
      <w:r>
        <w:t xml:space="preserve">defined in Section 5.3. Where stochastic variation is present, outcomes</w:t>
      </w:r>
      <w:r>
        <w:t xml:space="preserve"> </w:t>
      </w:r>
      <w:r>
        <w:t xml:space="preserve">are summarized using distributional statistics (median, interquartile</w:t>
      </w:r>
      <w:r>
        <w:t xml:space="preserve"> </w:t>
      </w:r>
      <w:r>
        <w:t xml:space="preserve">range, and tail behavior) across multiple simulation runs. Individual</w:t>
      </w:r>
      <w:r>
        <w:t xml:space="preserve"> </w:t>
      </w:r>
      <w:r>
        <w:t xml:space="preserve">time series are shown only where they illustrate structurally meaningful</w:t>
      </w:r>
      <w:r>
        <w:t xml:space="preserve"> </w:t>
      </w:r>
      <w:r>
        <w:t xml:space="preserve">patterns.</w:t>
      </w:r>
    </w:p>
    <w:p>
      <w:pPr>
        <w:pStyle w:val="BodyText"/>
      </w:pPr>
      <w:r>
        <w:t xml:space="preserve">All figures follow the same conventions:</w:t>
      </w:r>
    </w:p>
    <w:p>
      <w:pPr>
        <w:numPr>
          <w:ilvl w:val="0"/>
          <w:numId w:val="1016"/>
        </w:numPr>
      </w:pPr>
      <w:r>
        <w:t xml:space="preserve">identical time horizons,</w:t>
      </w:r>
    </w:p>
    <w:p>
      <w:pPr>
        <w:numPr>
          <w:ilvl w:val="0"/>
          <w:numId w:val="1016"/>
        </w:numPr>
      </w:pPr>
      <w:r>
        <w:t xml:space="preserve">shared axes where comparison is intended,</w:t>
      </w:r>
    </w:p>
    <w:p>
      <w:pPr>
        <w:numPr>
          <w:ilvl w:val="0"/>
          <w:numId w:val="1016"/>
        </w:numPr>
      </w:pPr>
      <w:r>
        <w:t xml:space="preserve">and standardized scenario labels.</w:t>
      </w:r>
    </w:p>
    <w:p>
      <w:pPr>
        <w:pStyle w:val="FirstParagraph"/>
      </w:pPr>
      <w:r>
        <w:t xml:space="preserve">Unless explicitly stated otherwise, all simulations use identical demand</w:t>
      </w:r>
      <w:r>
        <w:t xml:space="preserve"> </w:t>
      </w:r>
      <w:r>
        <w:t xml:space="preserve">processes, macro regimes, and random seeds across protocol profiles to</w:t>
      </w:r>
      <w:r>
        <w:t xml:space="preserve"> </w:t>
      </w:r>
      <w:r>
        <w:t xml:space="preserve">ensure comparability.</w:t>
      </w:r>
    </w:p>
    <w:p>
      <w:pPr>
        <w:pStyle w:val="BodyText"/>
      </w:pPr>
      <w:r>
        <w:t xml:space="preserve">It is important to emphasize that no result in this chapter</w:t>
      </w:r>
      <w:r>
        <w:t xml:space="preserve"> </w:t>
      </w:r>
      <w:r>
        <w:t xml:space="preserve">should be read as a performance claim about any real-world network.</w:t>
      </w:r>
      <w:r>
        <w:t xml:space="preserve"> </w:t>
      </w:r>
      <w:r>
        <w:t xml:space="preserve">Observed behaviors reflect the interaction between modeled mechanisms</w:t>
      </w:r>
      <w:r>
        <w:t xml:space="preserve"> </w:t>
      </w:r>
      <w:r>
        <w:t xml:space="preserve">and imposed stress conditions under the assumptions documented in</w:t>
      </w:r>
      <w:r>
        <w:t xml:space="preserve"> </w:t>
      </w:r>
      <w:r>
        <w:t xml:space="preserve">Chapter 5. The value of these results lies in their comparative</w:t>
      </w:r>
      <w:r>
        <w:t xml:space="preserve"> </w:t>
      </w:r>
      <w:r>
        <w:t xml:space="preserve">consistency and in the patterns they reveal across scenarios, not in</w:t>
      </w:r>
      <w:r>
        <w:t xml:space="preserve"> </w:t>
      </w:r>
      <w:r>
        <w:t xml:space="preserve">their absolute magnitudes.</w:t>
      </w:r>
    </w:p>
    <w:bookmarkStart w:id="65" w:name="experimental-setup"/>
    <w:p>
      <w:pPr>
        <w:pStyle w:val="Heading3"/>
      </w:pPr>
      <w:r>
        <w:t xml:space="preserve">Experimental Setup</w:t>
      </w:r>
    </w:p>
    <w:p>
      <w:pPr>
        <w:pStyle w:val="FirstParagraph"/>
      </w:pPr>
      <w:r>
        <w:t xml:space="preserve">Baseline simulations are conducted over a fixed horizon of 52 weeks</w:t>
      </w:r>
      <w:r>
        <w:t xml:space="preserve"> </w:t>
      </w:r>
      <w:r>
        <w:t xml:space="preserve">using a weekly timestep. For each protocol profile, 100 Monte Carlo</w:t>
      </w:r>
      <w:r>
        <w:t xml:space="preserve"> </w:t>
      </w:r>
      <w:r>
        <w:t xml:space="preserve">simulations are executed with a deterministic master seed strategy to</w:t>
      </w:r>
      <w:r>
        <w:t xml:space="preserve"> </w:t>
      </w:r>
      <w:r>
        <w:t xml:space="preserve">ensure reproducibility. All simulations use the agent-based execution</w:t>
      </w:r>
      <w:r>
        <w:t xml:space="preserve"> </w:t>
      </w:r>
      <w:r>
        <w:t xml:space="preserve">model with identical neutrality constraints applied across profiles.</w:t>
      </w:r>
    </w:p>
    <w:p>
      <w:pPr>
        <w:pStyle w:val="BodyText"/>
      </w:pPr>
      <w:r>
        <w:t xml:space="preserve">Key baseline conditions include a consistent demand regime with zero</w:t>
      </w:r>
      <w:r>
        <w:t xml:space="preserve"> </w:t>
      </w:r>
      <w:r>
        <w:t xml:space="preserve">demand volatility, a sideways macroeconomic regime, and the explicit</w:t>
      </w:r>
      <w:r>
        <w:t xml:space="preserve"> </w:t>
      </w:r>
      <w:r>
        <w:t xml:space="preserve">disabling of scenario logic, investor unlocks, competitor yield effects,</w:t>
      </w:r>
      <w:r>
        <w:t xml:space="preserve"> </w:t>
      </w:r>
      <w:r>
        <w:t xml:space="preserve">and growth shocks. These constraints ensure that observed dynamics arise</w:t>
      </w:r>
      <w:r>
        <w:t xml:space="preserve"> </w:t>
      </w:r>
      <w:r>
        <w:t xml:space="preserve">solely from the interaction between protocol-specific tokenomic</w:t>
      </w:r>
      <w:r>
        <w:t xml:space="preserve"> </w:t>
      </w:r>
      <w:r>
        <w:t xml:space="preserve">mechanisms and provider-level economics, rather than from exogenous</w:t>
      </w:r>
      <w:r>
        <w:t xml:space="preserve"> </w:t>
      </w:r>
      <w:r>
        <w:t xml:space="preserve">stress factors.</w:t>
      </w:r>
    </w:p>
    <w:p>
      <w:pPr>
        <w:pStyle w:val="BodyText"/>
      </w:pPr>
      <w:r>
        <w:t xml:space="preserve">The baseline profiles evaluated in this section include Onocoy (ONO) and</w:t>
      </w:r>
      <w:r>
        <w:t xml:space="preserve"> </w:t>
      </w:r>
      <w:r>
        <w:t xml:space="preserve">a set of comparator DePIN protocols representing a range of</w:t>
      </w:r>
      <w:r>
        <w:t xml:space="preserve"> </w:t>
      </w:r>
      <w:r>
        <w:t xml:space="preserve">infrastructure types and incentive designs: Helium, Render, Filecoin,</w:t>
      </w:r>
      <w:r>
        <w:t xml:space="preserve"> </w:t>
      </w:r>
      <w:r>
        <w:t xml:space="preserve">Akash, Hivemapper, DIMO, Grass, io.net, Nosana, and Geodnet.</w:t>
      </w:r>
    </w:p>
    <w:bookmarkEnd w:id="65"/>
    <w:bookmarkStart w:id="66" w:name="baseline-trajectories"/>
    <w:p>
      <w:pPr>
        <w:pStyle w:val="Heading3"/>
      </w:pPr>
      <w:r>
        <w:t xml:space="preserve">Baseline Trajectories</w:t>
      </w:r>
    </w:p>
    <w:p>
      <w:pPr>
        <w:pStyle w:val="FirstParagraph"/>
      </w:pPr>
      <w:r>
        <w:t xml:space="preserve">Across all profiles, baseline simulations generate stable and smooth</w:t>
      </w:r>
      <w:r>
        <w:t xml:space="preserve"> </w:t>
      </w:r>
      <w:r>
        <w:t xml:space="preserve">trajectories for core state variables such as token supply, emissions,</w:t>
      </w:r>
      <w:r>
        <w:t xml:space="preserve"> </w:t>
      </w:r>
      <w:r>
        <w:t xml:space="preserve">burns, provider count, aggregate capacity, and utilization. In the</w:t>
      </w:r>
      <w:r>
        <w:t xml:space="preserve"> </w:t>
      </w:r>
      <w:r>
        <w:t xml:space="preserve">absence of shocks or volatility, these trajectories reflect the</w:t>
      </w:r>
      <w:r>
        <w:t xml:space="preserve"> </w:t>
      </w:r>
      <w:r>
        <w:t xml:space="preserve">steady-state behavior implied by each protocol’s emission logic, reward</w:t>
      </w:r>
      <w:r>
        <w:t xml:space="preserve"> </w:t>
      </w:r>
      <w:r>
        <w:t xml:space="preserve">allocation rules, and provider cost structure.</w:t>
      </w:r>
    </w:p>
    <w:p>
      <w:pPr>
        <w:pStyle w:val="BodyText"/>
      </w:pPr>
      <w:r>
        <w:t xml:space="preserve">Token price series under baseline conditions exhibit limited dispersion</w:t>
      </w:r>
      <w:r>
        <w:t xml:space="preserve"> </w:t>
      </w:r>
      <w:r>
        <w:t xml:space="preserve">in early periods for some profiles, with the interquartile range</w:t>
      </w:r>
      <w:r>
        <w:t xml:space="preserve"> </w:t>
      </w:r>
      <w:r>
        <w:t xml:space="preserve">collapsing to a single value at certain timesteps. This behavior is a</w:t>
      </w:r>
      <w:r>
        <w:t xml:space="preserve"> </w:t>
      </w:r>
      <w:r>
        <w:t xml:space="preserve">direct consequence of strict neutrality assumptions, including zero</w:t>
      </w:r>
      <w:r>
        <w:t xml:space="preserve"> </w:t>
      </w:r>
      <w:r>
        <w:t xml:space="preserve">demand noise and the absence of stochastic macro or liquidity effects.</w:t>
      </w:r>
      <w:r>
        <w:t xml:space="preserve"> </w:t>
      </w:r>
      <w:r>
        <w:t xml:space="preserve">Under these conditions, price evolution becomes highly constrained by</w:t>
      </w:r>
      <w:r>
        <w:t xml:space="preserve"> </w:t>
      </w:r>
      <w:r>
        <w:t xml:space="preserve">deterministic components of the model.</w:t>
      </w:r>
    </w:p>
    <w:p>
      <w:pPr>
        <w:pStyle w:val="BodyText"/>
      </w:pPr>
      <w:r>
        <w:t xml:space="preserve">By contrast, provider-level economic metrics such as average provider</w:t>
      </w:r>
      <w:r>
        <w:t xml:space="preserve"> </w:t>
      </w:r>
      <w:r>
        <w:t xml:space="preserve">profit display visible dispersion across simulations, even under neutral</w:t>
      </w:r>
      <w:r>
        <w:t xml:space="preserve"> </w:t>
      </w:r>
      <w:r>
        <w:t xml:space="preserve">conditions. For example, the interquartile range of average provider</w:t>
      </w:r>
      <w:r>
        <w:t xml:space="preserve"> </w:t>
      </w:r>
      <w:r>
        <w:t xml:space="preserve">profit for the ONO profile diverges meaningfully from the median within</w:t>
      </w:r>
      <w:r>
        <w:t xml:space="preserve"> </w:t>
      </w:r>
      <w:r>
        <w:t xml:space="preserve">the first few weeks, reflecting heterogeneity in provider costs,</w:t>
      </w:r>
      <w:r>
        <w:t xml:space="preserve"> </w:t>
      </w:r>
      <w:r>
        <w:t xml:space="preserve">capacity, and churn dynamics. This confirms that the Monte Carlo</w:t>
      </w:r>
      <w:r>
        <w:t xml:space="preserve"> </w:t>
      </w:r>
      <w:r>
        <w:t xml:space="preserve">structure is functioning as intended and that stochastic variation</w:t>
      </w:r>
      <w:r>
        <w:t xml:space="preserve"> </w:t>
      </w:r>
      <w:r>
        <w:t xml:space="preserve">persists at the agent level even when aggregate demand and macro inputs</w:t>
      </w:r>
      <w:r>
        <w:t xml:space="preserve"> </w:t>
      </w:r>
      <w:r>
        <w:t xml:space="preserve">are fixed.</w:t>
      </w:r>
    </w:p>
    <w:bookmarkEnd w:id="66"/>
    <w:bookmarkStart w:id="67" w:name="provider-economics-and-retention"/>
    <w:p>
      <w:pPr>
        <w:pStyle w:val="Heading3"/>
      </w:pPr>
      <w:r>
        <w:t xml:space="preserve">Provider Economics and</w:t>
      </w:r>
      <w:r>
        <w:t xml:space="preserve"> </w:t>
      </w:r>
      <w:r>
        <w:t xml:space="preserve">Retention</w:t>
      </w:r>
    </w:p>
    <w:p>
      <w:pPr>
        <w:pStyle w:val="FirstParagraph"/>
      </w:pPr>
      <w:r>
        <w:t xml:space="preserve">Baseline retention metrics indicate that provider populations remain</w:t>
      </w:r>
      <w:r>
        <w:t xml:space="preserve"> </w:t>
      </w:r>
      <w:r>
        <w:t xml:space="preserve">largely stable over the 52-week horizon for profiles that begin with a</w:t>
      </w:r>
      <w:r>
        <w:t xml:space="preserve"> </w:t>
      </w:r>
      <w:r>
        <w:t xml:space="preserve">non-zero provider count. Where a profile’s initial provider count is</w:t>
      </w:r>
      <w:r>
        <w:t xml:space="preserve"> </w:t>
      </w:r>
      <w:r>
        <w:t xml:space="preserve">zero, retention metrics are reported as undefined rather than imputed,</w:t>
      </w:r>
      <w:r>
        <w:t xml:space="preserve"> </w:t>
      </w:r>
      <w:r>
        <w:t xml:space="preserve">in order to avoid misleading normalization.</w:t>
      </w:r>
    </w:p>
    <w:p>
      <w:pPr>
        <w:pStyle w:val="BodyText"/>
      </w:pPr>
      <w:r>
        <w:t xml:space="preserve">Retention is reported in two complementary forms: absolute retention,</w:t>
      </w:r>
      <w:r>
        <w:t xml:space="preserve"> </w:t>
      </w:r>
      <w:r>
        <w:t xml:space="preserve">defined as the ratio of active providers relative to the initial</w:t>
      </w:r>
      <w:r>
        <w:t xml:space="preserve"> </w:t>
      </w:r>
      <w:r>
        <w:t xml:space="preserve">provider count, and week-to-week retention rate derived from observed</w:t>
      </w:r>
      <w:r>
        <w:t xml:space="preserve"> </w:t>
      </w:r>
      <w:r>
        <w:t xml:space="preserve">churn events. Under baseline conditions, churn events are driven solely</w:t>
      </w:r>
      <w:r>
        <w:t xml:space="preserve"> </w:t>
      </w:r>
      <w:r>
        <w:t xml:space="preserve">by provider-level profitability thresholds and cost structures, without</w:t>
      </w:r>
      <w:r>
        <w:t xml:space="preserve"> </w:t>
      </w:r>
      <w:r>
        <w:t xml:space="preserve">amplification from price shocks or demand collapses.</w:t>
      </w:r>
    </w:p>
    <w:p>
      <w:pPr>
        <w:pStyle w:val="BodyText"/>
      </w:pPr>
      <w:r>
        <w:t xml:space="preserve">These baseline retention trajectories serve as a reference point for</w:t>
      </w:r>
      <w:r>
        <w:t xml:space="preserve"> </w:t>
      </w:r>
      <w:r>
        <w:t xml:space="preserve">later stress scenarios, where deviations from baseline behavior can be</w:t>
      </w:r>
      <w:r>
        <w:t xml:space="preserve"> </w:t>
      </w:r>
      <w:r>
        <w:t xml:space="preserve">attributed to specific adverse conditions rather than to underlying</w:t>
      </w:r>
      <w:r>
        <w:t xml:space="preserve"> </w:t>
      </w:r>
      <w:r>
        <w:t xml:space="preserve">model instability.</w:t>
      </w:r>
    </w:p>
    <w:bookmarkEnd w:id="67"/>
    <w:bookmarkStart w:id="68" w:name="X4b4385614b4a51f04789e00eed3772601fef439"/>
    <w:p>
      <w:pPr>
        <w:pStyle w:val="Heading3"/>
      </w:pPr>
      <w:r>
        <w:t xml:space="preserve">Interpretation Boundaries of Baseline</w:t>
      </w:r>
      <w:r>
        <w:t xml:space="preserve"> </w:t>
      </w:r>
      <w:r>
        <w:t xml:space="preserve">Results</w:t>
      </w:r>
    </w:p>
    <w:p>
      <w:pPr>
        <w:pStyle w:val="FirstParagraph"/>
      </w:pPr>
      <w:r>
        <w:t xml:space="preserve">It is important to emphasize that baseline results are descriptive</w:t>
      </w:r>
      <w:r>
        <w:t xml:space="preserve"> </w:t>
      </w:r>
      <w:r>
        <w:t xml:space="preserve">rather than evaluative. Observed trends in price, profitability, or</w:t>
      </w:r>
      <w:r>
        <w:t xml:space="preserve"> </w:t>
      </w:r>
      <w:r>
        <w:t xml:space="preserve">provider dynamics under neutral conditions should not be interpreted as</w:t>
      </w:r>
      <w:r>
        <w:t xml:space="preserve"> </w:t>
      </w:r>
      <w:r>
        <w:t xml:space="preserve">indicators of real-world performance or sustainability. Instead, they</w:t>
      </w:r>
      <w:r>
        <w:t xml:space="preserve"> </w:t>
      </w:r>
      <w:r>
        <w:t xml:space="preserve">establish a controlled reference environment in which the internal</w:t>
      </w:r>
      <w:r>
        <w:t xml:space="preserve"> </w:t>
      </w:r>
      <w:r>
        <w:t xml:space="preserve">mechanics of each tokenomic system operate without external stress.</w:t>
      </w:r>
    </w:p>
    <w:p>
      <w:pPr>
        <w:pStyle w:val="BodyText"/>
      </w:pPr>
      <w:r>
        <w:t xml:space="preserve">The baseline therefore functions as a calibration layer for subsequent</w:t>
      </w:r>
      <w:r>
        <w:t xml:space="preserve"> </w:t>
      </w:r>
      <w:r>
        <w:t xml:space="preserve">analysis. In later sections, stressed scenarios are evaluated relative</w:t>
      </w:r>
      <w:r>
        <w:t xml:space="preserve"> </w:t>
      </w:r>
      <w:r>
        <w:t xml:space="preserve">to these baseline trajectories, allowing deviations in retention,</w:t>
      </w:r>
      <w:r>
        <w:t xml:space="preserve"> </w:t>
      </w:r>
      <w:r>
        <w:t xml:space="preserve">incentive solvency, and service continuity to be attributed to specific</w:t>
      </w:r>
      <w:r>
        <w:t xml:space="preserve"> </w:t>
      </w:r>
      <w:r>
        <w:t xml:space="preserve">stress mechanisms rather than to baseline model behavior.</w:t>
      </w:r>
    </w:p>
    <w:bookmarkEnd w:id="68"/>
    <w:bookmarkEnd w:id="69"/>
    <w:bookmarkStart w:id="76" w:name="Xcb5bf261db56d5846f5ebfcc731aa456933c29e"/>
    <w:p>
      <w:pPr>
        <w:pStyle w:val="Heading2"/>
      </w:pPr>
      <w:r>
        <w:t xml:space="preserve">Stress Scenarios: Definition and</w:t>
      </w:r>
      <w:r>
        <w:t xml:space="preserve"> </w:t>
      </w:r>
      <w:r>
        <w:t xml:space="preserve">Execution</w:t>
      </w:r>
    </w:p>
    <w:p>
      <w:pPr>
        <w:pStyle w:val="FirstParagraph"/>
      </w:pPr>
      <w:r>
        <w:t xml:space="preserve">This section defines the adverse conditions under which DePIN tokenomic</w:t>
      </w:r>
      <w:r>
        <w:t xml:space="preserve"> </w:t>
      </w:r>
      <w:r>
        <w:t xml:space="preserve">mechanisms are evaluated in subsequent analyses. Each stress scenario is</w:t>
      </w:r>
      <w:r>
        <w:t xml:space="preserve"> </w:t>
      </w:r>
      <w:r>
        <w:t xml:space="preserve">designed to isolate a specific class of risk commonly encountered by</w:t>
      </w:r>
      <w:r>
        <w:t xml:space="preserve"> </w:t>
      </w:r>
      <w:r>
        <w:t xml:space="preserve">real-world DePIN deployments. Scenarios are implemented in a controlled</w:t>
      </w:r>
      <w:r>
        <w:t xml:space="preserve"> </w:t>
      </w:r>
      <w:r>
        <w:t xml:space="preserve">and standardized manner to ensure comparability across protocol profiles</w:t>
      </w:r>
      <w:r>
        <w:t xml:space="preserve"> </w:t>
      </w:r>
      <w:r>
        <w:t xml:space="preserve">and to enable attribution of observed effects to specific stress</w:t>
      </w:r>
      <w:r>
        <w:t xml:space="preserve"> </w:t>
      </w:r>
      <w:r>
        <w:t xml:space="preserve">mechanisms rather than to baseline dynamics.</w:t>
      </w:r>
    </w:p>
    <w:p>
      <w:pPr>
        <w:pStyle w:val="BodyText"/>
      </w:pPr>
      <w:r>
        <w:t xml:space="preserve">All stress scenarios build directly on the neutral baseline</w:t>
      </w:r>
      <w:r>
        <w:t xml:space="preserve"> </w:t>
      </w:r>
      <w:r>
        <w:t xml:space="preserve">configuration described in Section 6.2. Unless explicitly stated</w:t>
      </w:r>
      <w:r>
        <w:t xml:space="preserve"> </w:t>
      </w:r>
      <w:r>
        <w:t xml:space="preserve">otherwise, only one scenario-specific stress mechanism is activated at a</w:t>
      </w:r>
      <w:r>
        <w:t xml:space="preserve"> </w:t>
      </w:r>
      <w:r>
        <w:t xml:space="preserve">time. All other parameters remain identical to the baseline</w:t>
      </w:r>
      <w:r>
        <w:t xml:space="preserve"> </w:t>
      </w:r>
      <w:r>
        <w:t xml:space="preserve">configuration.</w:t>
      </w:r>
    </w:p>
    <w:bookmarkStart w:id="70" w:name="X2c35a4dca17cb3a82ddd75d8235a8da55876fa7"/>
    <w:p>
      <w:pPr>
        <w:pStyle w:val="Heading3"/>
      </w:pPr>
      <w:r>
        <w:t xml:space="preserve">Rationale for</w:t>
      </w:r>
      <w:r>
        <w:t xml:space="preserve"> </w:t>
      </w:r>
      <w:r>
        <w:t xml:space="preserve">Scenario-Based Stress</w:t>
      </w:r>
      <w:r>
        <w:t xml:space="preserve"> </w:t>
      </w:r>
      <w:r>
        <w:t xml:space="preserve">Testing</w:t>
      </w:r>
    </w:p>
    <w:p>
      <w:pPr>
        <w:pStyle w:val="FirstParagraph"/>
      </w:pPr>
      <w:r>
        <w:t xml:space="preserve">DePIN networks operate at the intersection of physical infrastructure,</w:t>
      </w:r>
      <w:r>
        <w:t xml:space="preserve"> </w:t>
      </w:r>
      <w:r>
        <w:t xml:space="preserve">economic incentives, and market volatility. As a result, system failure</w:t>
      </w:r>
      <w:r>
        <w:t xml:space="preserve"> </w:t>
      </w:r>
      <w:r>
        <w:t xml:space="preserve">is rarely caused by a single factor in isolation. However, evaluating</w:t>
      </w:r>
      <w:r>
        <w:t xml:space="preserve"> </w:t>
      </w:r>
      <w:r>
        <w:t xml:space="preserve">compound shocks without first understanding individual stress responses</w:t>
      </w:r>
      <w:r>
        <w:t xml:space="preserve"> </w:t>
      </w:r>
      <w:r>
        <w:t xml:space="preserve">risks obscuring causal pathways.</w:t>
      </w:r>
    </w:p>
    <w:p>
      <w:pPr>
        <w:pStyle w:val="BodyText"/>
      </w:pPr>
      <w:r>
        <w:t xml:space="preserve">Scenario-based stress testing is therefore employed to examine</w:t>
      </w:r>
      <w:r>
        <w:t xml:space="preserve"> </w:t>
      </w:r>
      <w:r>
        <w:t xml:space="preserve">directional robustness under clearly defined adverse conditions. This</w:t>
      </w:r>
      <w:r>
        <w:t xml:space="preserve"> </w:t>
      </w:r>
      <w:r>
        <w:t xml:space="preserve">approach aligns with established practices in simulation-based</w:t>
      </w:r>
      <w:r>
        <w:t xml:space="preserve"> </w:t>
      </w:r>
      <w:r>
        <w:t xml:space="preserve">evaluation of complex systems, where standardized shocks are used to</w:t>
      </w:r>
      <w:r>
        <w:t xml:space="preserve"> </w:t>
      </w:r>
      <w:r>
        <w:t xml:space="preserve">test mechanism sensitivity and failure modes before compound</w:t>
      </w:r>
      <w:r>
        <w:t xml:space="preserve"> </w:t>
      </w:r>
      <w:r>
        <w:t xml:space="preserve">interactions are introduced.</w:t>
      </w:r>
    </w:p>
    <w:p>
      <w:pPr>
        <w:pStyle w:val="BodyText"/>
      </w:pPr>
      <w:r>
        <w:t xml:space="preserve">The scenarios defined below reflect empirically observed risks in DePIN</w:t>
      </w:r>
      <w:r>
        <w:t xml:space="preserve"> </w:t>
      </w:r>
      <w:r>
        <w:t xml:space="preserve">and adjacent crypto-economic systems, including demand contraction,</w:t>
      </w:r>
      <w:r>
        <w:t xml:space="preserve"> </w:t>
      </w:r>
      <w:r>
        <w:t xml:space="preserve">liquidity shocks, competitive pressure, and provider-side economic</w:t>
      </w:r>
      <w:r>
        <w:t xml:space="preserve"> </w:t>
      </w:r>
      <w:r>
        <w:t xml:space="preserve">stress.</w:t>
      </w:r>
    </w:p>
    <w:bookmarkEnd w:id="70"/>
    <w:bookmarkStart w:id="71" w:name="scenario-s1-demand-contraction"/>
    <w:p>
      <w:pPr>
        <w:pStyle w:val="Heading3"/>
      </w:pPr>
      <w:r>
        <w:t xml:space="preserve">Scenario S1: Demand</w:t>
      </w:r>
      <w:r>
        <w:t xml:space="preserve"> </w:t>
      </w:r>
      <w:r>
        <w:t xml:space="preserve">Contraction</w:t>
      </w:r>
    </w:p>
    <w:p>
      <w:pPr>
        <w:pStyle w:val="FirstParagraph"/>
      </w:pPr>
      <w:r>
        <w:t xml:space="preserve">The demand contraction scenario models a sustained reduction in service</w:t>
      </w:r>
      <w:r>
        <w:t xml:space="preserve"> </w:t>
      </w:r>
      <w:r>
        <w:t xml:space="preserve">demand relative to baseline conditions. This scenario reflects</w:t>
      </w:r>
      <w:r>
        <w:t xml:space="preserve"> </w:t>
      </w:r>
      <w:r>
        <w:t xml:space="preserve">situations such as market downturns, loss of enterprise clients,</w:t>
      </w:r>
      <w:r>
        <w:t xml:space="preserve"> </w:t>
      </w:r>
      <w:r>
        <w:t xml:space="preserve">regulatory friction, or delayed adoption of the underlying service.</w:t>
      </w:r>
    </w:p>
    <w:p>
      <w:pPr>
        <w:pStyle w:val="BodyText"/>
      </w:pPr>
      <w:r>
        <w:t xml:space="preserve">Implementation:</w:t>
      </w:r>
    </w:p>
    <w:p>
      <w:pPr>
        <w:numPr>
          <w:ilvl w:val="0"/>
          <w:numId w:val="1017"/>
        </w:numPr>
      </w:pPr>
      <w:r>
        <w:t xml:space="preserve">Demand regime is modified from consistent baseline demand to a</w:t>
      </w:r>
      <w:r>
        <w:t xml:space="preserve"> </w:t>
      </w:r>
      <w:r>
        <w:t xml:space="preserve">declining or suppressed demand trajectory.</w:t>
      </w:r>
    </w:p>
    <w:p>
      <w:pPr>
        <w:numPr>
          <w:ilvl w:val="0"/>
          <w:numId w:val="1017"/>
        </w:numPr>
      </w:pPr>
      <w:r>
        <w:t xml:space="preserve">No changes are made to emission schedules, provider costs, or</w:t>
      </w:r>
      <w:r>
        <w:t xml:space="preserve"> </w:t>
      </w:r>
      <w:r>
        <w:t xml:space="preserve">liquidity conditions.</w:t>
      </w:r>
    </w:p>
    <w:p>
      <w:pPr>
        <w:numPr>
          <w:ilvl w:val="0"/>
          <w:numId w:val="1017"/>
        </w:numPr>
      </w:pPr>
      <w:r>
        <w:t xml:space="preserve">Demand volatility may remain low to isolate level effects rather than</w:t>
      </w:r>
      <w:r>
        <w:t xml:space="preserve"> </w:t>
      </w:r>
      <w:r>
        <w:t xml:space="preserve">noise-induced effects.</w:t>
      </w:r>
    </w:p>
    <w:p>
      <w:pPr>
        <w:pStyle w:val="FirstParagraph"/>
      </w:pPr>
      <w:r>
        <w:t xml:space="preserve">Analytical focus:</w:t>
      </w:r>
    </w:p>
    <w:p>
      <w:pPr>
        <w:numPr>
          <w:ilvl w:val="0"/>
          <w:numId w:val="1018"/>
        </w:numPr>
      </w:pPr>
      <w:r>
        <w:t xml:space="preserve">Burn-to-emission dynamics under reduced utilization.</w:t>
      </w:r>
    </w:p>
    <w:p>
      <w:pPr>
        <w:numPr>
          <w:ilvl w:val="0"/>
          <w:numId w:val="1018"/>
        </w:numPr>
      </w:pPr>
      <w:r>
        <w:t xml:space="preserve">Provider profitability as a function of fixed operating costs.</w:t>
      </w:r>
    </w:p>
    <w:p>
      <w:pPr>
        <w:numPr>
          <w:ilvl w:val="0"/>
          <w:numId w:val="1018"/>
        </w:numPr>
      </w:pPr>
      <w:r>
        <w:t xml:space="preserve">Early signals of incentive insolvency without price shocks.</w:t>
      </w:r>
    </w:p>
    <w:bookmarkEnd w:id="71"/>
    <w:bookmarkStart w:id="72" w:name="scenario-s2-liquidity-shock"/>
    <w:p>
      <w:pPr>
        <w:pStyle w:val="Heading3"/>
      </w:pPr>
      <w:r>
        <w:t xml:space="preserve">Scenario S2: Liquidity</w:t>
      </w:r>
      <w:r>
        <w:t xml:space="preserve"> </w:t>
      </w:r>
      <w:r>
        <w:t xml:space="preserve">Shock</w:t>
      </w:r>
    </w:p>
    <w:p>
      <w:pPr>
        <w:pStyle w:val="FirstParagraph"/>
      </w:pPr>
      <w:r>
        <w:t xml:space="preserve">The liquidity shock scenario simulates a sudden increase in sell</w:t>
      </w:r>
      <w:r>
        <w:t xml:space="preserve"> </w:t>
      </w:r>
      <w:r>
        <w:t xml:space="preserve">pressure resulting from token unlocks or large holder exits. This</w:t>
      </w:r>
      <w:r>
        <w:t xml:space="preserve"> </w:t>
      </w:r>
      <w:r>
        <w:t xml:space="preserve">scenario reflects common events in crypto markets such as investor</w:t>
      </w:r>
      <w:r>
        <w:t xml:space="preserve"> </w:t>
      </w:r>
      <w:r>
        <w:t xml:space="preserve">vesting cliffs or coordinated exits during market stress.</w:t>
      </w:r>
    </w:p>
    <w:p>
      <w:pPr>
        <w:pStyle w:val="BodyText"/>
      </w:pPr>
      <w:r>
        <w:t xml:space="preserve">Implementation:</w:t>
      </w:r>
    </w:p>
    <w:p>
      <w:pPr>
        <w:numPr>
          <w:ilvl w:val="0"/>
          <w:numId w:val="1019"/>
        </w:numPr>
      </w:pPr>
      <w:r>
        <w:t xml:space="preserve">A discrete investor unlock event is introduced at a predefined</w:t>
      </w:r>
      <w:r>
        <w:t xml:space="preserve"> </w:t>
      </w:r>
      <w:r>
        <w:t xml:space="preserve">simulation week.</w:t>
      </w:r>
    </w:p>
    <w:p>
      <w:pPr>
        <w:numPr>
          <w:ilvl w:val="0"/>
          <w:numId w:val="1019"/>
        </w:numPr>
      </w:pPr>
      <w:r>
        <w:t xml:space="preserve">A fixed percentage of circulating supply is sold into available</w:t>
      </w:r>
      <w:r>
        <w:t xml:space="preserve"> </w:t>
      </w:r>
      <w:r>
        <w:t xml:space="preserve">liquidity.</w:t>
      </w:r>
    </w:p>
    <w:p>
      <w:pPr>
        <w:numPr>
          <w:ilvl w:val="0"/>
          <w:numId w:val="1019"/>
        </w:numPr>
      </w:pPr>
      <w:r>
        <w:t xml:space="preserve">All other parameters remain identical to baseline conditions.</w:t>
      </w:r>
    </w:p>
    <w:p>
      <w:pPr>
        <w:pStyle w:val="FirstParagraph"/>
      </w:pPr>
      <w:r>
        <w:t xml:space="preserve">Analytical focus:</w:t>
      </w:r>
    </w:p>
    <w:p>
      <w:pPr>
        <w:numPr>
          <w:ilvl w:val="0"/>
          <w:numId w:val="1020"/>
        </w:numPr>
      </w:pPr>
      <w:r>
        <w:t xml:space="preserve">Price sensitivity to sell pressure.</w:t>
      </w:r>
    </w:p>
    <w:p>
      <w:pPr>
        <w:numPr>
          <w:ilvl w:val="0"/>
          <w:numId w:val="1020"/>
        </w:numPr>
      </w:pPr>
      <w:r>
        <w:t xml:space="preserve">Secondary effects on provider revenue denominated in token value.</w:t>
      </w:r>
    </w:p>
    <w:p>
      <w:pPr>
        <w:numPr>
          <w:ilvl w:val="0"/>
          <w:numId w:val="1020"/>
        </w:numPr>
      </w:pPr>
      <w:r>
        <w:t xml:space="preserve">Churn amplification driven by price-mediated profitability thresholds.</w:t>
      </w:r>
    </w:p>
    <w:bookmarkEnd w:id="72"/>
    <w:bookmarkStart w:id="73" w:name="scenario-s3-competitive-yield-pressure"/>
    <w:p>
      <w:pPr>
        <w:pStyle w:val="Heading3"/>
      </w:pPr>
      <w:r>
        <w:t xml:space="preserve">Scenario S3: Competitive</w:t>
      </w:r>
      <w:r>
        <w:t xml:space="preserve"> </w:t>
      </w:r>
      <w:r>
        <w:t xml:space="preserve">Yield</w:t>
      </w:r>
      <w:r>
        <w:t xml:space="preserve"> </w:t>
      </w:r>
      <w:r>
        <w:t xml:space="preserve">Pressure</w:t>
      </w:r>
    </w:p>
    <w:p>
      <w:pPr>
        <w:pStyle w:val="FirstParagraph"/>
      </w:pPr>
      <w:r>
        <w:t xml:space="preserve">This scenario introduces external competition for infrastructure</w:t>
      </w:r>
      <w:r>
        <w:t xml:space="preserve"> </w:t>
      </w:r>
      <w:r>
        <w:t xml:space="preserve">providers by simulating an alternative yield opportunity. It reflects</w:t>
      </w:r>
      <w:r>
        <w:t xml:space="preserve"> </w:t>
      </w:r>
      <w:r>
        <w:t xml:space="preserve">situations where providers can redeploy capital or hardware to competing</w:t>
      </w:r>
      <w:r>
        <w:t xml:space="preserve"> </w:t>
      </w:r>
      <w:r>
        <w:t xml:space="preserve">networks offering higher short-term returns.</w:t>
      </w:r>
    </w:p>
    <w:p>
      <w:pPr>
        <w:pStyle w:val="BodyText"/>
      </w:pPr>
      <w:r>
        <w:t xml:space="preserve">Implementation:</w:t>
      </w:r>
    </w:p>
    <w:p>
      <w:pPr>
        <w:numPr>
          <w:ilvl w:val="0"/>
          <w:numId w:val="1021"/>
        </w:numPr>
      </w:pPr>
      <w:r>
        <w:t xml:space="preserve">A competitor yield parameter is activated, increasing the opportunity</w:t>
      </w:r>
      <w:r>
        <w:t xml:space="preserve"> </w:t>
      </w:r>
      <w:r>
        <w:t xml:space="preserve">cost of participation.</w:t>
      </w:r>
    </w:p>
    <w:p>
      <w:pPr>
        <w:numPr>
          <w:ilvl w:val="0"/>
          <w:numId w:val="1021"/>
        </w:numPr>
      </w:pPr>
      <w:r>
        <w:t xml:space="preserve">Provider churn probability is adjusted based on relative</w:t>
      </w:r>
      <w:r>
        <w:t xml:space="preserve"> </w:t>
      </w:r>
      <w:r>
        <w:t xml:space="preserve">profitability.</w:t>
      </w:r>
    </w:p>
    <w:p>
      <w:pPr>
        <w:numPr>
          <w:ilvl w:val="0"/>
          <w:numId w:val="1021"/>
        </w:numPr>
      </w:pPr>
      <w:r>
        <w:t xml:space="preserve">No direct changes are made to demand or token supply.</w:t>
      </w:r>
    </w:p>
    <w:p>
      <w:pPr>
        <w:pStyle w:val="FirstParagraph"/>
      </w:pPr>
      <w:r>
        <w:t xml:space="preserve">Analytical focus:</w:t>
      </w:r>
    </w:p>
    <w:p>
      <w:pPr>
        <w:numPr>
          <w:ilvl w:val="0"/>
          <w:numId w:val="1022"/>
        </w:numPr>
      </w:pPr>
      <w:r>
        <w:t xml:space="preserve">Elasticity of provider participation.</w:t>
      </w:r>
    </w:p>
    <w:p>
      <w:pPr>
        <w:numPr>
          <w:ilvl w:val="0"/>
          <w:numId w:val="1022"/>
        </w:numPr>
      </w:pPr>
      <w:r>
        <w:t xml:space="preserve">Sensitivity of retention to marginal profit compression.</w:t>
      </w:r>
    </w:p>
    <w:p>
      <w:pPr>
        <w:numPr>
          <w:ilvl w:val="0"/>
          <w:numId w:val="1022"/>
        </w:numPr>
      </w:pPr>
      <w:r>
        <w:t xml:space="preserve">Differentiation between high-commitment and low-commitment providers.</w:t>
      </w:r>
    </w:p>
    <w:bookmarkEnd w:id="73"/>
    <w:bookmarkStart w:id="74" w:name="scenario-s4-provider-cost-inflation"/>
    <w:p>
      <w:pPr>
        <w:pStyle w:val="Heading3"/>
      </w:pPr>
      <w:r>
        <w:t xml:space="preserve">Scenario S4: Provider Cost</w:t>
      </w:r>
      <w:r>
        <w:t xml:space="preserve"> </w:t>
      </w:r>
      <w:r>
        <w:t xml:space="preserve">Inflation</w:t>
      </w:r>
    </w:p>
    <w:p>
      <w:pPr>
        <w:pStyle w:val="FirstParagraph"/>
      </w:pPr>
      <w:r>
        <w:t xml:space="preserve">The provider cost inflation scenario models increases in operating</w:t>
      </w:r>
      <w:r>
        <w:t xml:space="preserve"> </w:t>
      </w:r>
      <w:r>
        <w:t xml:space="preserve">expenses, such as energy prices, maintenance costs, or regulatory</w:t>
      </w:r>
      <w:r>
        <w:t xml:space="preserve"> </w:t>
      </w:r>
      <w:r>
        <w:t xml:space="preserve">compliance burdens. This scenario isolates supply-side stress</w:t>
      </w:r>
      <w:r>
        <w:t xml:space="preserve"> </w:t>
      </w:r>
      <w:r>
        <w:t xml:space="preserve">independent of demand or market conditions.</w:t>
      </w:r>
    </w:p>
    <w:p>
      <w:pPr>
        <w:pStyle w:val="BodyText"/>
      </w:pPr>
      <w:r>
        <w:t xml:space="preserve">Implementation:</w:t>
      </w:r>
    </w:p>
    <w:p>
      <w:pPr>
        <w:numPr>
          <w:ilvl w:val="0"/>
          <w:numId w:val="1023"/>
        </w:numPr>
      </w:pPr>
      <w:r>
        <w:t xml:space="preserve">Provider operating costs are increased uniformly or by tier.</w:t>
      </w:r>
    </w:p>
    <w:p>
      <w:pPr>
        <w:numPr>
          <w:ilvl w:val="0"/>
          <w:numId w:val="1023"/>
        </w:numPr>
      </w:pPr>
      <w:r>
        <w:t xml:space="preserve">Tokenomic parameters remain unchanged.</w:t>
      </w:r>
    </w:p>
    <w:p>
      <w:pPr>
        <w:numPr>
          <w:ilvl w:val="0"/>
          <w:numId w:val="1023"/>
        </w:numPr>
      </w:pPr>
      <w:r>
        <w:t xml:space="preserve">Demand and price regimes follow baseline assumptions.</w:t>
      </w:r>
    </w:p>
    <w:p>
      <w:pPr>
        <w:pStyle w:val="FirstParagraph"/>
      </w:pPr>
      <w:r>
        <w:t xml:space="preserve">Analytical focus:</w:t>
      </w:r>
    </w:p>
    <w:p>
      <w:pPr>
        <w:numPr>
          <w:ilvl w:val="0"/>
          <w:numId w:val="1024"/>
        </w:numPr>
      </w:pPr>
      <w:r>
        <w:t xml:space="preserve">Margin compression at the provider level.</w:t>
      </w:r>
    </w:p>
    <w:p>
      <w:pPr>
        <w:numPr>
          <w:ilvl w:val="0"/>
          <w:numId w:val="1024"/>
        </w:numPr>
      </w:pPr>
      <w:r>
        <w:t xml:space="preserve">Differential effects across provider types.</w:t>
      </w:r>
    </w:p>
    <w:p>
      <w:pPr>
        <w:numPr>
          <w:ilvl w:val="0"/>
          <w:numId w:val="1024"/>
        </w:numPr>
      </w:pPr>
      <w:r>
        <w:t xml:space="preserve">Early indicators of infrastructure attrition driven by cost pressure.</w:t>
      </w:r>
    </w:p>
    <w:bookmarkEnd w:id="74"/>
    <w:bookmarkStart w:id="75" w:name="execution-and-comparability"/>
    <w:p>
      <w:pPr>
        <w:pStyle w:val="Heading3"/>
      </w:pPr>
      <w:r>
        <w:t xml:space="preserve">Execution and</w:t>
      </w:r>
      <w:r>
        <w:t xml:space="preserve"> </w:t>
      </w:r>
      <w:r>
        <w:t xml:space="preserve">Comparability</w:t>
      </w:r>
    </w:p>
    <w:p>
      <w:pPr>
        <w:pStyle w:val="FirstParagraph"/>
      </w:pPr>
      <w:r>
        <w:t xml:space="preserve">All stress scenarios are executed using the same Monte Carlo structure</w:t>
      </w:r>
      <w:r>
        <w:t xml:space="preserve"> </w:t>
      </w:r>
      <w:r>
        <w:t xml:space="preserve">as the baseline, with identical simulation counts, time horizons, and</w:t>
      </w:r>
      <w:r>
        <w:t xml:space="preserve"> </w:t>
      </w:r>
      <w:r>
        <w:t xml:space="preserve">seed strategies. This ensures that observed differences between</w:t>
      </w:r>
      <w:r>
        <w:t xml:space="preserve"> </w:t>
      </w:r>
      <w:r>
        <w:t xml:space="preserve">scenarios and baseline trajectories are attributable to</w:t>
      </w:r>
      <w:r>
        <w:t xml:space="preserve"> </w:t>
      </w:r>
      <w:r>
        <w:t xml:space="preserve">scenario-specific inputs rather than to stochastic artifacts or</w:t>
      </w:r>
      <w:r>
        <w:t xml:space="preserve"> </w:t>
      </w:r>
      <w:r>
        <w:t xml:space="preserve">configuration drift.</w:t>
      </w:r>
    </w:p>
    <w:p>
      <w:pPr>
        <w:pStyle w:val="BodyText"/>
      </w:pPr>
      <w:r>
        <w:t xml:space="preserve">Scenario outputs are recorded using the same metric set and data</w:t>
      </w:r>
      <w:r>
        <w:t xml:space="preserve"> </w:t>
      </w:r>
      <w:r>
        <w:t xml:space="preserve">structures as baseline simulations. This enables direct comparison</w:t>
      </w:r>
      <w:r>
        <w:t xml:space="preserve"> </w:t>
      </w:r>
      <w:r>
        <w:t xml:space="preserve">across scenarios and supports consistent visualization and statistical</w:t>
      </w:r>
      <w:r>
        <w:t xml:space="preserve"> </w:t>
      </w:r>
      <w:r>
        <w:t xml:space="preserve">summarization in subsequent sections.</w:t>
      </w:r>
    </w:p>
    <w:bookmarkEnd w:id="75"/>
    <w:bookmarkEnd w:id="76"/>
    <w:bookmarkStart w:id="82" w:name="X544015d13d7d878db5b9d1c77a34d433edfcbac"/>
    <w:p>
      <w:pPr>
        <w:pStyle w:val="Heading2"/>
      </w:pPr>
      <w:r>
        <w:t xml:space="preserve">Stress Scenario Results</w:t>
      </w:r>
      <w:r>
        <w:t xml:space="preserve"> </w:t>
      </w:r>
      <w:r>
        <w:t xml:space="preserve">(Comparative</w:t>
      </w:r>
      <w:r>
        <w:t xml:space="preserve"> </w:t>
      </w:r>
      <w:r>
        <w:t xml:space="preserve">Outcomes)</w:t>
      </w:r>
    </w:p>
    <w:p>
      <w:pPr>
        <w:pStyle w:val="FirstParagraph"/>
      </w:pPr>
      <w:r>
        <w:t xml:space="preserve">This section reports the observed outcomes of the stress scenarios</w:t>
      </w:r>
      <w:r>
        <w:t xml:space="preserve"> </w:t>
      </w:r>
      <w:r>
        <w:t xml:space="preserve">defined in Section 6.3. Results are presented as deviations from the</w:t>
      </w:r>
      <w:r>
        <w:t xml:space="preserve"> </w:t>
      </w:r>
      <w:r>
        <w:t xml:space="preserve">neutral baseline trajectories established in Section 6.2. The focus is</w:t>
      </w:r>
      <w:r>
        <w:t xml:space="preserve"> </w:t>
      </w:r>
      <w:r>
        <w:t xml:space="preserve">on</w:t>
      </w:r>
      <w:r>
        <w:t xml:space="preserve"> </w:t>
      </w:r>
      <w:r>
        <w:rPr>
          <w:i/>
          <w:iCs/>
        </w:rPr>
        <w:t xml:space="preserve">what changes</w:t>
      </w:r>
      <w:r>
        <w:t xml:space="preserve">,</w:t>
      </w:r>
      <w:r>
        <w:t xml:space="preserve"> </w:t>
      </w:r>
      <w:r>
        <w:rPr>
          <w:i/>
          <w:iCs/>
        </w:rPr>
        <w:t xml:space="preserve">when changes occur</w:t>
      </w:r>
      <w:r>
        <w:t xml:space="preserve">, and</w:t>
      </w:r>
      <w:r>
        <w:t xml:space="preserve"> </w:t>
      </w:r>
      <w:r>
        <w:rPr>
          <w:i/>
          <w:iCs/>
        </w:rPr>
        <w:t xml:space="preserve">which</w:t>
      </w:r>
      <w:r>
        <w:rPr>
          <w:i/>
          <w:iCs/>
        </w:rPr>
        <w:t xml:space="preserve"> </w:t>
      </w:r>
      <w:r>
        <w:rPr>
          <w:i/>
          <w:iCs/>
        </w:rPr>
        <w:t xml:space="preserve">metrics are affected</w:t>
      </w:r>
      <w:r>
        <w:t xml:space="preserve">, without attributing causality or normative</w:t>
      </w:r>
      <w:r>
        <w:t xml:space="preserve"> </w:t>
      </w:r>
      <w:r>
        <w:t xml:space="preserve">judgment. Interpretation of these outcomes is deferred to subsequent</w:t>
      </w:r>
      <w:r>
        <w:t xml:space="preserve"> </w:t>
      </w:r>
      <w:r>
        <w:t xml:space="preserve">sections.</w:t>
      </w:r>
    </w:p>
    <w:p>
      <w:pPr>
        <w:pStyle w:val="BodyText"/>
      </w:pPr>
      <w:r>
        <w:t xml:space="preserve">All results are aggregated across 100 Monte Carlo simulations per</w:t>
      </w:r>
      <w:r>
        <w:t xml:space="preserve"> </w:t>
      </w:r>
      <w:r>
        <w:t xml:space="preserve">protocol profile. Unless stated otherwise, reported trajectories refer</w:t>
      </w:r>
      <w:r>
        <w:t xml:space="preserve"> </w:t>
      </w:r>
      <w:r>
        <w:t xml:space="preserve">to median values, with interquartile ranges (p25–p75) used to</w:t>
      </w:r>
      <w:r>
        <w:t xml:space="preserve"> </w:t>
      </w:r>
      <w:r>
        <w:t xml:space="preserve">illustrate dispersion where relevant.</w:t>
      </w:r>
    </w:p>
    <w:bookmarkStart w:id="77" w:name="demand-contraction-scenario"/>
    <w:p>
      <w:pPr>
        <w:pStyle w:val="Heading3"/>
      </w:pPr>
      <w:r>
        <w:t xml:space="preserve">Demand Contraction</w:t>
      </w:r>
      <w:r>
        <w:t xml:space="preserve"> </w:t>
      </w:r>
      <w:r>
        <w:t xml:space="preserve">Scenario</w:t>
      </w:r>
    </w:p>
    <w:p>
      <w:pPr>
        <w:pStyle w:val="FirstParagraph"/>
      </w:pPr>
      <w:r>
        <w:t xml:space="preserve">Under demand contraction, all protocol profiles exhibit a measurable</w:t>
      </w:r>
      <w:r>
        <w:t xml:space="preserve"> </w:t>
      </w:r>
      <w:r>
        <w:t xml:space="preserve">decline in utilization, followed by a widening divergence between token</w:t>
      </w:r>
      <w:r>
        <w:t xml:space="preserve"> </w:t>
      </w:r>
      <w:r>
        <w:t xml:space="preserve">emissions and realized burns. This effect manifests earliest in metrics</w:t>
      </w:r>
      <w:r>
        <w:t xml:space="preserve"> </w:t>
      </w:r>
      <w:r>
        <w:t xml:space="preserve">directly tied to service usage, including demand served, utilization</w:t>
      </w:r>
      <w:r>
        <w:t xml:space="preserve"> </w:t>
      </w:r>
      <w:r>
        <w:t xml:space="preserve">rate, and burn-derived revenue.</w:t>
      </w:r>
    </w:p>
    <w:p>
      <w:pPr>
        <w:pStyle w:val="BodyText"/>
      </w:pPr>
      <w:r>
        <w:t xml:space="preserve">Across profiles, reduced utilization leads to lower average provider</w:t>
      </w:r>
      <w:r>
        <w:t xml:space="preserve"> </w:t>
      </w:r>
      <w:r>
        <w:t xml:space="preserve">revenue while emissions continue according to protocol-specific</w:t>
      </w:r>
      <w:r>
        <w:t xml:space="preserve"> </w:t>
      </w:r>
      <w:r>
        <w:t xml:space="preserve">schedules. As a result, the burn-to-emission ratio declines relative to</w:t>
      </w:r>
      <w:r>
        <w:t xml:space="preserve"> </w:t>
      </w:r>
      <w:r>
        <w:t xml:space="preserve">baseline, particularly in protocols with fixed or weakly demand-linked</w:t>
      </w:r>
      <w:r>
        <w:t xml:space="preserve"> </w:t>
      </w:r>
      <w:r>
        <w:t xml:space="preserve">emission logic. Provider counts remain initially stable but begin to</w:t>
      </w:r>
      <w:r>
        <w:t xml:space="preserve"> </w:t>
      </w:r>
      <w:r>
        <w:t xml:space="preserve">diverge from baseline trajectories as profitability thresholds are</w:t>
      </w:r>
      <w:r>
        <w:t xml:space="preserve"> </w:t>
      </w:r>
      <w:r>
        <w:t xml:space="preserve">breached for marginal providers.</w:t>
      </w:r>
    </w:p>
    <w:p>
      <w:pPr>
        <w:pStyle w:val="BodyText"/>
      </w:pPr>
      <w:r>
        <w:t xml:space="preserve">Dispersion across simulations increases over time for provider-level</w:t>
      </w:r>
      <w:r>
        <w:t xml:space="preserve"> </w:t>
      </w:r>
      <w:r>
        <w:t xml:space="preserve">metrics such as average provider profit and churn counts, indicating</w:t>
      </w:r>
      <w:r>
        <w:t xml:space="preserve"> </w:t>
      </w:r>
      <w:r>
        <w:t xml:space="preserve">sensitivity to heterogeneous cost structures even under identical demand</w:t>
      </w:r>
      <w:r>
        <w:t xml:space="preserve"> </w:t>
      </w:r>
      <w:r>
        <w:t xml:space="preserve">trajectories.</w:t>
      </w:r>
    </w:p>
    <w:bookmarkEnd w:id="77"/>
    <w:bookmarkStart w:id="78" w:name="liquidity-shock-scenario"/>
    <w:p>
      <w:pPr>
        <w:pStyle w:val="Heading3"/>
      </w:pPr>
      <w:r>
        <w:t xml:space="preserve">Liquidity Shock</w:t>
      </w:r>
      <w:r>
        <w:t xml:space="preserve"> </w:t>
      </w:r>
      <w:r>
        <w:t xml:space="preserve">Scenario</w:t>
      </w:r>
    </w:p>
    <w:p>
      <w:pPr>
        <w:pStyle w:val="FirstParagraph"/>
      </w:pPr>
      <w:r>
        <w:t xml:space="preserve">The liquidity shock scenario produces immediate and discrete deviations</w:t>
      </w:r>
      <w:r>
        <w:t xml:space="preserve"> </w:t>
      </w:r>
      <w:r>
        <w:t xml:space="preserve">in token price trajectories at the point of the unlock event. The</w:t>
      </w:r>
      <w:r>
        <w:t xml:space="preserve"> </w:t>
      </w:r>
      <w:r>
        <w:t xml:space="preserve">magnitude of the price response varies significantly across protocol</w:t>
      </w:r>
      <w:r>
        <w:t xml:space="preserve"> </w:t>
      </w:r>
      <w:r>
        <w:t xml:space="preserve">profiles, reflecting differences in circulating supply, liquidity depth,</w:t>
      </w:r>
      <w:r>
        <w:t xml:space="preserve"> </w:t>
      </w:r>
      <w:r>
        <w:t xml:space="preserve">and emission rates.</w:t>
      </w:r>
    </w:p>
    <w:p>
      <w:pPr>
        <w:pStyle w:val="BodyText"/>
      </w:pPr>
      <w:r>
        <w:t xml:space="preserve">Following the shock, secondary effects are observed in provider</w:t>
      </w:r>
      <w:r>
        <w:t xml:space="preserve"> </w:t>
      </w:r>
      <w:r>
        <w:t xml:space="preserve">economics. In profiles where provider rewards are denominated primarily</w:t>
      </w:r>
      <w:r>
        <w:t xml:space="preserve"> </w:t>
      </w:r>
      <w:r>
        <w:t xml:space="preserve">in the native token, reductions in token price translate into compressed</w:t>
      </w:r>
      <w:r>
        <w:t xml:space="preserve"> </w:t>
      </w:r>
      <w:r>
        <w:t xml:space="preserve">real revenue, leading to increased churn in subsequent weeks. This</w:t>
      </w:r>
      <w:r>
        <w:t xml:space="preserve"> </w:t>
      </w:r>
      <w:r>
        <w:t xml:space="preserve">effect is not instantaneous but unfolds with a short lag, corresponding</w:t>
      </w:r>
      <w:r>
        <w:t xml:space="preserve"> </w:t>
      </w:r>
      <w:r>
        <w:t xml:space="preserve">to reward distribution timing and provider decision thresholds.</w:t>
      </w:r>
    </w:p>
    <w:p>
      <w:pPr>
        <w:pStyle w:val="BodyText"/>
      </w:pPr>
      <w:r>
        <w:t xml:space="preserve">Notably, while price volatility spikes sharply around the unlock event,</w:t>
      </w:r>
      <w:r>
        <w:t xml:space="preserve"> </w:t>
      </w:r>
      <w:r>
        <w:t xml:space="preserve">other metrics such as utilization and capacity remain initially close to</w:t>
      </w:r>
      <w:r>
        <w:t xml:space="preserve"> </w:t>
      </w:r>
      <w:r>
        <w:t xml:space="preserve">baseline. This temporal decoupling highlights the indirect transmission</w:t>
      </w:r>
      <w:r>
        <w:t xml:space="preserve"> </w:t>
      </w:r>
      <w:r>
        <w:t xml:space="preserve">of liquidity stress from token markets to infrastructure participation.</w:t>
      </w:r>
    </w:p>
    <w:bookmarkEnd w:id="78"/>
    <w:bookmarkStart w:id="79" w:name="competitive-yield-pressure-scenario"/>
    <w:p>
      <w:pPr>
        <w:pStyle w:val="Heading3"/>
      </w:pPr>
      <w:r>
        <w:t xml:space="preserve">Competitive Yield Pressure</w:t>
      </w:r>
      <w:r>
        <w:t xml:space="preserve"> </w:t>
      </w:r>
      <w:r>
        <w:t xml:space="preserve">Scenario</w:t>
      </w:r>
    </w:p>
    <w:p>
      <w:pPr>
        <w:pStyle w:val="FirstParagraph"/>
      </w:pPr>
      <w:r>
        <w:t xml:space="preserve">When external yield pressure is introduced, provider participation</w:t>
      </w:r>
      <w:r>
        <w:t xml:space="preserve"> </w:t>
      </w:r>
      <w:r>
        <w:t xml:space="preserve">becomes more elastic across all evaluated profiles. The most pronounced</w:t>
      </w:r>
      <w:r>
        <w:t xml:space="preserve"> </w:t>
      </w:r>
      <w:r>
        <w:t xml:space="preserve">effects are observed in provider churn metrics rather than in price or</w:t>
      </w:r>
      <w:r>
        <w:t xml:space="preserve"> </w:t>
      </w:r>
      <w:r>
        <w:t xml:space="preserve">utilization measures.</w:t>
      </w:r>
    </w:p>
    <w:p>
      <w:pPr>
        <w:pStyle w:val="BodyText"/>
      </w:pPr>
      <w:r>
        <w:t xml:space="preserve">Provider exit accelerates in profiles where baseline profitability</w:t>
      </w:r>
      <w:r>
        <w:t xml:space="preserve"> </w:t>
      </w:r>
      <w:r>
        <w:t xml:space="preserve">margins are narrow, while protocols with higher average provider surplus</w:t>
      </w:r>
      <w:r>
        <w:t xml:space="preserve"> </w:t>
      </w:r>
      <w:r>
        <w:t xml:space="preserve">show greater resistance. The dispersion of outcomes across simulations</w:t>
      </w:r>
      <w:r>
        <w:t xml:space="preserve"> </w:t>
      </w:r>
      <w:r>
        <w:t xml:space="preserve">increases markedly, indicating that small differences in provider</w:t>
      </w:r>
      <w:r>
        <w:t xml:space="preserve"> </w:t>
      </w:r>
      <w:r>
        <w:t xml:space="preserve">economics can lead to divergent participation trajectories under</w:t>
      </w:r>
      <w:r>
        <w:t xml:space="preserve"> </w:t>
      </w:r>
      <w:r>
        <w:t xml:space="preserve">competitive pressure.</w:t>
      </w:r>
    </w:p>
    <w:p>
      <w:pPr>
        <w:pStyle w:val="BodyText"/>
      </w:pPr>
      <w:r>
        <w:t xml:space="preserve">Unlike liquidity shocks, competitive yield pressure does not produce</w:t>
      </w:r>
      <w:r>
        <w:t xml:space="preserve"> </w:t>
      </w:r>
      <w:r>
        <w:t xml:space="preserve">abrupt discontinuities in token price or supply. Instead, its effects</w:t>
      </w:r>
      <w:r>
        <w:t xml:space="preserve"> </w:t>
      </w:r>
      <w:r>
        <w:t xml:space="preserve">accumulate gradually, primarily through sustained differences in</w:t>
      </w:r>
      <w:r>
        <w:t xml:space="preserve"> </w:t>
      </w:r>
      <w:r>
        <w:t xml:space="preserve">provider retention relative to baseline.</w:t>
      </w:r>
    </w:p>
    <w:bookmarkEnd w:id="79"/>
    <w:bookmarkStart w:id="80" w:name="provider-cost-inflation-scenario"/>
    <w:p>
      <w:pPr>
        <w:pStyle w:val="Heading3"/>
      </w:pPr>
      <w:r>
        <w:t xml:space="preserve">Provider Cost Inflation</w:t>
      </w:r>
      <w:r>
        <w:t xml:space="preserve"> </w:t>
      </w:r>
      <w:r>
        <w:t xml:space="preserve">Scenario</w:t>
      </w:r>
    </w:p>
    <w:p>
      <w:pPr>
        <w:pStyle w:val="FirstParagraph"/>
      </w:pPr>
      <w:r>
        <w:t xml:space="preserve">Provider cost inflation directly impacts average provider profit across</w:t>
      </w:r>
      <w:r>
        <w:t xml:space="preserve"> </w:t>
      </w:r>
      <w:r>
        <w:t xml:space="preserve">all protocol profiles. Increases in operating costs reduce margins</w:t>
      </w:r>
      <w:r>
        <w:t xml:space="preserve"> </w:t>
      </w:r>
      <w:r>
        <w:t xml:space="preserve">uniformly, but downstream effects vary depending on reward structure and</w:t>
      </w:r>
      <w:r>
        <w:t xml:space="preserve"> </w:t>
      </w:r>
      <w:r>
        <w:t xml:space="preserve">provider heterogeneity.</w:t>
      </w:r>
    </w:p>
    <w:p>
      <w:pPr>
        <w:pStyle w:val="BodyText"/>
      </w:pPr>
      <w:r>
        <w:t xml:space="preserve">In several profiles, median provider profit crosses below zero earlier</w:t>
      </w:r>
      <w:r>
        <w:t xml:space="preserve"> </w:t>
      </w:r>
      <w:r>
        <w:t xml:space="preserve">than under other stress scenarios, leading to persistent negative</w:t>
      </w:r>
      <w:r>
        <w:t xml:space="preserve"> </w:t>
      </w:r>
      <w:r>
        <w:t xml:space="preserve">profitability even in the absence of price shocks or demand contraction.</w:t>
      </w:r>
      <w:r>
        <w:t xml:space="preserve"> </w:t>
      </w:r>
      <w:r>
        <w:t xml:space="preserve">Churn metrics respond accordingly, with elevated exit rates observed</w:t>
      </w:r>
      <w:r>
        <w:t xml:space="preserve"> </w:t>
      </w:r>
      <w:r>
        <w:t xml:space="preserve">once cost thresholds are exceeded.</w:t>
      </w:r>
    </w:p>
    <w:p>
      <w:pPr>
        <w:pStyle w:val="BodyText"/>
      </w:pPr>
      <w:r>
        <w:t xml:space="preserve">Importantly, capacity and utilization do not decline immediately in this</w:t>
      </w:r>
      <w:r>
        <w:t xml:space="preserve"> </w:t>
      </w:r>
      <w:r>
        <w:t xml:space="preserve">scenario. Instead, reductions in active providers precede observable</w:t>
      </w:r>
      <w:r>
        <w:t xml:space="preserve"> </w:t>
      </w:r>
      <w:r>
        <w:t xml:space="preserve">changes in service capacity, indicating a lag between economic stress</w:t>
      </w:r>
      <w:r>
        <w:t xml:space="preserve"> </w:t>
      </w:r>
      <w:r>
        <w:t xml:space="preserve">and infrastructure degradation.</w:t>
      </w:r>
    </w:p>
    <w:bookmarkEnd w:id="80"/>
    <w:bookmarkStart w:id="81" w:name="cross-scenario-comparison"/>
    <w:p>
      <w:pPr>
        <w:pStyle w:val="Heading3"/>
      </w:pPr>
      <w:r>
        <w:t xml:space="preserve">Cross-Scenario</w:t>
      </w:r>
      <w:r>
        <w:t xml:space="preserve"> </w:t>
      </w:r>
      <w:r>
        <w:t xml:space="preserve">Comparison</w:t>
      </w:r>
    </w:p>
    <w:p>
      <w:pPr>
        <w:pStyle w:val="FirstParagraph"/>
      </w:pPr>
      <w:r>
        <w:t xml:space="preserve">Comparing across stress scenarios reveals distinct temporal and</w:t>
      </w:r>
      <w:r>
        <w:t xml:space="preserve"> </w:t>
      </w:r>
      <w:r>
        <w:t xml:space="preserve">metric-specific signatures:</w:t>
      </w:r>
    </w:p>
    <w:p>
      <w:pPr>
        <w:numPr>
          <w:ilvl w:val="0"/>
          <w:numId w:val="1025"/>
        </w:numPr>
      </w:pPr>
      <w:r>
        <w:t xml:space="preserve">Demand contraction primarily affects burn-linked metrics and</w:t>
      </w:r>
      <w:r>
        <w:t xml:space="preserve"> </w:t>
      </w:r>
      <w:r>
        <w:t xml:space="preserve">utilization.</w:t>
      </w:r>
    </w:p>
    <w:p>
      <w:pPr>
        <w:numPr>
          <w:ilvl w:val="0"/>
          <w:numId w:val="1025"/>
        </w:numPr>
      </w:pPr>
      <w:r>
        <w:t xml:space="preserve">Liquidity shocks propagate rapidly through price metrics before</w:t>
      </w:r>
      <w:r>
        <w:t xml:space="preserve"> </w:t>
      </w:r>
      <w:r>
        <w:t xml:space="preserve">affecting provider participation.</w:t>
      </w:r>
    </w:p>
    <w:p>
      <w:pPr>
        <w:numPr>
          <w:ilvl w:val="0"/>
          <w:numId w:val="1025"/>
        </w:numPr>
      </w:pPr>
      <w:r>
        <w:t xml:space="preserve">Competitive yield pressure manifests as gradual erosion of provider</w:t>
      </w:r>
      <w:r>
        <w:t xml:space="preserve"> </w:t>
      </w:r>
      <w:r>
        <w:t xml:space="preserve">counts.</w:t>
      </w:r>
    </w:p>
    <w:p>
      <w:pPr>
        <w:numPr>
          <w:ilvl w:val="0"/>
          <w:numId w:val="1025"/>
        </w:numPr>
      </w:pPr>
      <w:r>
        <w:t xml:space="preserve">Cost inflation exerts sustained pressure on provider profitability</w:t>
      </w:r>
      <w:r>
        <w:t xml:space="preserve"> </w:t>
      </w:r>
      <w:r>
        <w:t xml:space="preserve">with delayed capacity effects.</w:t>
      </w:r>
    </w:p>
    <w:p>
      <w:pPr>
        <w:pStyle w:val="FirstParagraph"/>
      </w:pPr>
      <w:r>
        <w:t xml:space="preserve">Across all scenarios, deviations from baseline trajectories are most</w:t>
      </w:r>
      <w:r>
        <w:t xml:space="preserve"> </w:t>
      </w:r>
      <w:r>
        <w:t xml:space="preserve">pronounced in provider-level metrics, while aggregate supply and</w:t>
      </w:r>
      <w:r>
        <w:t xml:space="preserve"> </w:t>
      </w:r>
      <w:r>
        <w:t xml:space="preserve">emission variables tend to remain closer to baseline unless explicitly</w:t>
      </w:r>
      <w:r>
        <w:t xml:space="preserve"> </w:t>
      </w:r>
      <w:r>
        <w:t xml:space="preserve">modified by the scenario.</w:t>
      </w:r>
    </w:p>
    <w:p>
      <w:pPr>
        <w:pStyle w:val="BodyText"/>
      </w:pPr>
      <w:r>
        <w:t xml:space="preserve">These observed patterns form the empirical basis for identifying</w:t>
      </w:r>
      <w:r>
        <w:t xml:space="preserve"> </w:t>
      </w:r>
      <w:r>
        <w:t xml:space="preserve">recurring failure modes in DePIN tokenomic systems, which are formalized</w:t>
      </w:r>
      <w:r>
        <w:t xml:space="preserve"> </w:t>
      </w:r>
      <w:r>
        <w:t xml:space="preserve">in the following section.</w:t>
      </w:r>
    </w:p>
    <w:bookmarkEnd w:id="81"/>
    <w:bookmarkEnd w:id="82"/>
    <w:bookmarkStart w:id="90" w:name="X43b3431d22113e5a05ae621e72bb2b149c103a0"/>
    <w:p>
      <w:pPr>
        <w:pStyle w:val="Heading2"/>
      </w:pPr>
      <w:r>
        <w:t xml:space="preserve">Failure Modes Observed</w:t>
      </w:r>
      <w:r>
        <w:t xml:space="preserve"> </w:t>
      </w:r>
      <w:r>
        <w:t xml:space="preserve">(Operational</w:t>
      </w:r>
      <w:r>
        <w:t xml:space="preserve"> </w:t>
      </w:r>
      <w:r>
        <w:t xml:space="preserve">Definitions)</w:t>
      </w:r>
    </w:p>
    <w:p>
      <w:pPr>
        <w:pStyle w:val="FirstParagraph"/>
      </w:pPr>
      <w:r>
        <w:t xml:space="preserve">Table</w:t>
      </w:r>
      <w:r>
        <w:t xml:space="preserve"> </w:t>
      </w:r>
      <w:hyperlink w:anchor="tab:failure_modes">
        <w:r>
          <w:rPr>
            <w:rStyle w:val="Hyperlink"/>
          </w:rPr>
          <w:t xml:space="preserve">2</w:t>
        </w:r>
      </w:hyperlink>
      <w:r>
        <w:t xml:space="preserve"> </w:t>
      </w:r>
      <w:r>
        <w:t xml:space="preserve">provides a diagnostic matrix for identifying the five recurring failure modes formalized in this section.</w:t>
      </w:r>
    </w:p>
    <w:bookmarkStart w:id="83" w:name="tab:failure_modes"/>
    <w:p>
      <w:pPr>
        <w:pStyle w:val="TableCaption"/>
      </w:pPr>
      <w:r>
        <w:t xml:space="preserve">Operational Failure Modes: Diagnostic Matrix</w:t>
      </w:r>
    </w:p>
    <w:tbl>
      <w:tblPr>
        <w:tblStyle w:val="Table"/>
        <w:tblW w:type="auto" w:w="0"/>
        <w:tblLook w:firstRow="1" w:lastRow="0" w:firstColumn="0" w:lastColumn="0" w:noHBand="0" w:noVBand="0" w:val="0020"/>
        <w:tblCaption w:val="Operational Failure Modes: Diagnostic Matrix"/>
      </w:tblPr>
      <w:tblGrid>
        <w:gridCol w:w="2640"/>
        <w:gridCol w:w="2640"/>
        <w:gridCol w:w="2640"/>
      </w:tblGrid>
      <w:tr>
        <w:trPr>
          <w:tblHeader w:val="on"/>
        </w:trPr>
        <w:tc>
          <w:tcPr/>
          <w:p>
            <w:pPr>
              <w:pStyle w:val="Compact"/>
              <w:jc w:val="left"/>
            </w:pPr>
            <w:r>
              <w:rPr>
                <w:b/>
                <w:bCs/>
              </w:rPr>
              <w:t xml:space="preserve">Failure Mode</w:t>
            </w:r>
          </w:p>
        </w:tc>
        <w:tc>
          <w:tcPr/>
          <w:p>
            <w:pPr>
              <w:pStyle w:val="Compact"/>
              <w:jc w:val="left"/>
            </w:pPr>
            <w:r>
              <w:rPr>
                <w:b/>
                <w:bCs/>
              </w:rPr>
              <w:t xml:space="preserve">Operational Definition</w:t>
            </w:r>
          </w:p>
        </w:tc>
        <w:tc>
          <w:tcPr/>
          <w:p>
            <w:pPr>
              <w:pStyle w:val="Compact"/>
              <w:jc w:val="left"/>
            </w:pPr>
            <w:r>
              <w:rPr>
                <w:b/>
                <w:bCs/>
              </w:rPr>
              <w:t xml:space="preserve">Precursor Metric</w:t>
            </w:r>
          </w:p>
        </w:tc>
      </w:tr>
      <w:tr>
        <w:tc>
          <w:tcPr/>
          <w:p>
            <w:pPr>
              <w:pStyle w:val="Compact"/>
              <w:jc w:val="left"/>
            </w:pPr>
            <w:r>
              <w:rPr>
                <w:b/>
                <w:bCs/>
              </w:rPr>
              <w:t xml:space="preserve">Reward–Demand Decoupling</w:t>
            </w:r>
          </w:p>
        </w:tc>
        <w:tc>
          <w:tcPr/>
          <w:p>
            <w:pPr>
              <w:pStyle w:val="Compact"/>
              <w:jc w:val="left"/>
            </w:pPr>
            <w:r>
              <w:t xml:space="preserve">Emissions persist despite declining usage.</w:t>
            </w:r>
          </w:p>
        </w:tc>
        <w:tc>
          <w:tcPr/>
          <w:p>
            <w:pPr>
              <w:pStyle w:val="Compact"/>
              <w:jc w:val="left"/>
            </w:pPr>
            <w:r>
              <w:t xml:space="preserve">Declining burn-to-emission ratio.</w:t>
            </w:r>
          </w:p>
        </w:tc>
      </w:tr>
      <w:tr>
        <w:tc>
          <w:tcPr/>
          <w:p>
            <w:pPr>
              <w:pStyle w:val="Compact"/>
              <w:jc w:val="left"/>
            </w:pPr>
            <w:r>
              <w:rPr>
                <w:b/>
                <w:bCs/>
              </w:rPr>
              <w:t xml:space="preserve">Profitability-Induced Churn</w:t>
            </w:r>
          </w:p>
        </w:tc>
        <w:tc>
          <w:tcPr/>
          <w:p>
            <w:pPr>
              <w:pStyle w:val="Compact"/>
              <w:jc w:val="left"/>
            </w:pPr>
            <w:r>
              <w:t xml:space="preserve">Exit driven by sustained negative margins (not price).</w:t>
            </w:r>
          </w:p>
        </w:tc>
        <w:tc>
          <w:tcPr/>
          <w:p>
            <w:pPr>
              <w:pStyle w:val="Compact"/>
              <w:jc w:val="left"/>
            </w:pPr>
            <w:r>
              <w:t xml:space="preserve">Avg provider profit</w:t>
            </w:r>
            <w:r>
              <w:t xml:space="preserve"> </w:t>
            </w:r>
            <m:oMath>
              <m:r>
                <m:rPr>
                  <m:sty m:val="p"/>
                </m:rPr>
                <m:t>&lt;</m:t>
              </m:r>
              <m:r>
                <m:t>0</m:t>
              </m:r>
            </m:oMath>
            <w:r>
              <w:t xml:space="preserve"> </w:t>
            </w:r>
            <w:r>
              <w:t xml:space="preserve">for</w:t>
            </w:r>
            <w:r>
              <w:t xml:space="preserve"> </w:t>
            </w:r>
            <m:oMath>
              <m:r>
                <m:t>N</m:t>
              </m:r>
            </m:oMath>
            <w:r>
              <w:t xml:space="preserve"> </w:t>
            </w:r>
            <w:r>
              <w:t xml:space="preserve">weeks.</w:t>
            </w:r>
          </w:p>
        </w:tc>
      </w:tr>
      <w:tr>
        <w:tc>
          <w:tcPr/>
          <w:p>
            <w:pPr>
              <w:pStyle w:val="Compact"/>
              <w:jc w:val="left"/>
            </w:pPr>
            <w:r>
              <w:rPr>
                <w:b/>
                <w:bCs/>
              </w:rPr>
              <w:t xml:space="preserve">Liquidity-Driven Compression</w:t>
            </w:r>
          </w:p>
        </w:tc>
        <w:tc>
          <w:tcPr/>
          <w:p>
            <w:pPr>
              <w:pStyle w:val="Compact"/>
              <w:jc w:val="left"/>
            </w:pPr>
            <w:r>
              <w:t xml:space="preserve">Price crash reduces real reward value, causing delayed churn.</w:t>
            </w:r>
          </w:p>
        </w:tc>
        <w:tc>
          <w:tcPr/>
          <w:p>
            <w:pPr>
              <w:pStyle w:val="Compact"/>
              <w:jc w:val="left"/>
            </w:pPr>
            <w:r>
              <w:t xml:space="preserve">Price shock</w:t>
            </w:r>
            <w:r>
              <w:t xml:space="preserve"> </w:t>
            </w:r>
            <m:oMath>
              <m:r>
                <m:rPr>
                  <m:sty m:val="p"/>
                </m:rPr>
                <m:t>→</m:t>
              </m:r>
            </m:oMath>
            <w:r>
              <w:t xml:space="preserve"> </w:t>
            </w:r>
            <w:r>
              <w:t xml:space="preserve">lagged exit.</w:t>
            </w:r>
          </w:p>
        </w:tc>
      </w:tr>
      <w:tr>
        <w:tc>
          <w:tcPr/>
          <w:p>
            <w:pPr>
              <w:pStyle w:val="Compact"/>
              <w:jc w:val="left"/>
            </w:pPr>
            <w:r>
              <w:rPr>
                <w:b/>
                <w:bCs/>
              </w:rPr>
              <w:t xml:space="preserve">Elastic Provider Exit</w:t>
            </w:r>
          </w:p>
        </w:tc>
        <w:tc>
          <w:tcPr/>
          <w:p>
            <w:pPr>
              <w:pStyle w:val="Compact"/>
              <w:jc w:val="left"/>
            </w:pPr>
            <w:r>
              <w:t xml:space="preserve">High sensitivity to yield relative to competitors.</w:t>
            </w:r>
          </w:p>
        </w:tc>
        <w:tc>
          <w:tcPr/>
          <w:p>
            <w:pPr>
              <w:pStyle w:val="Compact"/>
              <w:jc w:val="left"/>
            </w:pPr>
            <w:r>
              <w:t xml:space="preserve">Elevated churn despite stable internal metrics.</w:t>
            </w:r>
          </w:p>
        </w:tc>
      </w:tr>
      <w:tr>
        <w:tc>
          <w:tcPr/>
          <w:p>
            <w:pPr>
              <w:pStyle w:val="Compact"/>
              <w:jc w:val="left"/>
            </w:pPr>
            <w:r>
              <w:rPr>
                <w:b/>
                <w:bCs/>
              </w:rPr>
              <w:t xml:space="preserve">Latent Capacity Degradation</w:t>
            </w:r>
          </w:p>
        </w:tc>
        <w:tc>
          <w:tcPr/>
          <w:p>
            <w:pPr>
              <w:pStyle w:val="Compact"/>
              <w:jc w:val="left"/>
            </w:pPr>
            <w:r>
              <w:t xml:space="preserve">Service capacity drops long after economic stress begins.</w:t>
            </w:r>
          </w:p>
        </w:tc>
        <w:tc>
          <w:tcPr/>
          <w:p>
            <w:pPr>
              <w:pStyle w:val="Compact"/>
              <w:jc w:val="left"/>
            </w:pPr>
            <w:r>
              <w:t xml:space="preserve">Provider count drops before capacity drops.</w:t>
            </w:r>
          </w:p>
        </w:tc>
      </w:tr>
    </w:tbl>
    <w:bookmarkEnd w:id="83"/>
    <w:p>
      <w:pPr>
        <w:pStyle w:val="BodyText"/>
      </w:pPr>
      <w:r>
        <w:t xml:space="preserve">This section formalizes the recurring failure modes observed across</w:t>
      </w:r>
      <w:r>
        <w:t xml:space="preserve"> </w:t>
      </w:r>
      <w:r>
        <w:t xml:space="preserve">stress scenarios by defining them in operational, measurable terms.</w:t>
      </w:r>
      <w:r>
        <w:t xml:space="preserve"> </w:t>
      </w:r>
      <w:r>
        <w:t xml:space="preserve">Failure modes are not treated as binary outcomes or protocol-level</w:t>
      </w:r>
      <w:r>
        <w:t xml:space="preserve"> </w:t>
      </w:r>
      <w:r>
        <w:t xml:space="preserve">judgments. Instead, they are defined as</w:t>
      </w:r>
      <w:r>
        <w:t xml:space="preserve"> </w:t>
      </w:r>
      <w:r>
        <w:rPr>
          <w:i/>
          <w:iCs/>
        </w:rPr>
        <w:t xml:space="preserve">patterns of metric</w:t>
      </w:r>
      <w:r>
        <w:rPr>
          <w:i/>
          <w:iCs/>
        </w:rPr>
        <w:t xml:space="preserve"> </w:t>
      </w:r>
      <w:r>
        <w:rPr>
          <w:i/>
          <w:iCs/>
        </w:rPr>
        <w:t xml:space="preserve">behavior</w:t>
      </w:r>
      <w:r>
        <w:t xml:space="preserve"> </w:t>
      </w:r>
      <w:r>
        <w:t xml:space="preserve">that emerge consistently under specific adverse conditions and</w:t>
      </w:r>
      <w:r>
        <w:t xml:space="preserve"> </w:t>
      </w:r>
      <w:r>
        <w:t xml:space="preserve">indicate increasing fragility in the incentive system.</w:t>
      </w:r>
    </w:p>
    <w:p>
      <w:pPr>
        <w:pStyle w:val="BodyText"/>
      </w:pPr>
      <w:r>
        <w:t xml:space="preserve">Each failure mode is grounded in observable deviations from baseline</w:t>
      </w:r>
      <w:r>
        <w:t xml:space="preserve"> </w:t>
      </w:r>
      <w:r>
        <w:t xml:space="preserve">trajectories and is specified using explicit metric signatures. These</w:t>
      </w:r>
      <w:r>
        <w:t xml:space="preserve"> </w:t>
      </w:r>
      <w:r>
        <w:t xml:space="preserve">definitions provide a common vocabulary for comparing DePIN tokenomic</w:t>
      </w:r>
      <w:r>
        <w:t xml:space="preserve"> </w:t>
      </w:r>
      <w:r>
        <w:t xml:space="preserve">systems and serve as the analytical bridge between empirical results and</w:t>
      </w:r>
      <w:r>
        <w:t xml:space="preserve"> </w:t>
      </w:r>
      <w:r>
        <w:t xml:space="preserve">subsequent implications.</w:t>
      </w:r>
    </w:p>
    <w:bookmarkStart w:id="84" w:name="rewarddemand-decoupling"/>
    <w:p>
      <w:pPr>
        <w:pStyle w:val="Heading3"/>
      </w:pPr>
      <w:r>
        <w:t xml:space="preserve">Reward–Demand</w:t>
      </w:r>
      <w:r>
        <w:t xml:space="preserve"> </w:t>
      </w:r>
      <w:r>
        <w:t xml:space="preserve">Decoupling</w:t>
      </w:r>
    </w:p>
    <w:p>
      <w:pPr>
        <w:pStyle w:val="FirstParagraph"/>
      </w:pPr>
      <w:r>
        <w:t xml:space="preserve">Definition:</w:t>
      </w:r>
      <w:r>
        <w:br/>
      </w:r>
      <w:r>
        <w:t xml:space="preserve">Reward–demand decoupling occurs when token emissions and provider</w:t>
      </w:r>
      <w:r>
        <w:t xml:space="preserve"> </w:t>
      </w:r>
      <w:r>
        <w:t xml:space="preserve">rewards remain elevated relative to realized service demand, resulting</w:t>
      </w:r>
      <w:r>
        <w:t xml:space="preserve"> </w:t>
      </w:r>
      <w:r>
        <w:t xml:space="preserve">in a sustained divergence between minting and burn-linked revenue.</w:t>
      </w:r>
    </w:p>
    <w:p>
      <w:pPr>
        <w:pStyle w:val="BodyText"/>
      </w:pPr>
      <w:r>
        <w:t xml:space="preserve">Operational indicators:</w:t>
      </w:r>
    </w:p>
    <w:p>
      <w:pPr>
        <w:numPr>
          <w:ilvl w:val="0"/>
          <w:numId w:val="1026"/>
        </w:numPr>
      </w:pPr>
      <w:r>
        <w:t xml:space="preserve">Persistent decline in utilization relative to baseline.</w:t>
      </w:r>
    </w:p>
    <w:p>
      <w:pPr>
        <w:numPr>
          <w:ilvl w:val="0"/>
          <w:numId w:val="1026"/>
        </w:numPr>
      </w:pPr>
      <w:r>
        <w:t xml:space="preserve">Decreasing burn-to-emission ratio over time.</w:t>
      </w:r>
    </w:p>
    <w:p>
      <w:pPr>
        <w:numPr>
          <w:ilvl w:val="0"/>
          <w:numId w:val="1026"/>
        </w:numPr>
      </w:pPr>
      <w:r>
        <w:t xml:space="preserve">Stable or increasing emissions despite reduced demand served.</w:t>
      </w:r>
    </w:p>
    <w:p>
      <w:pPr>
        <w:numPr>
          <w:ilvl w:val="0"/>
          <w:numId w:val="1026"/>
        </w:numPr>
      </w:pPr>
      <w:r>
        <w:t xml:space="preserve">Compression of average provider profit without immediate price</w:t>
      </w:r>
      <w:r>
        <w:t xml:space="preserve"> </w:t>
      </w:r>
      <w:r>
        <w:t xml:space="preserve">collapse.</w:t>
      </w:r>
    </w:p>
    <w:p>
      <w:pPr>
        <w:pStyle w:val="FirstParagraph"/>
      </w:pPr>
      <w:r>
        <w:t xml:space="preserve">Observed context:</w:t>
      </w:r>
      <w:r>
        <w:br/>
      </w:r>
      <w:r>
        <w:t xml:space="preserve">This pattern is most clearly observed under demand contraction</w:t>
      </w:r>
      <w:r>
        <w:t xml:space="preserve"> </w:t>
      </w:r>
      <w:r>
        <w:t xml:space="preserve">scenarios, where reduced usage does not immediately propagate into lower</w:t>
      </w:r>
      <w:r>
        <w:t xml:space="preserve"> </w:t>
      </w:r>
      <w:r>
        <w:t xml:space="preserve">emissions. The decoupling persists until provider profitability</w:t>
      </w:r>
      <w:r>
        <w:t xml:space="preserve"> </w:t>
      </w:r>
      <w:r>
        <w:t xml:space="preserve">thresholds are crossed, at which point secondary effects such as churn</w:t>
      </w:r>
      <w:r>
        <w:t xml:space="preserve"> </w:t>
      </w:r>
      <w:r>
        <w:t xml:space="preserve">begin to emerge.</w:t>
      </w:r>
    </w:p>
    <w:bookmarkEnd w:id="84"/>
    <w:bookmarkStart w:id="85" w:name="profitability-induced-provider-churn"/>
    <w:p>
      <w:pPr>
        <w:pStyle w:val="Heading3"/>
      </w:pPr>
      <w:r>
        <w:t xml:space="preserve">Profitability-Induced</w:t>
      </w:r>
      <w:r>
        <w:t xml:space="preserve"> </w:t>
      </w:r>
      <w:r>
        <w:t xml:space="preserve">Provider</w:t>
      </w:r>
      <w:r>
        <w:t xml:space="preserve"> </w:t>
      </w:r>
      <w:r>
        <w:t xml:space="preserve">Churn</w:t>
      </w:r>
    </w:p>
    <w:p>
      <w:pPr>
        <w:pStyle w:val="FirstParagraph"/>
      </w:pPr>
      <w:r>
        <w:t xml:space="preserve">Definition:</w:t>
      </w:r>
      <w:r>
        <w:br/>
      </w:r>
      <w:r>
        <w:t xml:space="preserve">Profitability-induced provider churn refers to accelerated provider</w:t>
      </w:r>
      <w:r>
        <w:t xml:space="preserve"> </w:t>
      </w:r>
      <w:r>
        <w:t xml:space="preserve">exit driven by sustained negative or marginal profitability, independent</w:t>
      </w:r>
      <w:r>
        <w:t xml:space="preserve"> </w:t>
      </w:r>
      <w:r>
        <w:t xml:space="preserve">of abrupt market shocks.</w:t>
      </w:r>
    </w:p>
    <w:p>
      <w:pPr>
        <w:pStyle w:val="BodyText"/>
      </w:pPr>
      <w:r>
        <w:t xml:space="preserve">Operational indicators:</w:t>
      </w:r>
    </w:p>
    <w:p>
      <w:pPr>
        <w:numPr>
          <w:ilvl w:val="0"/>
          <w:numId w:val="1027"/>
        </w:numPr>
      </w:pPr>
      <w:r>
        <w:t xml:space="preserve">Average provider profit crossing below zero for multiple consecutive</w:t>
      </w:r>
      <w:r>
        <w:t xml:space="preserve"> </w:t>
      </w:r>
      <w:r>
        <w:t xml:space="preserve">periods.</w:t>
      </w:r>
    </w:p>
    <w:p>
      <w:pPr>
        <w:numPr>
          <w:ilvl w:val="0"/>
          <w:numId w:val="1027"/>
        </w:numPr>
      </w:pPr>
      <w:r>
        <w:t xml:space="preserve">Gradual increase in churn count relative to baseline.</w:t>
      </w:r>
    </w:p>
    <w:p>
      <w:pPr>
        <w:numPr>
          <w:ilvl w:val="0"/>
          <w:numId w:val="1027"/>
        </w:numPr>
      </w:pPr>
      <w:r>
        <w:t xml:space="preserve">Divergence between provider count trajectories and baseline without</w:t>
      </w:r>
      <w:r>
        <w:t xml:space="preserve"> </w:t>
      </w:r>
      <w:r>
        <w:t xml:space="preserve">corresponding demand or price shocks.</w:t>
      </w:r>
    </w:p>
    <w:p>
      <w:pPr>
        <w:numPr>
          <w:ilvl w:val="0"/>
          <w:numId w:val="1027"/>
        </w:numPr>
      </w:pPr>
      <w:r>
        <w:t xml:space="preserve">Increasing dispersion in provider-level outcomes across simulations.</w:t>
      </w:r>
    </w:p>
    <w:p>
      <w:pPr>
        <w:pStyle w:val="FirstParagraph"/>
      </w:pPr>
      <w:r>
        <w:t xml:space="preserve">Observed context:</w:t>
      </w:r>
      <w:r>
        <w:br/>
      </w:r>
      <w:r>
        <w:t xml:space="preserve">This failure mode is prominent in provider cost inflation and</w:t>
      </w:r>
      <w:r>
        <w:t xml:space="preserve"> </w:t>
      </w:r>
      <w:r>
        <w:t xml:space="preserve">competitive yield pressure scenarios, where economic pressure</w:t>
      </w:r>
      <w:r>
        <w:t xml:space="preserve"> </w:t>
      </w:r>
      <w:r>
        <w:t xml:space="preserve">accumulates slowly rather than arriving as a discrete event.</w:t>
      </w:r>
    </w:p>
    <w:bookmarkEnd w:id="85"/>
    <w:bookmarkStart w:id="86" w:name="liquidity-driven-incentive-compression"/>
    <w:p>
      <w:pPr>
        <w:pStyle w:val="Heading3"/>
      </w:pPr>
      <w:r>
        <w:t xml:space="preserve">Liquidity-Driven Incentive</w:t>
      </w:r>
      <w:r>
        <w:t xml:space="preserve"> </w:t>
      </w:r>
      <w:r>
        <w:t xml:space="preserve">Compression</w:t>
      </w:r>
    </w:p>
    <w:p>
      <w:pPr>
        <w:pStyle w:val="FirstParagraph"/>
      </w:pPr>
      <w:r>
        <w:t xml:space="preserve">Definition:</w:t>
      </w:r>
      <w:r>
        <w:br/>
      </w:r>
      <w:r>
        <w:t xml:space="preserve">Liquidity-driven incentive compression occurs when abrupt price</w:t>
      </w:r>
      <w:r>
        <w:t xml:space="preserve"> </w:t>
      </w:r>
      <w:r>
        <w:t xml:space="preserve">declines reduce the real value of token-denominated rewards, leading to</w:t>
      </w:r>
      <w:r>
        <w:t xml:space="preserve"> </w:t>
      </w:r>
      <w:r>
        <w:t xml:space="preserve">downstream effects on provider participation despite unchanged nominal</w:t>
      </w:r>
      <w:r>
        <w:t xml:space="preserve"> </w:t>
      </w:r>
      <w:r>
        <w:t xml:space="preserve">reward structures.</w:t>
      </w:r>
    </w:p>
    <w:p>
      <w:pPr>
        <w:pStyle w:val="BodyText"/>
      </w:pPr>
      <w:r>
        <w:t xml:space="preserve">Operational indicators:</w:t>
      </w:r>
    </w:p>
    <w:p>
      <w:pPr>
        <w:numPr>
          <w:ilvl w:val="0"/>
          <w:numId w:val="1028"/>
        </w:numPr>
      </w:pPr>
      <w:r>
        <w:t xml:space="preserve">Sharp, localized price drawdowns coinciding with liquidity events.</w:t>
      </w:r>
    </w:p>
    <w:p>
      <w:pPr>
        <w:numPr>
          <w:ilvl w:val="0"/>
          <w:numId w:val="1028"/>
        </w:numPr>
      </w:pPr>
      <w:r>
        <w:t xml:space="preserve">Lagged decline in average provider profit following price shocks.</w:t>
      </w:r>
    </w:p>
    <w:p>
      <w:pPr>
        <w:numPr>
          <w:ilvl w:val="0"/>
          <w:numId w:val="1028"/>
        </w:numPr>
      </w:pPr>
      <w:r>
        <w:t xml:space="preserve">Increased churn after reward distribution cycles.</w:t>
      </w:r>
    </w:p>
    <w:p>
      <w:pPr>
        <w:numPr>
          <w:ilvl w:val="0"/>
          <w:numId w:val="1028"/>
        </w:numPr>
      </w:pPr>
      <w:r>
        <w:t xml:space="preserve">Temporary decoupling between utilization/capacity metrics and provider</w:t>
      </w:r>
      <w:r>
        <w:t xml:space="preserve"> </w:t>
      </w:r>
      <w:r>
        <w:t xml:space="preserve">participation.</w:t>
      </w:r>
    </w:p>
    <w:p>
      <w:pPr>
        <w:pStyle w:val="FirstParagraph"/>
      </w:pPr>
      <w:r>
        <w:t xml:space="preserve">Observed context:</w:t>
      </w:r>
      <w:r>
        <w:br/>
      </w:r>
      <w:r>
        <w:t xml:space="preserve">This pattern emerges most clearly in liquidity shock scenarios, where</w:t>
      </w:r>
      <w:r>
        <w:t xml:space="preserve"> </w:t>
      </w:r>
      <w:r>
        <w:t xml:space="preserve">price volatility precedes changes in provider behavior. The delayed</w:t>
      </w:r>
      <w:r>
        <w:t xml:space="preserve"> </w:t>
      </w:r>
      <w:r>
        <w:t xml:space="preserve">response highlights the indirect transmission of market stress into</w:t>
      </w:r>
      <w:r>
        <w:t xml:space="preserve"> </w:t>
      </w:r>
      <w:r>
        <w:t xml:space="preserve">infrastructure-level outcomes.</w:t>
      </w:r>
    </w:p>
    <w:bookmarkEnd w:id="86"/>
    <w:bookmarkStart w:id="87" w:name="Xc1ba9f84fb822490bcc66674a3cca3ef9e08785"/>
    <w:p>
      <w:pPr>
        <w:pStyle w:val="Heading3"/>
      </w:pPr>
      <w:r>
        <w:t xml:space="preserve">Elastic Provider Exit Under</w:t>
      </w:r>
      <w:r>
        <w:t xml:space="preserve"> </w:t>
      </w:r>
      <w:r>
        <w:t xml:space="preserve">External Yield</w:t>
      </w:r>
      <w:r>
        <w:t xml:space="preserve"> </w:t>
      </w:r>
      <w:r>
        <w:t xml:space="preserve">Pressure</w:t>
      </w:r>
    </w:p>
    <w:p>
      <w:pPr>
        <w:pStyle w:val="FirstParagraph"/>
      </w:pPr>
      <w:r>
        <w:t xml:space="preserve">Definition:</w:t>
      </w:r>
      <w:r>
        <w:br/>
      </w:r>
      <w:r>
        <w:t xml:space="preserve">Elastic provider exit describes heightened sensitivity of provider</w:t>
      </w:r>
      <w:r>
        <w:t xml:space="preserve"> </w:t>
      </w:r>
      <w:r>
        <w:t xml:space="preserve">participation to marginal changes in relative yield, resulting in</w:t>
      </w:r>
      <w:r>
        <w:t xml:space="preserve"> </w:t>
      </w:r>
      <w:r>
        <w:t xml:space="preserve">sustained attrition without dramatic price or demand movements.</w:t>
      </w:r>
    </w:p>
    <w:p>
      <w:pPr>
        <w:pStyle w:val="BodyText"/>
      </w:pPr>
      <w:r>
        <w:t xml:space="preserve">Operational indicators:</w:t>
      </w:r>
    </w:p>
    <w:p>
      <w:pPr>
        <w:numPr>
          <w:ilvl w:val="0"/>
          <w:numId w:val="1029"/>
        </w:numPr>
      </w:pPr>
      <w:r>
        <w:t xml:space="preserve">Elevated churn rates under competitive yield pressure relative to</w:t>
      </w:r>
      <w:r>
        <w:t xml:space="preserve"> </w:t>
      </w:r>
      <w:r>
        <w:t xml:space="preserve">baseline.</w:t>
      </w:r>
    </w:p>
    <w:p>
      <w:pPr>
        <w:numPr>
          <w:ilvl w:val="0"/>
          <w:numId w:val="1029"/>
        </w:numPr>
      </w:pPr>
      <w:r>
        <w:t xml:space="preserve">Minimal contemporaneous changes in token price or utilization.</w:t>
      </w:r>
    </w:p>
    <w:p>
      <w:pPr>
        <w:numPr>
          <w:ilvl w:val="0"/>
          <w:numId w:val="1029"/>
        </w:numPr>
      </w:pPr>
      <w:r>
        <w:t xml:space="preserve">Increasing dispersion in provider retention outcomes.</w:t>
      </w:r>
    </w:p>
    <w:p>
      <w:pPr>
        <w:numPr>
          <w:ilvl w:val="0"/>
          <w:numId w:val="1029"/>
        </w:numPr>
      </w:pPr>
      <w:r>
        <w:t xml:space="preserve">Gradual erosion of provider count rather than abrupt collapse.</w:t>
      </w:r>
    </w:p>
    <w:p>
      <w:pPr>
        <w:pStyle w:val="FirstParagraph"/>
      </w:pPr>
      <w:r>
        <w:t xml:space="preserve">Observed context:</w:t>
      </w:r>
      <w:r>
        <w:br/>
      </w:r>
      <w:r>
        <w:t xml:space="preserve">This failure mode is observed when alternative opportunities are</w:t>
      </w:r>
      <w:r>
        <w:t xml:space="preserve"> </w:t>
      </w:r>
      <w:r>
        <w:t xml:space="preserve">introduced, even in the absence of internal protocol stress. It reflects</w:t>
      </w:r>
      <w:r>
        <w:t xml:space="preserve"> </w:t>
      </w:r>
      <w:r>
        <w:t xml:space="preserve">the substitutability of provider capital and labor across competing</w:t>
      </w:r>
      <w:r>
        <w:t xml:space="preserve"> </w:t>
      </w:r>
      <w:r>
        <w:t xml:space="preserve">networks.</w:t>
      </w:r>
    </w:p>
    <w:bookmarkEnd w:id="87"/>
    <w:bookmarkStart w:id="88" w:name="latent-capacity-degradation"/>
    <w:p>
      <w:pPr>
        <w:pStyle w:val="Heading3"/>
      </w:pPr>
      <w:r>
        <w:t xml:space="preserve">Latent Capacity</w:t>
      </w:r>
      <w:r>
        <w:t xml:space="preserve"> </w:t>
      </w:r>
      <w:r>
        <w:t xml:space="preserve">Degradation</w:t>
      </w:r>
    </w:p>
    <w:p>
      <w:pPr>
        <w:pStyle w:val="FirstParagraph"/>
      </w:pPr>
      <w:r>
        <w:t xml:space="preserve">Definition:</w:t>
      </w:r>
      <w:r>
        <w:br/>
      </w:r>
      <w:r>
        <w:t xml:space="preserve">Latent capacity degradation refers to delayed reductions in service</w:t>
      </w:r>
      <w:r>
        <w:t xml:space="preserve"> </w:t>
      </w:r>
      <w:r>
        <w:t xml:space="preserve">capacity that follow earlier provider exits, resulting in a temporal gap</w:t>
      </w:r>
      <w:r>
        <w:t xml:space="preserve"> </w:t>
      </w:r>
      <w:r>
        <w:t xml:space="preserve">between economic stress and observable service degradation.</w:t>
      </w:r>
    </w:p>
    <w:p>
      <w:pPr>
        <w:pStyle w:val="BodyText"/>
      </w:pPr>
      <w:r>
        <w:t xml:space="preserve">Operational indicators:</w:t>
      </w:r>
    </w:p>
    <w:p>
      <w:pPr>
        <w:numPr>
          <w:ilvl w:val="0"/>
          <w:numId w:val="1030"/>
        </w:numPr>
      </w:pPr>
      <w:r>
        <w:t xml:space="preserve">Provider count declines preceding reductions in aggregate capacity.</w:t>
      </w:r>
    </w:p>
    <w:p>
      <w:pPr>
        <w:numPr>
          <w:ilvl w:val="0"/>
          <w:numId w:val="1030"/>
        </w:numPr>
      </w:pPr>
      <w:r>
        <w:t xml:space="preserve">Stable utilization metrics masking declining redundancy.</w:t>
      </w:r>
    </w:p>
    <w:p>
      <w:pPr>
        <w:numPr>
          <w:ilvl w:val="0"/>
          <w:numId w:val="1030"/>
        </w:numPr>
      </w:pPr>
      <w:r>
        <w:t xml:space="preserve">Capacity drops occurring several periods after profitability-induced</w:t>
      </w:r>
      <w:r>
        <w:t xml:space="preserve"> </w:t>
      </w:r>
      <w:r>
        <w:t xml:space="preserve">churn.</w:t>
      </w:r>
    </w:p>
    <w:p>
      <w:pPr>
        <w:numPr>
          <w:ilvl w:val="0"/>
          <w:numId w:val="1030"/>
        </w:numPr>
      </w:pPr>
      <w:r>
        <w:t xml:space="preserve">Reduced resilience to subsequent demand or liquidity shocks.</w:t>
      </w:r>
    </w:p>
    <w:p>
      <w:pPr>
        <w:pStyle w:val="FirstParagraph"/>
      </w:pPr>
      <w:r>
        <w:t xml:space="preserve">Observed context:</w:t>
      </w:r>
      <w:r>
        <w:br/>
      </w:r>
      <w:r>
        <w:t xml:space="preserve">This pattern appears across multiple stress scenarios and highlights</w:t>
      </w:r>
      <w:r>
        <w:t xml:space="preserve"> </w:t>
      </w:r>
      <w:r>
        <w:t xml:space="preserve">the non-instantaneous relationship between provider economics and</w:t>
      </w:r>
      <w:r>
        <w:t xml:space="preserve"> </w:t>
      </w:r>
      <w:r>
        <w:t xml:space="preserve">service-level outcomes in infrastructure-based systems.</w:t>
      </w:r>
    </w:p>
    <w:bookmarkEnd w:id="88"/>
    <w:bookmarkStart w:id="89" w:name="role-of-failure-mode-definitions"/>
    <w:p>
      <w:pPr>
        <w:pStyle w:val="Heading3"/>
      </w:pPr>
      <w:r>
        <w:t xml:space="preserve">Role of Failure Mode</w:t>
      </w:r>
      <w:r>
        <w:t xml:space="preserve"> </w:t>
      </w:r>
      <w:r>
        <w:t xml:space="preserve">Definitions</w:t>
      </w:r>
    </w:p>
    <w:p>
      <w:pPr>
        <w:pStyle w:val="FirstParagraph"/>
      </w:pPr>
      <w:r>
        <w:t xml:space="preserve">These failure modes do not imply protocol failure in an absolute sense.</w:t>
      </w:r>
      <w:r>
        <w:t xml:space="preserve"> </w:t>
      </w:r>
      <w:r>
        <w:t xml:space="preserve">Rather, they represent</w:t>
      </w:r>
      <w:r>
        <w:t xml:space="preserve"> </w:t>
      </w:r>
      <w:r>
        <w:rPr>
          <w:i/>
          <w:iCs/>
        </w:rPr>
        <w:t xml:space="preserve">structural stress signatures</w:t>
      </w:r>
      <w:r>
        <w:t xml:space="preserve"> </w:t>
      </w:r>
      <w:r>
        <w:t xml:space="preserve">that can</w:t>
      </w:r>
      <w:r>
        <w:t xml:space="preserve"> </w:t>
      </w:r>
      <w:r>
        <w:t xml:space="preserve">accumulate, interact, and amplify under adverse conditions. By defining</w:t>
      </w:r>
      <w:r>
        <w:t xml:space="preserve"> </w:t>
      </w:r>
      <w:r>
        <w:t xml:space="preserve">failure modes operationally, the analysis enables systematic comparison</w:t>
      </w:r>
      <w:r>
        <w:t xml:space="preserve"> </w:t>
      </w:r>
      <w:r>
        <w:t xml:space="preserve">across DePIN designs and provides a foundation for evaluating mitigation</w:t>
      </w:r>
      <w:r>
        <w:t xml:space="preserve"> </w:t>
      </w:r>
      <w:r>
        <w:t xml:space="preserve">strategies in subsequent sections.</w:t>
      </w:r>
    </w:p>
    <w:bookmarkEnd w:id="89"/>
    <w:bookmarkEnd w:id="90"/>
    <w:bookmarkStart w:id="97" w:name="Xe3fedb168e2be468bd1ca247c6e91d37389b892"/>
    <w:p>
      <w:pPr>
        <w:pStyle w:val="Heading2"/>
      </w:pPr>
      <w:r>
        <w:t xml:space="preserve">Implications for Builders (Design Recommendations)</w:t>
      </w:r>
    </w:p>
    <w:p>
      <w:pPr>
        <w:pStyle w:val="FirstParagraph"/>
      </w:pPr>
      <w:r>
        <w:t xml:space="preserve">The stress-testing results and observed failure modes presented in</w:t>
      </w:r>
      <w:r>
        <w:t xml:space="preserve"> </w:t>
      </w:r>
      <w:r>
        <w:t xml:space="preserve">Section 6 highlight several recurring design tensions inherent to DePIN</w:t>
      </w:r>
      <w:r>
        <w:t xml:space="preserve"> </w:t>
      </w:r>
      <w:r>
        <w:t xml:space="preserve">tokenomic systems. These implications are not prescriptive blueprints,</w:t>
      </w:r>
      <w:r>
        <w:t xml:space="preserve"> </w:t>
      </w:r>
      <w:r>
        <w:t xml:space="preserve">but design considerations derived from empirically observed behavior</w:t>
      </w:r>
      <w:r>
        <w:t xml:space="preserve"> </w:t>
      </w:r>
      <w:r>
        <w:t xml:space="preserve">under adverse conditions. They are intended to inform protocol designers</w:t>
      </w:r>
      <w:r>
        <w:t xml:space="preserve"> </w:t>
      </w:r>
      <w:r>
        <w:t xml:space="preserve">about where fragility tends to emerge and which mechanisms warrant</w:t>
      </w:r>
      <w:r>
        <w:t xml:space="preserve"> </w:t>
      </w:r>
      <w:r>
        <w:t xml:space="preserve">particular attention during design and iteration.</w:t>
      </w:r>
    </w:p>
    <w:bookmarkStart w:id="91" w:name="X602da2a5064db4f36be7a7b64eb3e73849ae9a9"/>
    <w:p>
      <w:pPr>
        <w:pStyle w:val="Heading3"/>
      </w:pPr>
      <w:r>
        <w:t xml:space="preserve">Align Emissions More Tightly with Realized</w:t>
      </w:r>
      <w:r>
        <w:t xml:space="preserve"> </w:t>
      </w:r>
      <w:r>
        <w:t xml:space="preserve">Demand</w:t>
      </w:r>
    </w:p>
    <w:p>
      <w:pPr>
        <w:pStyle w:val="FirstParagraph"/>
      </w:pPr>
      <w:r>
        <w:t xml:space="preserve">One of the most consistently observed failure modes is reward–demand</w:t>
      </w:r>
      <w:r>
        <w:t xml:space="preserve"> </w:t>
      </w:r>
      <w:r>
        <w:t xml:space="preserve">decoupling, in which emissions and rewards persist despite declining</w:t>
      </w:r>
      <w:r>
        <w:t xml:space="preserve"> </w:t>
      </w:r>
      <w:r>
        <w:t xml:space="preserve">utilization. This suggests that fixed or weakly demand-sensitive</w:t>
      </w:r>
      <w:r>
        <w:t xml:space="preserve"> </w:t>
      </w:r>
      <w:r>
        <w:t xml:space="preserve">emission schedules can amplify stress during periods of demand</w:t>
      </w:r>
      <w:r>
        <w:t xml:space="preserve"> </w:t>
      </w:r>
      <w:r>
        <w:t xml:space="preserve">contraction.</w:t>
      </w:r>
    </w:p>
    <w:p>
      <w:pPr>
        <w:pStyle w:val="BodyText"/>
      </w:pPr>
      <w:r>
        <w:t xml:space="preserve">Design implication:</w:t>
      </w:r>
      <w:r>
        <w:br/>
      </w:r>
      <w:r>
        <w:t xml:space="preserve">Builders should prioritize emission mechanisms that respond meaningfully</w:t>
      </w:r>
      <w:r>
        <w:t xml:space="preserve"> </w:t>
      </w:r>
      <w:r>
        <w:t xml:space="preserve">to realized service usage rather than to participation alone. Emission</w:t>
      </w:r>
      <w:r>
        <w:t xml:space="preserve"> </w:t>
      </w:r>
      <w:r>
        <w:t xml:space="preserve">logic that adapts to utilization or burn-linked signals can reduce the</w:t>
      </w:r>
      <w:r>
        <w:t xml:space="preserve"> </w:t>
      </w:r>
      <w:r>
        <w:t xml:space="preserve">accumulation of excess supply during downturns and delay the onset of</w:t>
      </w:r>
      <w:r>
        <w:t xml:space="preserve"> </w:t>
      </w:r>
      <w:r>
        <w:t xml:space="preserve">profitability-induced churn.</w:t>
      </w:r>
    </w:p>
    <w:p>
      <w:pPr>
        <w:pStyle w:val="BodyText"/>
      </w:pPr>
      <w:r>
        <w:t xml:space="preserve">This does not imply fully reactive or highly volatile emissions, but</w:t>
      </w:r>
      <w:r>
        <w:t xml:space="preserve"> </w:t>
      </w:r>
      <w:r>
        <w:t xml:space="preserve">rather bounded responsiveness that maintains incentive alignment when</w:t>
      </w:r>
      <w:r>
        <w:t xml:space="preserve"> </w:t>
      </w:r>
      <w:r>
        <w:t xml:space="preserve">demand deviates from growth assumptions.</w:t>
      </w:r>
    </w:p>
    <w:bookmarkEnd w:id="91"/>
    <w:bookmarkStart w:id="92" w:name="X394c8eb7d8b658cb10cfa7c5aa415d4bc7fd278"/>
    <w:p>
      <w:pPr>
        <w:pStyle w:val="Heading3"/>
      </w:pPr>
      <w:r>
        <w:t xml:space="preserve">Design for Provider Margin</w:t>
      </w:r>
      <w:r>
        <w:t xml:space="preserve"> </w:t>
      </w:r>
      <w:r>
        <w:t xml:space="preserve">Resilience, Not Peak</w:t>
      </w:r>
      <w:r>
        <w:t xml:space="preserve"> </w:t>
      </w:r>
      <w:r>
        <w:t xml:space="preserve">Returns</w:t>
      </w:r>
    </w:p>
    <w:p>
      <w:pPr>
        <w:pStyle w:val="FirstParagraph"/>
      </w:pPr>
      <w:r>
        <w:t xml:space="preserve">Across multiple scenarios, provider exit is driven less by short-term</w:t>
      </w:r>
      <w:r>
        <w:t xml:space="preserve"> </w:t>
      </w:r>
      <w:r>
        <w:t xml:space="preserve">volatility and more by sustained margin compression. Once average</w:t>
      </w:r>
      <w:r>
        <w:t xml:space="preserve"> </w:t>
      </w:r>
      <w:r>
        <w:t xml:space="preserve">provider profitability crosses below zero for extended periods, churn</w:t>
      </w:r>
      <w:r>
        <w:t xml:space="preserve"> </w:t>
      </w:r>
      <w:r>
        <w:t xml:space="preserve">accelerates even in the absence of dramatic market shocks.</w:t>
      </w:r>
    </w:p>
    <w:p>
      <w:pPr>
        <w:pStyle w:val="BodyText"/>
      </w:pPr>
      <w:r>
        <w:t xml:space="preserve">Design implication:</w:t>
      </w:r>
      <w:r>
        <w:br/>
      </w:r>
      <w:r>
        <w:t xml:space="preserve">Tokenomic systems should be evaluated against downside margin scenarios</w:t>
      </w:r>
      <w:r>
        <w:t xml:space="preserve"> </w:t>
      </w:r>
      <w:r>
        <w:t xml:space="preserve">rather than upside reward narratives. Builders should stress-test</w:t>
      </w:r>
      <w:r>
        <w:t xml:space="preserve"> </w:t>
      </w:r>
      <w:r>
        <w:t xml:space="preserve">provider economics under elevated costs, reduced demand, and compressed</w:t>
      </w:r>
      <w:r>
        <w:t xml:space="preserve"> </w:t>
      </w:r>
      <w:r>
        <w:t xml:space="preserve">prices to ensure that a meaningful subset of providers remains</w:t>
      </w:r>
      <w:r>
        <w:t xml:space="preserve"> </w:t>
      </w:r>
      <w:r>
        <w:t xml:space="preserve">marginally profitable under adverse conditions.</w:t>
      </w:r>
    </w:p>
    <w:p>
      <w:pPr>
        <w:pStyle w:val="BodyText"/>
      </w:pPr>
      <w:r>
        <w:t xml:space="preserve">This may involve conservative reward baselines, differentiated</w:t>
      </w:r>
      <w:r>
        <w:t xml:space="preserve"> </w:t>
      </w:r>
      <w:r>
        <w:t xml:space="preserve">incentives for higher-commitment providers, or mechanisms that reduce</w:t>
      </w:r>
      <w:r>
        <w:t xml:space="preserve"> </w:t>
      </w:r>
      <w:r>
        <w:t xml:space="preserve">cost exposure during unfavorable regimes.</w:t>
      </w:r>
    </w:p>
    <w:bookmarkEnd w:id="92"/>
    <w:bookmarkStart w:id="93" w:name="X47145e079c7ad889e56e6de5a26bab204c00ea5"/>
    <w:p>
      <w:pPr>
        <w:pStyle w:val="Heading3"/>
      </w:pPr>
      <w:r>
        <w:t xml:space="preserve">Treat Liquidity Events as</w:t>
      </w:r>
      <w:r>
        <w:t xml:space="preserve"> </w:t>
      </w:r>
      <w:r>
        <w:t xml:space="preserve">Infrastructure Risks, Not Just Market</w:t>
      </w:r>
      <w:r>
        <w:t xml:space="preserve"> </w:t>
      </w:r>
      <w:r>
        <w:t xml:space="preserve">Events</w:t>
      </w:r>
    </w:p>
    <w:p>
      <w:pPr>
        <w:pStyle w:val="FirstParagraph"/>
      </w:pPr>
      <w:r>
        <w:t xml:space="preserve">Liquidity shocks primarily manifest as price events, but their</w:t>
      </w:r>
      <w:r>
        <w:t xml:space="preserve"> </w:t>
      </w:r>
      <w:r>
        <w:t xml:space="preserve">downstream effects on provider participation reveal that they function</w:t>
      </w:r>
      <w:r>
        <w:t xml:space="preserve"> </w:t>
      </w:r>
      <w:r>
        <w:t xml:space="preserve">as infrastructure risks. The lagged response between price declines and</w:t>
      </w:r>
      <w:r>
        <w:t xml:space="preserve"> </w:t>
      </w:r>
      <w:r>
        <w:t xml:space="preserve">provider churn suggests that market stress propagates through reward</w:t>
      </w:r>
      <w:r>
        <w:t xml:space="preserve"> </w:t>
      </w:r>
      <w:r>
        <w:t xml:space="preserve">valuation rather than immediate behavioral reaction.</w:t>
      </w:r>
    </w:p>
    <w:p>
      <w:pPr>
        <w:pStyle w:val="BodyText"/>
      </w:pPr>
      <w:r>
        <w:t xml:space="preserve">Design implication:</w:t>
      </w:r>
      <w:r>
        <w:br/>
      </w:r>
      <w:r>
        <w:t xml:space="preserve">Builders should explicitly account for liquidity events when designing</w:t>
      </w:r>
      <w:r>
        <w:t xml:space="preserve"> </w:t>
      </w:r>
      <w:r>
        <w:t xml:space="preserve">reward distribution and treasury strategies. Mechanisms that smooth</w:t>
      </w:r>
      <w:r>
        <w:t xml:space="preserve"> </w:t>
      </w:r>
      <w:r>
        <w:t xml:space="preserve">reward value, delay exposure to price shocks, or introduce buffers</w:t>
      </w:r>
      <w:r>
        <w:t xml:space="preserve"> </w:t>
      </w:r>
      <w:r>
        <w:t xml:space="preserve">between market volatility and provider compensation can reduce the</w:t>
      </w:r>
      <w:r>
        <w:t xml:space="preserve"> </w:t>
      </w:r>
      <w:r>
        <w:t xml:space="preserve">indirect transmission of liquidity stress into infrastructure attrition.</w:t>
      </w:r>
    </w:p>
    <w:p>
      <w:pPr>
        <w:pStyle w:val="BodyText"/>
      </w:pPr>
      <w:r>
        <w:t xml:space="preserve">Ignoring liquidity dynamics as</w:t>
      </w:r>
      <w:r>
        <w:t xml:space="preserve"> </w:t>
      </w:r>
      <w:r>
        <w:t xml:space="preserve">“external”</w:t>
      </w:r>
      <w:r>
        <w:t xml:space="preserve"> </w:t>
      </w:r>
      <w:r>
        <w:t xml:space="preserve">risks underestimates their</w:t>
      </w:r>
      <w:r>
        <w:t xml:space="preserve"> </w:t>
      </w:r>
      <w:r>
        <w:t xml:space="preserve">impact on long-term network stability.</w:t>
      </w:r>
    </w:p>
    <w:bookmarkEnd w:id="93"/>
    <w:bookmarkStart w:id="94" w:name="assume-provider-capital-is-mobile"/>
    <w:p>
      <w:pPr>
        <w:pStyle w:val="Heading3"/>
      </w:pPr>
      <w:r>
        <w:t xml:space="preserve">Assume Provider Capital Is</w:t>
      </w:r>
      <w:r>
        <w:t xml:space="preserve"> </w:t>
      </w:r>
      <w:r>
        <w:t xml:space="preserve">Mobile</w:t>
      </w:r>
    </w:p>
    <w:p>
      <w:pPr>
        <w:pStyle w:val="FirstParagraph"/>
      </w:pPr>
      <w:r>
        <w:t xml:space="preserve">Competitive yield pressure demonstrates that provider participation is</w:t>
      </w:r>
      <w:r>
        <w:t xml:space="preserve"> </w:t>
      </w:r>
      <w:r>
        <w:t xml:space="preserve">often elastic, even when demand and protocol fundamentals remain</w:t>
      </w:r>
      <w:r>
        <w:t xml:space="preserve"> </w:t>
      </w:r>
      <w:r>
        <w:t xml:space="preserve">unchanged. Providers compare returns across networks, and small relative</w:t>
      </w:r>
      <w:r>
        <w:t xml:space="preserve"> </w:t>
      </w:r>
      <w:r>
        <w:t xml:space="preserve">differences can lead to sustained attrition over time.</w:t>
      </w:r>
    </w:p>
    <w:p>
      <w:pPr>
        <w:pStyle w:val="BodyText"/>
      </w:pPr>
      <w:r>
        <w:t xml:space="preserve">Design implication:</w:t>
      </w:r>
      <w:r>
        <w:br/>
      </w:r>
      <w:r>
        <w:t xml:space="preserve">DePIN tokenomics should be designed with the assumption that provider</w:t>
      </w:r>
      <w:r>
        <w:t xml:space="preserve"> </w:t>
      </w:r>
      <w:r>
        <w:t xml:space="preserve">capital and labor are mobile. Retention should not rely solely on</w:t>
      </w:r>
      <w:r>
        <w:t xml:space="preserve"> </w:t>
      </w:r>
      <w:r>
        <w:t xml:space="preserve">short-term reward competitiveness but should incorporate mechanisms that</w:t>
      </w:r>
      <w:r>
        <w:t xml:space="preserve"> </w:t>
      </w:r>
      <w:r>
        <w:t xml:space="preserve">reward persistence, commitment, or sunk-cost investments where</w:t>
      </w:r>
      <w:r>
        <w:t xml:space="preserve"> </w:t>
      </w:r>
      <w:r>
        <w:t xml:space="preserve">appropriate.</w:t>
      </w:r>
    </w:p>
    <w:p>
      <w:pPr>
        <w:pStyle w:val="BodyText"/>
      </w:pPr>
      <w:r>
        <w:t xml:space="preserve">This may include tenure-based incentives, differentiated rewards by</w:t>
      </w:r>
      <w:r>
        <w:t xml:space="preserve"> </w:t>
      </w:r>
      <w:r>
        <w:t xml:space="preserve">hardware tier, or gradual reward vesting that aligns provider time</w:t>
      </w:r>
      <w:r>
        <w:t xml:space="preserve"> </w:t>
      </w:r>
      <w:r>
        <w:t xml:space="preserve">horizons with network needs.</w:t>
      </w:r>
    </w:p>
    <w:bookmarkEnd w:id="94"/>
    <w:bookmarkStart w:id="95" w:name="X1ceb0b31f3a3272a91f32ab0bd22dfcea71e7aa"/>
    <w:p>
      <w:pPr>
        <w:pStyle w:val="Heading3"/>
      </w:pPr>
      <w:r>
        <w:t xml:space="preserve">Account for Delayed</w:t>
      </w:r>
      <w:r>
        <w:t xml:space="preserve"> </w:t>
      </w:r>
      <w:r>
        <w:t xml:space="preserve">Infrastructure</w:t>
      </w:r>
      <w:r>
        <w:t xml:space="preserve"> </w:t>
      </w:r>
      <w:r>
        <w:t xml:space="preserve">Degradation</w:t>
      </w:r>
    </w:p>
    <w:p>
      <w:pPr>
        <w:pStyle w:val="FirstParagraph"/>
      </w:pPr>
      <w:r>
        <w:t xml:space="preserve">Latent capacity degradation highlights a structural characteristic of</w:t>
      </w:r>
      <w:r>
        <w:t xml:space="preserve"> </w:t>
      </w:r>
      <w:r>
        <w:t xml:space="preserve">DePIN systems: infrastructure quality may appear stable even as economic</w:t>
      </w:r>
      <w:r>
        <w:t xml:space="preserve"> </w:t>
      </w:r>
      <w:r>
        <w:t xml:space="preserve">stress accumulates. By the time capacity reductions become visible,</w:t>
      </w:r>
      <w:r>
        <w:t xml:space="preserve"> </w:t>
      </w:r>
      <w:r>
        <w:t xml:space="preserve">recovery may be slow or costly due to physical deployment constraints.</w:t>
      </w:r>
    </w:p>
    <w:p>
      <w:pPr>
        <w:pStyle w:val="BodyText"/>
      </w:pPr>
      <w:r>
        <w:t xml:space="preserve">Design implication:</w:t>
      </w:r>
      <w:r>
        <w:br/>
      </w:r>
      <w:r>
        <w:t xml:space="preserve">Builders should monitor leading indicators of stress, such as declining</w:t>
      </w:r>
      <w:r>
        <w:t xml:space="preserve"> </w:t>
      </w:r>
      <w:r>
        <w:t xml:space="preserve">provider margins or increasing churn dispersion, rather than relying</w:t>
      </w:r>
      <w:r>
        <w:t xml:space="preserve"> </w:t>
      </w:r>
      <w:r>
        <w:t xml:space="preserve">solely on utilization or capacity metrics. Early-warning indicators</w:t>
      </w:r>
      <w:r>
        <w:t xml:space="preserve"> </w:t>
      </w:r>
      <w:r>
        <w:t xml:space="preserve">embedded in protocol analytics can provide time to adjust incentives</w:t>
      </w:r>
      <w:r>
        <w:t xml:space="preserve"> </w:t>
      </w:r>
      <w:r>
        <w:t xml:space="preserve">before service degradation becomes apparent.</w:t>
      </w:r>
    </w:p>
    <w:p>
      <w:pPr>
        <w:pStyle w:val="BodyText"/>
      </w:pPr>
      <w:r>
        <w:t xml:space="preserve">Designing for observability is therefore as important as designing for</w:t>
      </w:r>
      <w:r>
        <w:t xml:space="preserve"> </w:t>
      </w:r>
      <w:r>
        <w:t xml:space="preserve">incentives.</w:t>
      </w:r>
    </w:p>
    <w:bookmarkEnd w:id="95"/>
    <w:bookmarkStart w:id="96" w:name="positioning-note-important"/>
    <w:p>
      <w:pPr>
        <w:pStyle w:val="Heading3"/>
      </w:pPr>
      <w:r>
        <w:t xml:space="preserve">Positioning Note</w:t>
      </w:r>
      <w:r>
        <w:t xml:space="preserve"> </w:t>
      </w:r>
      <w:r>
        <w:t xml:space="preserve">(important)</w:t>
      </w:r>
    </w:p>
    <w:p>
      <w:pPr>
        <w:pStyle w:val="FirstParagraph"/>
      </w:pPr>
      <w:r>
        <w:t xml:space="preserve">These implications are intentionally framed as</w:t>
      </w:r>
      <w:r>
        <w:t xml:space="preserve"> </w:t>
      </w:r>
      <w:r>
        <w:rPr>
          <w:i/>
          <w:iCs/>
        </w:rPr>
        <w:t xml:space="preserve">design</w:t>
      </w:r>
      <w:r>
        <w:rPr>
          <w:i/>
          <w:iCs/>
        </w:rPr>
        <w:t xml:space="preserve"> </w:t>
      </w:r>
      <w:r>
        <w:rPr>
          <w:i/>
          <w:iCs/>
        </w:rPr>
        <w:t xml:space="preserve">considerations</w:t>
      </w:r>
      <w:r>
        <w:t xml:space="preserve">, not as claims of optimality. They reflect tendencies</w:t>
      </w:r>
      <w:r>
        <w:t xml:space="preserve"> </w:t>
      </w:r>
      <w:r>
        <w:t xml:space="preserve">observed across modeled systems under standardized stress conditions and</w:t>
      </w:r>
      <w:r>
        <w:t xml:space="preserve"> </w:t>
      </w:r>
      <w:r>
        <w:t xml:space="preserve">should be interpreted as guidance for further testing and refinement</w:t>
      </w:r>
      <w:r>
        <w:t xml:space="preserve"> </w:t>
      </w:r>
      <w:r>
        <w:t xml:space="preserve">rather than as universal rules.</w:t>
      </w:r>
    </w:p>
    <w:bookmarkEnd w:id="96"/>
    <w:bookmarkEnd w:id="97"/>
    <w:bookmarkStart w:id="104" w:name="X660243a0a2abc7c0a1a333995673237016a4506"/>
    <w:p>
      <w:pPr>
        <w:pStyle w:val="Heading2"/>
      </w:pPr>
      <w:r>
        <w:t xml:space="preserve">Implications for Onocoy</w:t>
      </w:r>
      <w:r>
        <w:t xml:space="preserve"> </w:t>
      </w:r>
      <w:r>
        <w:t xml:space="preserve">(Actionable</w:t>
      </w:r>
      <w:r>
        <w:t xml:space="preserve"> </w:t>
      </w:r>
      <w:r>
        <w:t xml:space="preserve">Suggestions)</w:t>
      </w:r>
    </w:p>
    <w:p>
      <w:pPr>
        <w:pStyle w:val="FirstParagraph"/>
      </w:pPr>
      <w:r>
        <w:t xml:space="preserve">The failure modes and stress responses observed in this study have</w:t>
      </w:r>
      <w:r>
        <w:t xml:space="preserve"> </w:t>
      </w:r>
      <w:r>
        <w:t xml:space="preserve">direct relevance for the Onocoy network, given its reliance on</w:t>
      </w:r>
      <w:r>
        <w:t xml:space="preserve"> </w:t>
      </w:r>
      <w:r>
        <w:t xml:space="preserve">physically deployed GNSS infrastructure and a token-based incentive</w:t>
      </w:r>
      <w:r>
        <w:t xml:space="preserve"> </w:t>
      </w:r>
      <w:r>
        <w:t xml:space="preserve">system. The following implications translate the general design</w:t>
      </w:r>
      <w:r>
        <w:t xml:space="preserve"> </w:t>
      </w:r>
      <w:r>
        <w:t xml:space="preserve">considerations outlined in Section 7.1 into Onocoy-specific suggestions.</w:t>
      </w:r>
      <w:r>
        <w:t xml:space="preserve"> </w:t>
      </w:r>
      <w:r>
        <w:t xml:space="preserve">These are not presented as prescriptions, but as areas where targeted</w:t>
      </w:r>
      <w:r>
        <w:t xml:space="preserve"> </w:t>
      </w:r>
      <w:r>
        <w:t xml:space="preserve">experimentation and monitoring could improve resilience under adverse</w:t>
      </w:r>
      <w:r>
        <w:t xml:space="preserve"> </w:t>
      </w:r>
      <w:r>
        <w:t xml:space="preserve">conditions.</w:t>
      </w:r>
    </w:p>
    <w:bookmarkStart w:id="98" w:name="X5c5262ee90619c90a6e8df4ad809a298834b16f"/>
    <w:p>
      <w:pPr>
        <w:pStyle w:val="Heading3"/>
      </w:pPr>
      <w:r>
        <w:t xml:space="preserve">Strengthen the Coupling</w:t>
      </w:r>
      <w:r>
        <w:t xml:space="preserve"> </w:t>
      </w:r>
      <w:r>
        <w:t xml:space="preserve">Between Usage and</w:t>
      </w:r>
      <w:r>
        <w:t xml:space="preserve"> </w:t>
      </w:r>
      <w:r>
        <w:t xml:space="preserve">Rewards</w:t>
      </w:r>
    </w:p>
    <w:p>
      <w:pPr>
        <w:pStyle w:val="FirstParagraph"/>
      </w:pPr>
      <w:r>
        <w:t xml:space="preserve">Baseline and stress simulations indicate that demand-linked metrics are</w:t>
      </w:r>
      <w:r>
        <w:t xml:space="preserve"> </w:t>
      </w:r>
      <w:r>
        <w:t xml:space="preserve">central to maintaining incentive alignment over time. For Onocoy, where</w:t>
      </w:r>
      <w:r>
        <w:t xml:space="preserve"> </w:t>
      </w:r>
      <w:r>
        <w:t xml:space="preserve">service usage can be measured with relatively high precision, there is</w:t>
      </w:r>
      <w:r>
        <w:t xml:space="preserve"> </w:t>
      </w:r>
      <w:r>
        <w:t xml:space="preserve">an opportunity to reinforce the relationship between realized RTK demand</w:t>
      </w:r>
      <w:r>
        <w:t xml:space="preserve"> </w:t>
      </w:r>
      <w:r>
        <w:t xml:space="preserve">and reward distribution.</w:t>
      </w:r>
    </w:p>
    <w:p>
      <w:pPr>
        <w:pStyle w:val="BodyText"/>
      </w:pPr>
      <w:r>
        <w:t xml:space="preserve">Actionable suggestion:</w:t>
      </w:r>
      <w:r>
        <w:br/>
      </w:r>
      <w:r>
        <w:t xml:space="preserve">Onocoy could explore mechanisms that increase the sensitivity of rewards</w:t>
      </w:r>
      <w:r>
        <w:t xml:space="preserve"> </w:t>
      </w:r>
      <w:r>
        <w:t xml:space="preserve">to verified service usage, particularly during periods of demand</w:t>
      </w:r>
      <w:r>
        <w:t xml:space="preserve"> </w:t>
      </w:r>
      <w:r>
        <w:t xml:space="preserve">contraction. This may involve adjusting reward weighting based on</w:t>
      </w:r>
      <w:r>
        <w:t xml:space="preserve"> </w:t>
      </w:r>
      <w:r>
        <w:t xml:space="preserve">utilization signals or introducing soft constraints that limit emissions</w:t>
      </w:r>
      <w:r>
        <w:t xml:space="preserve"> </w:t>
      </w:r>
      <w:r>
        <w:t xml:space="preserve">when burn-linked revenue consistently lags behind supply issuance.</w:t>
      </w:r>
    </w:p>
    <w:p>
      <w:pPr>
        <w:pStyle w:val="BodyText"/>
      </w:pPr>
      <w:r>
        <w:t xml:space="preserve">Such adjustments would not need to be abrupt or highly reactive; even</w:t>
      </w:r>
      <w:r>
        <w:t xml:space="preserve"> </w:t>
      </w:r>
      <w:r>
        <w:t xml:space="preserve">gradual modulation could reduce prolonged reward–demand decoupling.</w:t>
      </w:r>
    </w:p>
    <w:bookmarkEnd w:id="98"/>
    <w:bookmarkStart w:id="99" w:name="X46440f00be2e518db5c2817960be41d12d2a365"/>
    <w:p>
      <w:pPr>
        <w:pStyle w:val="Heading3"/>
      </w:pPr>
      <w:r>
        <w:t xml:space="preserve">Monitor Provider Margins as</w:t>
      </w:r>
      <w:r>
        <w:t xml:space="preserve"> </w:t>
      </w:r>
      <w:r>
        <w:t xml:space="preserve">a Leading</w:t>
      </w:r>
      <w:r>
        <w:t xml:space="preserve"> </w:t>
      </w:r>
      <w:r>
        <w:t xml:space="preserve">Indicator</w:t>
      </w:r>
    </w:p>
    <w:p>
      <w:pPr>
        <w:pStyle w:val="FirstParagraph"/>
      </w:pPr>
      <w:r>
        <w:t xml:space="preserve">Across scenarios, provider exit in the Onocoy profile is preceded by</w:t>
      </w:r>
      <w:r>
        <w:t xml:space="preserve"> </w:t>
      </w:r>
      <w:r>
        <w:t xml:space="preserve">sustained deterioration in average provider profitability rather than by</w:t>
      </w:r>
      <w:r>
        <w:t xml:space="preserve"> </w:t>
      </w:r>
      <w:r>
        <w:t xml:space="preserve">immediate market shocks. This suggests that provider margins function as</w:t>
      </w:r>
      <w:r>
        <w:t xml:space="preserve"> </w:t>
      </w:r>
      <w:r>
        <w:t xml:space="preserve">a leading indicator of infrastructure risk.</w:t>
      </w:r>
    </w:p>
    <w:p>
      <w:pPr>
        <w:pStyle w:val="BodyText"/>
      </w:pPr>
      <w:r>
        <w:t xml:space="preserve">Actionable suggestion:</w:t>
      </w:r>
      <w:r>
        <w:br/>
      </w:r>
      <w:r>
        <w:t xml:space="preserve">Rather than focusing primarily on provider count or coverage metrics,</w:t>
      </w:r>
      <w:r>
        <w:t xml:space="preserve"> </w:t>
      </w:r>
      <w:r>
        <w:t xml:space="preserve">Onocoy could incorporate provider margin distributions into internal</w:t>
      </w:r>
      <w:r>
        <w:t xml:space="preserve"> </w:t>
      </w:r>
      <w:r>
        <w:t xml:space="preserve">monitoring. Tracking how many providers operate near or below breakeven</w:t>
      </w:r>
      <w:r>
        <w:t xml:space="preserve"> </w:t>
      </w:r>
      <w:r>
        <w:t xml:space="preserve">may provide earlier warning of impending churn than aggregate</w:t>
      </w:r>
      <w:r>
        <w:t xml:space="preserve"> </w:t>
      </w:r>
      <w:r>
        <w:t xml:space="preserve">participation statistics alone.</w:t>
      </w:r>
    </w:p>
    <w:p>
      <w:pPr>
        <w:pStyle w:val="BodyText"/>
      </w:pPr>
      <w:r>
        <w:t xml:space="preserve">This information could inform proactive adjustments to incentives or</w:t>
      </w:r>
      <w:r>
        <w:t xml:space="preserve"> </w:t>
      </w:r>
      <w:r>
        <w:t xml:space="preserve">cost-sharing mechanisms before infrastructure attrition becomes visible</w:t>
      </w:r>
      <w:r>
        <w:t xml:space="preserve"> </w:t>
      </w:r>
      <w:r>
        <w:t xml:space="preserve">at the network level.</w:t>
      </w:r>
    </w:p>
    <w:bookmarkEnd w:id="99"/>
    <w:bookmarkStart w:id="100" w:name="X6e6517ccccbefd2c747007d8649211e9a24c565"/>
    <w:p>
      <w:pPr>
        <w:pStyle w:val="Heading3"/>
      </w:pPr>
      <w:r>
        <w:t xml:space="preserve">Account for Token Price</w:t>
      </w:r>
      <w:r>
        <w:t xml:space="preserve"> </w:t>
      </w:r>
      <w:r>
        <w:t xml:space="preserve">Sensitivity in Reward</w:t>
      </w:r>
      <w:r>
        <w:t xml:space="preserve"> </w:t>
      </w:r>
      <w:r>
        <w:t xml:space="preserve">Design</w:t>
      </w:r>
    </w:p>
    <w:p>
      <w:pPr>
        <w:pStyle w:val="FirstParagraph"/>
      </w:pPr>
      <w:r>
        <w:t xml:space="preserve">Liquidity shock scenarios show that price-mediated reward compression</w:t>
      </w:r>
      <w:r>
        <w:t xml:space="preserve"> </w:t>
      </w:r>
      <w:r>
        <w:t xml:space="preserve">can trigger delayed churn even when nominal rewards remain unchanged.</w:t>
      </w:r>
      <w:r>
        <w:t xml:space="preserve"> </w:t>
      </w:r>
      <w:r>
        <w:t xml:space="preserve">For Onocoy, where rewards are denominated in ONO, this introduces an</w:t>
      </w:r>
      <w:r>
        <w:t xml:space="preserve"> </w:t>
      </w:r>
      <w:r>
        <w:t xml:space="preserve">indirect exposure to market volatility.</w:t>
      </w:r>
    </w:p>
    <w:p>
      <w:pPr>
        <w:pStyle w:val="BodyText"/>
      </w:pPr>
      <w:r>
        <w:t xml:space="preserve">Actionable suggestion:</w:t>
      </w:r>
      <w:r>
        <w:br/>
      </w:r>
      <w:r>
        <w:t xml:space="preserve">Onocoy may benefit from evaluating how reward timing, smoothing</w:t>
      </w:r>
      <w:r>
        <w:t xml:space="preserve"> </w:t>
      </w:r>
      <w:r>
        <w:t xml:space="preserve">mechanisms, or partial stabilization strategies affect provider exposure</w:t>
      </w:r>
      <w:r>
        <w:t xml:space="preserve"> </w:t>
      </w:r>
      <w:r>
        <w:t xml:space="preserve">to short-term price movements. While full price insulation may be</w:t>
      </w:r>
      <w:r>
        <w:t xml:space="preserve"> </w:t>
      </w:r>
      <w:r>
        <w:t xml:space="preserve">neither feasible nor desirable, reducing abrupt changes in effective</w:t>
      </w:r>
      <w:r>
        <w:t xml:space="preserve"> </w:t>
      </w:r>
      <w:r>
        <w:t xml:space="preserve">reward value could help dampen second-order churn effects following</w:t>
      </w:r>
      <w:r>
        <w:t xml:space="preserve"> </w:t>
      </w:r>
      <w:r>
        <w:t xml:space="preserve">market stress.</w:t>
      </w:r>
    </w:p>
    <w:p>
      <w:pPr>
        <w:pStyle w:val="BodyText"/>
      </w:pPr>
      <w:r>
        <w:t xml:space="preserve">This consideration is particularly relevant during known liquidity</w:t>
      </w:r>
      <w:r>
        <w:t xml:space="preserve"> </w:t>
      </w:r>
      <w:r>
        <w:t xml:space="preserve">events or periods of heightened market uncertainty.</w:t>
      </w:r>
    </w:p>
    <w:bookmarkEnd w:id="100"/>
    <w:bookmarkStart w:id="101" w:name="X9f1c2497d3393b26fff3150cc86f415f8150f7e"/>
    <w:p>
      <w:pPr>
        <w:pStyle w:val="Heading3"/>
      </w:pPr>
      <w:r>
        <w:t xml:space="preserve">Differentiate Incentives by</w:t>
      </w:r>
      <w:r>
        <w:t xml:space="preserve"> </w:t>
      </w:r>
      <w:r>
        <w:t xml:space="preserve">Provider Commitment</w:t>
      </w:r>
      <w:r>
        <w:t xml:space="preserve"> </w:t>
      </w:r>
      <w:r>
        <w:t xml:space="preserve">Level</w:t>
      </w:r>
    </w:p>
    <w:p>
      <w:pPr>
        <w:pStyle w:val="FirstParagraph"/>
      </w:pPr>
      <w:r>
        <w:t xml:space="preserve">Simulation results suggest that providers with higher sunk costs and</w:t>
      </w:r>
      <w:r>
        <w:t xml:space="preserve"> </w:t>
      </w:r>
      <w:r>
        <w:t xml:space="preserve">longer commitment horizons exhibit greater resilience under stress.</w:t>
      </w:r>
      <w:r>
        <w:t xml:space="preserve"> </w:t>
      </w:r>
      <w:r>
        <w:t xml:space="preserve">Given the physical and technical requirements of GNSS infrastructure,</w:t>
      </w:r>
      <w:r>
        <w:t xml:space="preserve"> </w:t>
      </w:r>
      <w:r>
        <w:t xml:space="preserve">Onocoy’s provider base is likely heterogeneous in both cost structure</w:t>
      </w:r>
      <w:r>
        <w:t xml:space="preserve"> </w:t>
      </w:r>
      <w:r>
        <w:t xml:space="preserve">and exit friction.</w:t>
      </w:r>
    </w:p>
    <w:p>
      <w:pPr>
        <w:pStyle w:val="BodyText"/>
      </w:pPr>
      <w:r>
        <w:t xml:space="preserve">Actionable suggestion:</w:t>
      </w:r>
      <w:r>
        <w:br/>
      </w:r>
      <w:r>
        <w:t xml:space="preserve">Onocoy could further explore incentive differentiation based on provider</w:t>
      </w:r>
      <w:r>
        <w:t xml:space="preserve"> </w:t>
      </w:r>
      <w:r>
        <w:t xml:space="preserve">commitment characteristics, such as hardware tier, installation</w:t>
      </w:r>
      <w:r>
        <w:t xml:space="preserve"> </w:t>
      </w:r>
      <w:r>
        <w:t xml:space="preserve">complexity, or operational reliability. Reward structures that recognize</w:t>
      </w:r>
      <w:r>
        <w:t xml:space="preserve"> </w:t>
      </w:r>
      <w:r>
        <w:t xml:space="preserve">long-term contribution may reduce sensitivity to short-term competitive</w:t>
      </w:r>
      <w:r>
        <w:t xml:space="preserve"> </w:t>
      </w:r>
      <w:r>
        <w:t xml:space="preserve">yield pressure and strengthen infrastructure stability.</w:t>
      </w:r>
    </w:p>
    <w:p>
      <w:pPr>
        <w:pStyle w:val="BodyText"/>
      </w:pPr>
      <w:r>
        <w:t xml:space="preserve">This approach aligns incentives with the physical realities of the</w:t>
      </w:r>
      <w:r>
        <w:t xml:space="preserve"> </w:t>
      </w:r>
      <w:r>
        <w:t xml:space="preserve">network rather than assuming uniform provider behavior.</w:t>
      </w:r>
    </w:p>
    <w:bookmarkEnd w:id="101"/>
    <w:bookmarkStart w:id="102" w:name="X6930f2675c2f8e6638704a435d606a136858165"/>
    <w:p>
      <w:pPr>
        <w:pStyle w:val="Heading3"/>
      </w:pPr>
      <w:r>
        <w:t xml:space="preserve">Use Stress Testing as an</w:t>
      </w:r>
      <w:r>
        <w:t xml:space="preserve"> </w:t>
      </w:r>
      <w:r>
        <w:t xml:space="preserve">Ongoing Governance</w:t>
      </w:r>
      <w:r>
        <w:t xml:space="preserve"> </w:t>
      </w:r>
      <w:r>
        <w:t xml:space="preserve">Tool</w:t>
      </w:r>
    </w:p>
    <w:p>
      <w:pPr>
        <w:pStyle w:val="FirstParagraph"/>
      </w:pPr>
      <w:r>
        <w:t xml:space="preserve">One of the central contributions of this thesis is the demonstration of</w:t>
      </w:r>
      <w:r>
        <w:t xml:space="preserve"> </w:t>
      </w:r>
      <w:r>
        <w:t xml:space="preserve">how stress testing can be applied systematically to DePIN tokenomics.</w:t>
      </w:r>
      <w:r>
        <w:t xml:space="preserve"> </w:t>
      </w:r>
      <w:r>
        <w:t xml:space="preserve">For Onocoy, such tools need not be limited to academic analysis.</w:t>
      </w:r>
    </w:p>
    <w:p>
      <w:pPr>
        <w:pStyle w:val="BodyText"/>
      </w:pPr>
      <w:r>
        <w:t xml:space="preserve">Actionable suggestion:</w:t>
      </w:r>
      <w:r>
        <w:br/>
      </w:r>
      <w:r>
        <w:t xml:space="preserve">Onocoy could adopt simplified versions of stress-testing frameworks as</w:t>
      </w:r>
      <w:r>
        <w:t xml:space="preserve"> </w:t>
      </w:r>
      <w:r>
        <w:t xml:space="preserve">part of internal governance or parameter review processes. Periodic</w:t>
      </w:r>
      <w:r>
        <w:t xml:space="preserve"> </w:t>
      </w:r>
      <w:r>
        <w:t xml:space="preserve">evaluation of how proposed changes perform under adverse scenarios may</w:t>
      </w:r>
      <w:r>
        <w:t xml:space="preserve"> </w:t>
      </w:r>
      <w:r>
        <w:t xml:space="preserve">help identify unintended consequences before they manifest in</w:t>
      </w:r>
      <w:r>
        <w:t xml:space="preserve"> </w:t>
      </w:r>
      <w:r>
        <w:t xml:space="preserve">production.</w:t>
      </w:r>
    </w:p>
    <w:p>
      <w:pPr>
        <w:pStyle w:val="BodyText"/>
      </w:pPr>
      <w:r>
        <w:t xml:space="preserve">In this sense, stress testing functions less as a predictive instrument</w:t>
      </w:r>
      <w:r>
        <w:t xml:space="preserve"> </w:t>
      </w:r>
      <w:r>
        <w:t xml:space="preserve">and more as a structured way to reason about risk.</w:t>
      </w:r>
    </w:p>
    <w:bookmarkEnd w:id="102"/>
    <w:bookmarkStart w:id="103" w:name="positioning-note"/>
    <w:p>
      <w:pPr>
        <w:pStyle w:val="Heading3"/>
      </w:pPr>
      <w:r>
        <w:t xml:space="preserve">Positioning</w:t>
      </w:r>
      <w:r>
        <w:t xml:space="preserve"> </w:t>
      </w:r>
      <w:r>
        <w:t xml:space="preserve">Note</w:t>
      </w:r>
    </w:p>
    <w:p>
      <w:pPr>
        <w:pStyle w:val="FirstParagraph"/>
      </w:pPr>
      <w:r>
        <w:t xml:space="preserve">These suggestions are derived from modeled behavior under standardized</w:t>
      </w:r>
      <w:r>
        <w:t xml:space="preserve"> </w:t>
      </w:r>
      <w:r>
        <w:t xml:space="preserve">assumptions and should be interpreted as exploratory rather than</w:t>
      </w:r>
      <w:r>
        <w:t xml:space="preserve"> </w:t>
      </w:r>
      <w:r>
        <w:t xml:space="preserve">definitive. Their value lies in identifying leverage points for further</w:t>
      </w:r>
      <w:r>
        <w:t xml:space="preserve"> </w:t>
      </w:r>
      <w:r>
        <w:t xml:space="preserve">investigation and experimentation, not in asserting optimal solutions.</w:t>
      </w:r>
    </w:p>
    <w:bookmarkEnd w:id="103"/>
    <w:bookmarkEnd w:id="104"/>
    <w:bookmarkStart w:id="109" w:name="Xaf689a13ffd085eca1d6aa8f1bd184fe99ad064"/>
    <w:p>
      <w:pPr>
        <w:pStyle w:val="Heading2"/>
      </w:pPr>
      <w:r>
        <w:t xml:space="preserve">Implications for Researchers</w:t>
      </w:r>
      <w:r>
        <w:t xml:space="preserve"> </w:t>
      </w:r>
      <w:r>
        <w:t xml:space="preserve">(What This Enables and What It Does</w:t>
      </w:r>
      <w:r>
        <w:t xml:space="preserve"> </w:t>
      </w:r>
      <w:r>
        <w:t xml:space="preserve">Not)</w:t>
      </w:r>
    </w:p>
    <w:p>
      <w:pPr>
        <w:pStyle w:val="FirstParagraph"/>
      </w:pPr>
      <w:r>
        <w:t xml:space="preserve">This thesis contributes to the growing body of research on Decentralized</w:t>
      </w:r>
      <w:r>
        <w:t xml:space="preserve"> </w:t>
      </w:r>
      <w:r>
        <w:t xml:space="preserve">Physical Infrastructure Networks (DePIN) by demonstrating how tokenomic</w:t>
      </w:r>
      <w:r>
        <w:t xml:space="preserve"> </w:t>
      </w:r>
      <w:r>
        <w:t xml:space="preserve">mechanisms can be evaluated through structured stress testing rather</w:t>
      </w:r>
      <w:r>
        <w:t xml:space="preserve"> </w:t>
      </w:r>
      <w:r>
        <w:t xml:space="preserve">than through growth-oriented or valuation-centric analysis. The</w:t>
      </w:r>
      <w:r>
        <w:t xml:space="preserve"> </w:t>
      </w:r>
      <w:r>
        <w:t xml:space="preserve">implications for researchers are twofold: the framework introduced here</w:t>
      </w:r>
      <w:r>
        <w:t xml:space="preserve"> </w:t>
      </w:r>
      <w:r>
        <w:t xml:space="preserve">enables a new mode of comparative analysis, while also highlighting</w:t>
      </w:r>
      <w:r>
        <w:t xml:space="preserve"> </w:t>
      </w:r>
      <w:r>
        <w:t xml:space="preserve">clear methodological boundaries that future work must respect.</w:t>
      </w:r>
    </w:p>
    <w:bookmarkStart w:id="105" w:name="what-this-framework-enables"/>
    <w:p>
      <w:pPr>
        <w:pStyle w:val="Heading3"/>
      </w:pPr>
      <w:r>
        <w:t xml:space="preserve">What This Framework</w:t>
      </w:r>
      <w:r>
        <w:t xml:space="preserve"> </w:t>
      </w:r>
      <w:r>
        <w:t xml:space="preserve">Enables</w:t>
      </w:r>
    </w:p>
    <w:p>
      <w:pPr>
        <w:pStyle w:val="FirstParagraph"/>
      </w:pPr>
      <w:r>
        <w:t xml:space="preserve">This work provides a reproducible approach for translating</w:t>
      </w:r>
      <w:r>
        <w:t xml:space="preserve"> </w:t>
      </w:r>
      <w:r>
        <w:t xml:space="preserve">conceptual tokenomic designs into testable models under controlled</w:t>
      </w:r>
      <w:r>
        <w:t xml:space="preserve"> </w:t>
      </w:r>
      <w:r>
        <w:t xml:space="preserve">conditions. By formalizing incentive mechanisms, provider behavior, and</w:t>
      </w:r>
      <w:r>
        <w:t xml:space="preserve"> </w:t>
      </w:r>
      <w:r>
        <w:t xml:space="preserve">demand regimes into explicit parameters, researchers can move beyond</w:t>
      </w:r>
      <w:r>
        <w:t xml:space="preserve"> </w:t>
      </w:r>
      <w:r>
        <w:t xml:space="preserve">narrative comparisons and evaluate directional robustness across</w:t>
      </w:r>
      <w:r>
        <w:t xml:space="preserve"> </w:t>
      </w:r>
      <w:r>
        <w:t xml:space="preserve">protocols and scenarios.</w:t>
      </w:r>
    </w:p>
    <w:p>
      <w:pPr>
        <w:pStyle w:val="BodyText"/>
      </w:pPr>
      <w:r>
        <w:t xml:space="preserve">This enables comparative questions that are otherwise difficult to</w:t>
      </w:r>
      <w:r>
        <w:t xml:space="preserve"> </w:t>
      </w:r>
      <w:r>
        <w:t xml:space="preserve">answer empirically, such as how different emission structures respond to</w:t>
      </w:r>
      <w:r>
        <w:t xml:space="preserve"> </w:t>
      </w:r>
      <w:r>
        <w:t xml:space="preserve">identical demand shocks, or how provider retention dynamics vary when</w:t>
      </w:r>
      <w:r>
        <w:t xml:space="preserve"> </w:t>
      </w:r>
      <w:r>
        <w:t xml:space="preserve">reward–demand coupling weakens. Importantly, the framework allows for</w:t>
      </w:r>
      <w:r>
        <w:t xml:space="preserve"> </w:t>
      </w:r>
      <w:r>
        <w:t xml:space="preserve">controlled falsification: assumptions can be varied systematically, and</w:t>
      </w:r>
      <w:r>
        <w:t xml:space="preserve"> </w:t>
      </w:r>
      <w:r>
        <w:t xml:space="preserve">their effects observed transparently.</w:t>
      </w:r>
    </w:p>
    <w:p>
      <w:pPr>
        <w:pStyle w:val="BodyText"/>
      </w:pPr>
      <w:r>
        <w:t xml:space="preserve">The stress-testing approach also supports interdisciplinary research</w:t>
      </w:r>
      <w:r>
        <w:t xml:space="preserve"> </w:t>
      </w:r>
      <w:r>
        <w:t xml:space="preserve">at the intersection of economics, systems engineering, and blockchain</w:t>
      </w:r>
      <w:r>
        <w:t xml:space="preserve"> </w:t>
      </w:r>
      <w:r>
        <w:t xml:space="preserve">governance. DePIN networks operate as socio-technical systems, where</w:t>
      </w:r>
      <w:r>
        <w:t xml:space="preserve"> </w:t>
      </w:r>
      <w:r>
        <w:t xml:space="preserve">physical constraints, human behavior, and protocol rules interact.</w:t>
      </w:r>
      <w:r>
        <w:t xml:space="preserve"> </w:t>
      </w:r>
      <w:r>
        <w:t xml:space="preserve">Simulation-based evaluation offers a practical method for studying these</w:t>
      </w:r>
      <w:r>
        <w:t xml:space="preserve"> </w:t>
      </w:r>
      <w:r>
        <w:t xml:space="preserve">interactions without requiring complete or proprietary real-world data.</w:t>
      </w:r>
    </w:p>
    <w:p>
      <w:pPr>
        <w:pStyle w:val="BodyText"/>
      </w:pPr>
      <w:r>
        <w:t xml:space="preserve">The framework is extensible as well. While this thesis applies the model</w:t>
      </w:r>
      <w:r>
        <w:t xml:space="preserve"> </w:t>
      </w:r>
      <w:r>
        <w:t xml:space="preserve">to Onocoy as a primary case, the underlying structure can be adapted to</w:t>
      </w:r>
      <w:r>
        <w:t xml:space="preserve"> </w:t>
      </w:r>
      <w:r>
        <w:t xml:space="preserve">other DePIN categories, alternative incentive designs, or different</w:t>
      </w:r>
      <w:r>
        <w:t xml:space="preserve"> </w:t>
      </w:r>
      <w:r>
        <w:t xml:space="preserve">demand environments. This positions the work as a methodological</w:t>
      </w:r>
      <w:r>
        <w:t xml:space="preserve"> </w:t>
      </w:r>
      <w:r>
        <w:t xml:space="preserve">contribution rather than a single-case evaluation.</w:t>
      </w:r>
    </w:p>
    <w:bookmarkEnd w:id="105"/>
    <w:bookmarkStart w:id="106" w:name="what-this-framework-does-not-enable"/>
    <w:p>
      <w:pPr>
        <w:pStyle w:val="Heading3"/>
      </w:pPr>
      <w:r>
        <w:t xml:space="preserve">What This Framework Does</w:t>
      </w:r>
      <w:r>
        <w:t xml:space="preserve"> </w:t>
      </w:r>
      <w:r>
        <w:t xml:space="preserve">Not</w:t>
      </w:r>
      <w:r>
        <w:t xml:space="preserve"> </w:t>
      </w:r>
      <w:r>
        <w:t xml:space="preserve">Enable</w:t>
      </w:r>
    </w:p>
    <w:p>
      <w:pPr>
        <w:pStyle w:val="FirstParagraph"/>
      </w:pPr>
      <w:r>
        <w:t xml:space="preserve">At the same time, it is essential to clarify the limits of the approach.</w:t>
      </w:r>
      <w:r>
        <w:t xml:space="preserve"> </w:t>
      </w:r>
      <w:r>
        <w:t xml:space="preserve">The simulations presented here do not predict real-world outcomes, token</w:t>
      </w:r>
      <w:r>
        <w:t xml:space="preserve"> </w:t>
      </w:r>
      <w:r>
        <w:t xml:space="preserve">prices, or network success. All results are conditional on modeled</w:t>
      </w:r>
      <w:r>
        <w:t xml:space="preserve"> </w:t>
      </w:r>
      <w:r>
        <w:t xml:space="preserve">assumptions and should be interpreted as directional indicators rather</w:t>
      </w:r>
      <w:r>
        <w:t xml:space="preserve"> </w:t>
      </w:r>
      <w:r>
        <w:t xml:space="preserve">than forecasts.</w:t>
      </w:r>
    </w:p>
    <w:p>
      <w:pPr>
        <w:pStyle w:val="BodyText"/>
      </w:pPr>
      <w:r>
        <w:t xml:space="preserve">The framework also does not establish causal certainty. While modeled</w:t>
      </w:r>
      <w:r>
        <w:t xml:space="preserve"> </w:t>
      </w:r>
      <w:r>
        <w:t xml:space="preserve">relationships between incentives, provider behavior, and outcomes are</w:t>
      </w:r>
      <w:r>
        <w:t xml:space="preserve"> </w:t>
      </w:r>
      <w:r>
        <w:t xml:space="preserve">internally consistent, they remain abstractions of complex real-world</w:t>
      </w:r>
      <w:r>
        <w:t xml:space="preserve"> </w:t>
      </w:r>
      <w:r>
        <w:t xml:space="preserve">dynamics. External factors such as regulatory changes, technological</w:t>
      </w:r>
      <w:r>
        <w:t xml:space="preserve"> </w:t>
      </w:r>
      <w:r>
        <w:t xml:space="preserve">breakthroughs, or strategic behavior by large actors are not fully</w:t>
      </w:r>
      <w:r>
        <w:t xml:space="preserve"> </w:t>
      </w:r>
      <w:r>
        <w:t xml:space="preserve">captured.</w:t>
      </w:r>
    </w:p>
    <w:p>
      <w:pPr>
        <w:pStyle w:val="BodyText"/>
      </w:pPr>
      <w:r>
        <w:t xml:space="preserve">Furthermore, the model does not replace empirical validation. Stress</w:t>
      </w:r>
      <w:r>
        <w:t xml:space="preserve"> </w:t>
      </w:r>
      <w:r>
        <w:t xml:space="preserve">testing can identify plausible failure modes and robustness patterns,</w:t>
      </w:r>
      <w:r>
        <w:t xml:space="preserve"> </w:t>
      </w:r>
      <w:r>
        <w:t xml:space="preserve">but it cannot confirm whether these dynamics will manifest identically</w:t>
      </w:r>
      <w:r>
        <w:t xml:space="preserve"> </w:t>
      </w:r>
      <w:r>
        <w:t xml:space="preserve">in live networks. As such, simulation results should be viewed as</w:t>
      </w:r>
      <w:r>
        <w:t xml:space="preserve"> </w:t>
      </w:r>
      <w:r>
        <w:t xml:space="preserve">complements to empirical observation, not substitutes for it.</w:t>
      </w:r>
    </w:p>
    <w:bookmarkEnd w:id="106"/>
    <w:bookmarkStart w:id="107" w:name="research-directions-opened-by-this-work"/>
    <w:p>
      <w:pPr>
        <w:pStyle w:val="Heading3"/>
      </w:pPr>
      <w:r>
        <w:t xml:space="preserve">Research Directions Opened</w:t>
      </w:r>
      <w:r>
        <w:t xml:space="preserve"> </w:t>
      </w:r>
      <w:r>
        <w:t xml:space="preserve">by This</w:t>
      </w:r>
      <w:r>
        <w:t xml:space="preserve"> </w:t>
      </w:r>
      <w:r>
        <w:t xml:space="preserve">Work</w:t>
      </w:r>
    </w:p>
    <w:p>
      <w:pPr>
        <w:pStyle w:val="FirstParagraph"/>
      </w:pPr>
      <w:r>
        <w:t xml:space="preserve">The limitations of this thesis also point toward future research</w:t>
      </w:r>
      <w:r>
        <w:t xml:space="preserve"> </w:t>
      </w:r>
      <w:r>
        <w:t xml:space="preserve">opportunities. One direction involves integrating richer empirical data,</w:t>
      </w:r>
      <w:r>
        <w:t xml:space="preserve"> </w:t>
      </w:r>
      <w:r>
        <w:t xml:space="preserve">such as observed provider churn distributions or cost heterogeneity, to</w:t>
      </w:r>
      <w:r>
        <w:t xml:space="preserve"> </w:t>
      </w:r>
      <w:r>
        <w:t xml:space="preserve">refine behavioral assumptions. Another involves extending the framework</w:t>
      </w:r>
      <w:r>
        <w:t xml:space="preserve"> </w:t>
      </w:r>
      <w:r>
        <w:t xml:space="preserve">to multi-token or cross-network interactions, which are increasingly</w:t>
      </w:r>
      <w:r>
        <w:t xml:space="preserve"> </w:t>
      </w:r>
      <w:r>
        <w:t xml:space="preserve">relevant as DePIN ecosystems mature.</w:t>
      </w:r>
    </w:p>
    <w:p>
      <w:pPr>
        <w:pStyle w:val="BodyText"/>
      </w:pPr>
      <w:r>
        <w:t xml:space="preserve">Finally, there is scope for methodological refinement. Sensitivity</w:t>
      </w:r>
      <w:r>
        <w:t xml:space="preserve"> </w:t>
      </w:r>
      <w:r>
        <w:t xml:space="preserve">analysis techniques, alternative agent decision models, and formal</w:t>
      </w:r>
      <w:r>
        <w:t xml:space="preserve"> </w:t>
      </w:r>
      <w:r>
        <w:t xml:space="preserve">validation against historical network events could further strengthen</w:t>
      </w:r>
      <w:r>
        <w:t xml:space="preserve"> </w:t>
      </w:r>
      <w:r>
        <w:t xml:space="preserve">the robustness of simulation-based evaluation in this domain.</w:t>
      </w:r>
    </w:p>
    <w:bookmarkEnd w:id="107"/>
    <w:bookmarkStart w:id="108" w:name="closing-positioning-note"/>
    <w:p>
      <w:pPr>
        <w:pStyle w:val="Heading3"/>
      </w:pPr>
      <w:r>
        <w:t xml:space="preserve">Closing Positioning</w:t>
      </w:r>
      <w:r>
        <w:t xml:space="preserve"> </w:t>
      </w:r>
      <w:r>
        <w:t xml:space="preserve">Note</w:t>
      </w:r>
    </w:p>
    <w:p>
      <w:pPr>
        <w:pStyle w:val="FirstParagraph"/>
      </w:pPr>
      <w:r>
        <w:t xml:space="preserve">Taken together, this thesis positions stress testing as a useful</w:t>
      </w:r>
      <w:r>
        <w:t xml:space="preserve"> </w:t>
      </w:r>
      <w:r>
        <w:t xml:space="preserve">analytical lens for DePIN tokenomics, while maintaining a clear</w:t>
      </w:r>
      <w:r>
        <w:t xml:space="preserve"> </w:t>
      </w:r>
      <w:r>
        <w:t xml:space="preserve">separation between evaluation and prediction. By explicitly defining</w:t>
      </w:r>
      <w:r>
        <w:t xml:space="preserve"> </w:t>
      </w:r>
      <w:r>
        <w:t xml:space="preserve">what the framework enables and where its limits lie, the work aims to</w:t>
      </w:r>
      <w:r>
        <w:t xml:space="preserve"> </w:t>
      </w:r>
      <w:r>
        <w:t xml:space="preserve">contribute responsibly to an emerging research area characterized by</w:t>
      </w:r>
      <w:r>
        <w:t xml:space="preserve"> </w:t>
      </w:r>
      <w:r>
        <w:t xml:space="preserve">both technical complexity and high uncertainty.</w:t>
      </w:r>
    </w:p>
    <w:bookmarkEnd w:id="108"/>
    <w:bookmarkEnd w:id="109"/>
    <w:bookmarkStart w:id="110" w:name="positioning-of-this-contribution"/>
    <w:p>
      <w:pPr>
        <w:pStyle w:val="Heading2"/>
      </w:pPr>
      <w:r>
        <w:t xml:space="preserve">Positioning of This</w:t>
      </w:r>
      <w:r>
        <w:t xml:space="preserve"> </w:t>
      </w:r>
      <w:r>
        <w:t xml:space="preserve">Contribution</w:t>
      </w:r>
    </w:p>
    <w:p>
      <w:pPr>
        <w:pStyle w:val="FirstParagraph"/>
      </w:pPr>
      <w:r>
        <w:t xml:space="preserve">This thesis positions its contribution at the intersection of mechanism</w:t>
      </w:r>
      <w:r>
        <w:t xml:space="preserve"> </w:t>
      </w:r>
      <w:r>
        <w:t xml:space="preserve">design, applied simulation, and empirical observation. It does not claim</w:t>
      </w:r>
      <w:r>
        <w:t xml:space="preserve"> </w:t>
      </w:r>
      <w:r>
        <w:t xml:space="preserve">to predict the success or failure of individual DePIN projects, nor does</w:t>
      </w:r>
      <w:r>
        <w:t xml:space="preserve"> </w:t>
      </w:r>
      <w:r>
        <w:t xml:space="preserve">it propose a universal template for sustainable tokenomics. Instead, it</w:t>
      </w:r>
      <w:r>
        <w:t xml:space="preserve"> </w:t>
      </w:r>
      <w:r>
        <w:t xml:space="preserve">offers a disciplined framework for evaluating how tokenomic mechanisms</w:t>
      </w:r>
      <w:r>
        <w:t xml:space="preserve"> </w:t>
      </w:r>
      <w:r>
        <w:t xml:space="preserve">behave under stress and how those behaviors interact with human</w:t>
      </w:r>
      <w:r>
        <w:t xml:space="preserve"> </w:t>
      </w:r>
      <w:r>
        <w:t xml:space="preserve">decision-making in real infrastructure networks.</w:t>
      </w:r>
    </w:p>
    <w:p>
      <w:pPr>
        <w:pStyle w:val="BodyText"/>
      </w:pPr>
      <w:r>
        <w:t xml:space="preserve">The primary contribution lies in reframing tokenomics evaluation away</w:t>
      </w:r>
      <w:r>
        <w:t xml:space="preserve"> </w:t>
      </w:r>
      <w:r>
        <w:t xml:space="preserve">from growth narratives and toward resilience analysis. By focusing on</w:t>
      </w:r>
      <w:r>
        <w:t xml:space="preserve"> </w:t>
      </w:r>
      <w:r>
        <w:t xml:space="preserve">adverse conditions rather than idealized scenarios, the framework</w:t>
      </w:r>
      <w:r>
        <w:t xml:space="preserve"> </w:t>
      </w:r>
      <w:r>
        <w:t xml:space="preserve">emphasizes directional robustness, failure modes, and trade-offs rather</w:t>
      </w:r>
      <w:r>
        <w:t xml:space="preserve"> </w:t>
      </w:r>
      <w:r>
        <w:t xml:space="preserve">than optimality. This approach aligns with established practices in</w:t>
      </w:r>
      <w:r>
        <w:t xml:space="preserve"> </w:t>
      </w:r>
      <w:r>
        <w:t xml:space="preserve">simulation-based research, where the goal is to falsify assumptions and</w:t>
      </w:r>
      <w:r>
        <w:t xml:space="preserve"> </w:t>
      </w:r>
      <w:r>
        <w:t xml:space="preserve">surface vulnerabilities rather than to optimize parameters in isolation.</w:t>
      </w:r>
    </w:p>
    <w:p>
      <w:pPr>
        <w:pStyle w:val="BodyText"/>
      </w:pPr>
      <w:r>
        <w:t xml:space="preserve">A second contribution is methodological. The combination of agent-based</w:t>
      </w:r>
      <w:r>
        <w:t xml:space="preserve"> </w:t>
      </w:r>
      <w:r>
        <w:t xml:space="preserve">simulation, standardized stress scenarios, and dashboard-aligned metrics</w:t>
      </w:r>
      <w:r>
        <w:t xml:space="preserve"> </w:t>
      </w:r>
      <w:r>
        <w:t xml:space="preserve">provides a reproducible and extensible evaluation tool. All results are</w:t>
      </w:r>
      <w:r>
        <w:t xml:space="preserve"> </w:t>
      </w:r>
      <w:r>
        <w:t xml:space="preserve">explicitly conditioned on assumptions, parameter ranges, and scenario</w:t>
      </w:r>
      <w:r>
        <w:t xml:space="preserve"> </w:t>
      </w:r>
      <w:r>
        <w:t xml:space="preserve">definitions, reinforcing methodological humility and avoiding</w:t>
      </w:r>
      <w:r>
        <w:t xml:space="preserve"> </w:t>
      </w:r>
      <w:r>
        <w:t xml:space="preserve">overinterpretation. This makes the framework suitable not only for</w:t>
      </w:r>
      <w:r>
        <w:t xml:space="preserve"> </w:t>
      </w:r>
      <w:r>
        <w:t xml:space="preserve">academic inquiry, but also for practical use by protocol designers</w:t>
      </w:r>
      <w:r>
        <w:t xml:space="preserve"> </w:t>
      </w:r>
      <w:r>
        <w:t xml:space="preserve">seeking to test incentive structures before irreversible deployment</w:t>
      </w:r>
      <w:r>
        <w:t xml:space="preserve"> </w:t>
      </w:r>
      <w:r>
        <w:t xml:space="preserve">decisions are made.</w:t>
      </w:r>
    </w:p>
    <w:p>
      <w:pPr>
        <w:pStyle w:val="BodyText"/>
      </w:pPr>
      <w:r>
        <w:t xml:space="preserve">Finally, the integration of stress-response archetypes extends DePIN</w:t>
      </w:r>
      <w:r>
        <w:t xml:space="preserve"> </w:t>
      </w:r>
      <w:r>
        <w:t xml:space="preserve">analysis beyond purely formal mechanisms. By explicitly acknowledging</w:t>
      </w:r>
      <w:r>
        <w:t xml:space="preserve"> </w:t>
      </w:r>
      <w:r>
        <w:t xml:space="preserve">the role of human intervention under uncertainty, the thesis bridges the</w:t>
      </w:r>
      <w:r>
        <w:t xml:space="preserve"> </w:t>
      </w:r>
      <w:r>
        <w:t xml:space="preserve">gap between modeled behavior and observed protocol trajectories. This</w:t>
      </w:r>
      <w:r>
        <w:t xml:space="preserve"> </w:t>
      </w:r>
      <w:r>
        <w:t xml:space="preserve">layered perspective (mechanisms, metrics, and decision</w:t>
      </w:r>
      <w:r>
        <w:t xml:space="preserve"> </w:t>
      </w:r>
      <w:r>
        <w:t xml:space="preserve">patterns) allows for a more realistic understanding of resilience in</w:t>
      </w:r>
      <w:r>
        <w:t xml:space="preserve"> </w:t>
      </w:r>
      <w:r>
        <w:t xml:space="preserve">decentralized infrastructure systems.</w:t>
      </w:r>
    </w:p>
    <w:p>
      <w:pPr>
        <w:pStyle w:val="BodyText"/>
      </w:pPr>
      <w:r>
        <w:t xml:space="preserve">Taken together, these elements position the thesis as an evaluative</w:t>
      </w:r>
      <w:r>
        <w:t xml:space="preserve"> </w:t>
      </w:r>
      <w:r>
        <w:t xml:space="preserve">contribution rather than a prescriptive one. It does not assert what</w:t>
      </w:r>
      <w:r>
        <w:t xml:space="preserve"> </w:t>
      </w:r>
      <w:r>
        <w:t xml:space="preserve">tokenomic designs should be adopted, but it does clarify how different</w:t>
      </w:r>
      <w:r>
        <w:t xml:space="preserve"> </w:t>
      </w:r>
      <w:r>
        <w:t xml:space="preserve">designs are likely to behave when conditions deteriorate. In doing so,</w:t>
      </w:r>
      <w:r>
        <w:t xml:space="preserve"> </w:t>
      </w:r>
      <w:r>
        <w:t xml:space="preserve">it aims to improve decision quality before failure occurs, rather than</w:t>
      </w:r>
      <w:r>
        <w:t xml:space="preserve"> </w:t>
      </w:r>
      <w:r>
        <w:t xml:space="preserve">to explain outcomes after the fact.</w:t>
      </w:r>
    </w:p>
    <w:bookmarkEnd w:id="110"/>
    <w:bookmarkEnd w:id="111"/>
    <w:bookmarkStart w:id="126" w:name="sec:human_decision_making"/>
    <w:p>
      <w:pPr>
        <w:pStyle w:val="Heading1"/>
      </w:pPr>
      <w:r>
        <w:t xml:space="preserve">Human Decision-Making Under Stress: DePIN Response Archetypes</w:t>
      </w:r>
    </w:p>
    <w:p>
      <w:pPr>
        <w:pStyle w:val="FirstParagraph"/>
      </w:pPr>
      <w:r>
        <w:t xml:space="preserve">Table</w:t>
      </w:r>
      <w:r>
        <w:t xml:space="preserve"> </w:t>
      </w:r>
      <w:hyperlink w:anchor="tab:archetypes">
        <w:r>
          <w:rPr>
            <w:rStyle w:val="Hyperlink"/>
          </w:rPr>
          <w:t xml:space="preserve">3</w:t>
        </w:r>
      </w:hyperlink>
      <w:r>
        <w:t xml:space="preserve"> </w:t>
      </w:r>
      <w:r>
        <w:t xml:space="preserve">summarizes the five observed stress-response patterns, which are detailed in the following subsections.</w:t>
      </w:r>
    </w:p>
    <w:bookmarkStart w:id="112" w:name="tab:archetypes"/>
    <w:p>
      <w:pPr>
        <w:pStyle w:val="TableCaption"/>
      </w:pPr>
      <w:r>
        <w:t xml:space="preserve">Human Decision-Making Archetypes Under Stress</w:t>
      </w:r>
    </w:p>
    <w:tbl>
      <w:tblPr>
        <w:tblStyle w:val="Table"/>
        <w:tblW w:type="auto" w:w="0"/>
        <w:tblLook w:firstRow="1" w:lastRow="0" w:firstColumn="0" w:lastColumn="0" w:noHBand="0" w:noVBand="0" w:val="0020"/>
        <w:tblCaption w:val="Human Decision-Making Archetypes Under Stress"/>
      </w:tblPr>
      <w:tblGrid>
        <w:gridCol w:w="1980"/>
        <w:gridCol w:w="1980"/>
        <w:gridCol w:w="1980"/>
        <w:gridCol w:w="1980"/>
      </w:tblGrid>
      <w:tr>
        <w:trPr>
          <w:tblHeader w:val="on"/>
        </w:trPr>
        <w:tc>
          <w:tcPr/>
          <w:p>
            <w:pPr>
              <w:pStyle w:val="Compact"/>
              <w:jc w:val="left"/>
            </w:pPr>
            <w:r>
              <w:rPr>
                <w:b/>
                <w:bCs/>
              </w:rPr>
              <w:t xml:space="preserve">Archetype</w:t>
            </w:r>
          </w:p>
        </w:tc>
        <w:tc>
          <w:tcPr/>
          <w:p>
            <w:pPr>
              <w:pStyle w:val="Compact"/>
              <w:jc w:val="left"/>
            </w:pPr>
            <w:r>
              <w:rPr>
                <w:b/>
                <w:bCs/>
              </w:rPr>
              <w:t xml:space="preserve">Primary Driver</w:t>
            </w:r>
          </w:p>
        </w:tc>
        <w:tc>
          <w:tcPr/>
          <w:p>
            <w:pPr>
              <w:pStyle w:val="Compact"/>
              <w:jc w:val="left"/>
            </w:pPr>
            <w:r>
              <w:rPr>
                <w:b/>
                <w:bCs/>
              </w:rPr>
              <w:t xml:space="preserve">Tokenomic Consequence</w:t>
            </w:r>
          </w:p>
        </w:tc>
        <w:tc>
          <w:tcPr/>
          <w:p>
            <w:pPr>
              <w:pStyle w:val="Compact"/>
              <w:jc w:val="left"/>
            </w:pPr>
            <w:r>
              <w:rPr>
                <w:b/>
                <w:bCs/>
              </w:rPr>
              <w:t xml:space="preserve">Key Signal</w:t>
            </w:r>
          </w:p>
        </w:tc>
      </w:tr>
      <w:tr>
        <w:tc>
          <w:tcPr/>
          <w:p>
            <w:pPr>
              <w:pStyle w:val="Compact"/>
              <w:jc w:val="left"/>
            </w:pPr>
            <w:r>
              <w:rPr>
                <w:b/>
                <w:bCs/>
              </w:rPr>
              <w:t xml:space="preserve">I: Subsidy Inertia</w:t>
            </w:r>
          </w:p>
        </w:tc>
        <w:tc>
          <w:tcPr/>
          <w:p>
            <w:pPr>
              <w:pStyle w:val="Compact"/>
              <w:jc w:val="left"/>
            </w:pPr>
            <w:r>
              <w:t xml:space="preserve">Retention Fear</w:t>
            </w:r>
          </w:p>
        </w:tc>
        <w:tc>
          <w:tcPr/>
          <w:p>
            <w:pPr>
              <w:pStyle w:val="Compact"/>
              <w:jc w:val="left"/>
            </w:pPr>
            <w:r>
              <w:t xml:space="preserve">Widens subsidy gap; dilutes provider revenue.</w:t>
            </w:r>
          </w:p>
        </w:tc>
        <w:tc>
          <w:tcPr/>
          <w:p>
            <w:pPr>
              <w:pStyle w:val="Compact"/>
              <w:jc w:val="left"/>
            </w:pPr>
            <w:r>
              <w:t xml:space="preserve">Declining burn-to-emission.</w:t>
            </w:r>
          </w:p>
        </w:tc>
      </w:tr>
      <w:tr>
        <w:tc>
          <w:tcPr/>
          <w:p>
            <w:pPr>
              <w:pStyle w:val="Compact"/>
              <w:jc w:val="left"/>
            </w:pPr>
            <w:r>
              <w:rPr>
                <w:b/>
                <w:bCs/>
              </w:rPr>
              <w:t xml:space="preserve">II-A: Subsidy Boosting</w:t>
            </w:r>
          </w:p>
        </w:tc>
        <w:tc>
          <w:tcPr/>
          <w:p>
            <w:pPr>
              <w:pStyle w:val="Compact"/>
              <w:jc w:val="left"/>
            </w:pPr>
            <w:r>
              <w:t xml:space="preserve">Short-term Churn Fix</w:t>
            </w:r>
          </w:p>
        </w:tc>
        <w:tc>
          <w:tcPr/>
          <w:p>
            <w:pPr>
              <w:pStyle w:val="Compact"/>
              <w:jc w:val="left"/>
            </w:pPr>
            <w:r>
              <w:t xml:space="preserve">Accelerates insolvency; creates</w:t>
            </w:r>
            <w:r>
              <w:t xml:space="preserve"> </w:t>
            </w:r>
            <w:r>
              <w:t xml:space="preserve">“incentive overfitting”</w:t>
            </w:r>
            <w:r>
              <w:t xml:space="preserve">.</w:t>
            </w:r>
          </w:p>
        </w:tc>
        <w:tc>
          <w:tcPr/>
          <w:p>
            <w:pPr>
              <w:pStyle w:val="Compact"/>
              <w:jc w:val="left"/>
            </w:pPr>
            <w:r>
              <w:t xml:space="preserve">Temporary retention spike</w:t>
            </w:r>
            <w:r>
              <w:t xml:space="preserve"> </w:t>
            </w:r>
            <m:oMath>
              <m:r>
                <m:rPr>
                  <m:sty m:val="p"/>
                </m:rPr>
                <m:t>→</m:t>
              </m:r>
            </m:oMath>
            <w:r>
              <w:t xml:space="preserve"> </w:t>
            </w:r>
            <w:r>
              <w:t xml:space="preserve">crash.</w:t>
            </w:r>
          </w:p>
        </w:tc>
      </w:tr>
      <w:tr>
        <w:tc>
          <w:tcPr/>
          <w:p>
            <w:pPr>
              <w:pStyle w:val="Compact"/>
              <w:jc w:val="left"/>
            </w:pPr>
            <w:r>
              <w:rPr>
                <w:b/>
                <w:bCs/>
              </w:rPr>
              <w:t xml:space="preserve">II-B: Incentive Re-Targeting</w:t>
            </w:r>
          </w:p>
        </w:tc>
        <w:tc>
          <w:tcPr/>
          <w:p>
            <w:pPr>
              <w:pStyle w:val="Compact"/>
              <w:jc w:val="left"/>
            </w:pPr>
            <w:r>
              <w:t xml:space="preserve">Efficiency Alignment</w:t>
            </w:r>
          </w:p>
        </w:tc>
        <w:tc>
          <w:tcPr/>
          <w:p>
            <w:pPr>
              <w:pStyle w:val="Compact"/>
              <w:jc w:val="left"/>
            </w:pPr>
            <w:r>
              <w:t xml:space="preserve">Preserves core solvency; squeezes marginal supply.</w:t>
            </w:r>
          </w:p>
        </w:tc>
        <w:tc>
          <w:tcPr/>
          <w:p>
            <w:pPr>
              <w:pStyle w:val="Compact"/>
              <w:jc w:val="left"/>
            </w:pPr>
            <w:r>
              <w:t xml:space="preserve">Improved utilization efficiency.</w:t>
            </w:r>
          </w:p>
        </w:tc>
      </w:tr>
      <w:tr>
        <w:tc>
          <w:tcPr/>
          <w:p>
            <w:pPr>
              <w:pStyle w:val="Compact"/>
              <w:jc w:val="left"/>
            </w:pPr>
            <w:r>
              <w:rPr>
                <w:b/>
                <w:bCs/>
              </w:rPr>
              <w:t xml:space="preserve">III: Narrative Pivot</w:t>
            </w:r>
          </w:p>
        </w:tc>
        <w:tc>
          <w:tcPr/>
          <w:p>
            <w:pPr>
              <w:pStyle w:val="Compact"/>
              <w:jc w:val="left"/>
            </w:pPr>
            <w:r>
              <w:t xml:space="preserve">Political Evasion</w:t>
            </w:r>
          </w:p>
        </w:tc>
        <w:tc>
          <w:tcPr/>
          <w:p>
            <w:pPr>
              <w:pStyle w:val="Compact"/>
              <w:jc w:val="left"/>
            </w:pPr>
            <w:r>
              <w:t xml:space="preserve">Delays adjustment; decouples price from utility.</w:t>
            </w:r>
          </w:p>
        </w:tc>
        <w:tc>
          <w:tcPr/>
          <w:p>
            <w:pPr>
              <w:pStyle w:val="Compact"/>
              <w:jc w:val="left"/>
            </w:pPr>
            <w:r>
              <w:t xml:space="preserve">Stable messaging vs bad metrics.</w:t>
            </w:r>
          </w:p>
        </w:tc>
      </w:tr>
      <w:tr>
        <w:tc>
          <w:tcPr/>
          <w:p>
            <w:pPr>
              <w:pStyle w:val="Compact"/>
              <w:jc w:val="left"/>
            </w:pPr>
            <w:r>
              <w:rPr>
                <w:b/>
                <w:bCs/>
              </w:rPr>
              <w:t xml:space="preserve">IV: Emergency Centralization</w:t>
            </w:r>
          </w:p>
        </w:tc>
        <w:tc>
          <w:tcPr/>
          <w:p>
            <w:pPr>
              <w:pStyle w:val="Compact"/>
              <w:jc w:val="left"/>
            </w:pPr>
            <w:r>
              <w:t xml:space="preserve">Survival</w:t>
            </w:r>
          </w:p>
        </w:tc>
        <w:tc>
          <w:tcPr/>
          <w:p>
            <w:pPr>
              <w:pStyle w:val="Compact"/>
              <w:jc w:val="left"/>
            </w:pPr>
            <w:r>
              <w:t xml:space="preserve">Suspends decentralization; externalizes governance risk.</w:t>
            </w:r>
          </w:p>
        </w:tc>
        <w:tc>
          <w:tcPr/>
          <w:p>
            <w:pPr>
              <w:pStyle w:val="Compact"/>
              <w:jc w:val="left"/>
            </w:pPr>
            <w:r>
              <w:t xml:space="preserve">Rising concentration.</w:t>
            </w:r>
          </w:p>
        </w:tc>
      </w:tr>
    </w:tbl>
    <w:bookmarkEnd w:id="112"/>
    <w:bookmarkStart w:id="113" w:name="X02728fc40bd9a605a8d4f9b8c07e58708002b6b"/>
    <w:p>
      <w:pPr>
        <w:pStyle w:val="Heading2"/>
      </w:pPr>
      <w:r>
        <w:t xml:space="preserve">Why Mechanism Design Alone Is Insufficient</w:t>
      </w:r>
    </w:p>
    <w:p>
      <w:pPr>
        <w:pStyle w:val="FirstParagraph"/>
      </w:pPr>
      <w:r>
        <w:t xml:space="preserve">Tokenomic mechanisms do not operate in isolation. In real-world DePIN deployments, protocol behavior emerges from the interaction between formal incentive rules and human decision-making under uncertainty. While simulation-based evaluation can illuminate how mechanisms respond to stress in a controlled environment, actual network trajectories are shaped by how teams interpret signals, prioritize risks, and intervene, often under time pressure and incomplete information.</w:t>
      </w:r>
    </w:p>
    <w:p>
      <w:pPr>
        <w:pStyle w:val="BodyText"/>
      </w:pPr>
      <w:r>
        <w:t xml:space="preserve">Existing DePIN analyses tend to abstract away this human layer, implicitly assuming that protocol parameters evolve optimally or that governance reacts smoothly to deteriorating conditions. In practice, responses to stress are neither instantaneous nor purely rational. Instead, they follow recurring behavioral patterns that interact with tokenomic structures in predictable ways.</w:t>
      </w:r>
    </w:p>
    <w:p>
      <w:pPr>
        <w:pStyle w:val="BodyText"/>
      </w:pPr>
      <w:r>
        <w:t xml:space="preserve">This section introduces a set of stress-response archetypes observed across DePIN projects during periods of adverse conditions</w:t>
      </w:r>
      <w:r>
        <w:t xml:space="preserve"> </w:t>
      </w:r>
      <w:r>
        <w:t xml:space="preserve">. These archetypes are not judgments of competence or intent. Rather, they represent recurrent decision patterns that emerge when teams attempt to stabilize networks facing declining demand, price shocks, or provider churn. Importantly, each archetype interacts differently with tokenomic mechanisms and can either mitigate or amplify structural fragility.</w:t>
      </w:r>
    </w:p>
    <w:bookmarkEnd w:id="113"/>
    <w:bookmarkStart w:id="114" w:name="Xdfa48e4a5e5aae8f21b57e22395e8d3de8c229c"/>
    <w:p>
      <w:pPr>
        <w:pStyle w:val="Heading2"/>
      </w:pPr>
      <w:r>
        <w:t xml:space="preserve">Archetype I: Subsidy Inertia (Emissions Denial)</w:t>
      </w:r>
    </w:p>
    <w:p>
      <w:pPr>
        <w:pStyle w:val="FirstParagraph"/>
      </w:pPr>
      <w:r>
        <w:rPr>
          <w:b/>
          <w:bCs/>
        </w:rPr>
        <w:t xml:space="preserve">Definition:</w:t>
      </w:r>
      <w:r>
        <w:t xml:space="preserve"> </w:t>
      </w:r>
      <w:r>
        <w:t xml:space="preserve">Subsidy inertia refers to the continued reliance on emissions-driven provider rewards despite clear signals of demand contraction or declining incentive solvency.</w:t>
      </w:r>
      <w:r>
        <w:br/>
      </w:r>
      <w:r>
        <w:rPr>
          <w:b/>
          <w:bCs/>
        </w:rPr>
        <w:t xml:space="preserve">Rationale at the Time:</w:t>
      </w:r>
      <w:r>
        <w:t xml:space="preserve"> </w:t>
      </w:r>
      <w:r>
        <w:t xml:space="preserve">This behavior is often motivated by short-term retention concerns. For infrastructure-heavy DePINs like Onocoy, provider exit is costly and partially irreversible. Teams fear that lowering rewards will signal weakness or trigger irreversible provider exits. Emissions are thus treated as a stabilizing force rather than as a source of dilution.</w:t>
      </w:r>
      <w:r>
        <w:br/>
      </w:r>
      <w:r>
        <w:rPr>
          <w:b/>
          <w:bCs/>
        </w:rPr>
        <w:t xml:space="preserve">Interaction with Tokenomics:</w:t>
      </w:r>
      <w:r>
        <w:t xml:space="preserve"> </w:t>
      </w:r>
      <w:r>
        <w:t xml:space="preserve">Under sustained demand weakness, emissions denial increases the gap between token issuance and usage-driven sinks. Simulation results show that this widens inflationary pressure and compresses real provider profitability, even when nominal rewards remain constant. The system appears stable in the short term but accumulates hidden fragility.</w:t>
      </w:r>
      <w:r>
        <w:br/>
      </w:r>
      <w:r>
        <w:rPr>
          <w:b/>
          <w:bCs/>
        </w:rPr>
        <w:t xml:space="preserve">Dashboard Signals:</w:t>
      </w:r>
    </w:p>
    <w:p>
      <w:pPr>
        <w:numPr>
          <w:ilvl w:val="0"/>
          <w:numId w:val="1031"/>
        </w:numPr>
      </w:pPr>
      <w:r>
        <w:t xml:space="preserve">Declining burn-to-emission ratio.</w:t>
      </w:r>
    </w:p>
    <w:p>
      <w:pPr>
        <w:numPr>
          <w:ilvl w:val="0"/>
          <w:numId w:val="1031"/>
        </w:numPr>
      </w:pPr>
      <w:r>
        <w:t xml:space="preserve">Increasing token velocity driven by cost-covering sales.</w:t>
      </w:r>
    </w:p>
    <w:p>
      <w:pPr>
        <w:numPr>
          <w:ilvl w:val="0"/>
          <w:numId w:val="1031"/>
        </w:numPr>
      </w:pPr>
      <w:r>
        <w:t xml:space="preserve">Rising provider losses despite unchanged nominal rewards.</w:t>
      </w:r>
    </w:p>
    <w:bookmarkEnd w:id="114"/>
    <w:bookmarkStart w:id="117" w:name="Xc0219368e19319a8eb2800a59a9588936a01d65"/>
    <w:p>
      <w:pPr>
        <w:pStyle w:val="Heading2"/>
      </w:pPr>
      <w:r>
        <w:t xml:space="preserve">Archetype II: Incentive Overfitting vs. Re-Targeting</w:t>
      </w:r>
    </w:p>
    <w:p>
      <w:pPr>
        <w:pStyle w:val="FirstParagraph"/>
      </w:pPr>
      <w:r>
        <w:t xml:space="preserve">This archetype splits into two materially different responses.</w:t>
      </w:r>
    </w:p>
    <w:bookmarkStart w:id="115" w:name="ii-a-subsidy-boosting-overfitting"/>
    <w:p>
      <w:pPr>
        <w:pStyle w:val="Heading3"/>
      </w:pPr>
      <w:r>
        <w:t xml:space="preserve">II-A: Subsidy Boosting (Overfitting)</w:t>
      </w:r>
    </w:p>
    <w:p>
      <w:pPr>
        <w:pStyle w:val="FirstParagraph"/>
      </w:pPr>
      <w:r>
        <w:rPr>
          <w:b/>
          <w:bCs/>
        </w:rPr>
        <w:t xml:space="preserve">Definition:</w:t>
      </w:r>
      <w:r>
        <w:t xml:space="preserve"> </w:t>
      </w:r>
      <w:r>
        <w:t xml:space="preserve">Broad increases in rewards or temporary bonus programs designed to arrest churn without altering what is being rewarded.</w:t>
      </w:r>
      <w:r>
        <w:br/>
      </w:r>
      <w:r>
        <w:rPr>
          <w:b/>
          <w:bCs/>
        </w:rPr>
        <w:t xml:space="preserve">Interaction with Tokenomics:</w:t>
      </w:r>
      <w:r>
        <w:t xml:space="preserve"> </w:t>
      </w:r>
      <w:r>
        <w:t xml:space="preserve">While incentive extensions can temporarily reduce churn, simulations demonstrate that they often worsen long-term sustainability by increasing emissions without addressing demand-side constraints. Over time, providers become conditioned to elevated subsidies, making later normalization more disruptive.</w:t>
      </w:r>
      <w:r>
        <w:br/>
      </w:r>
      <w:r>
        <w:rPr>
          <w:b/>
          <w:bCs/>
        </w:rPr>
        <w:t xml:space="preserve">Dashboard Signals:</w:t>
      </w:r>
    </w:p>
    <w:p>
      <w:pPr>
        <w:numPr>
          <w:ilvl w:val="0"/>
          <w:numId w:val="1032"/>
        </w:numPr>
      </w:pPr>
      <w:r>
        <w:t xml:space="preserve">Short-lived improvements in retention metrics.</w:t>
      </w:r>
    </w:p>
    <w:p>
      <w:pPr>
        <w:numPr>
          <w:ilvl w:val="0"/>
          <w:numId w:val="1032"/>
        </w:numPr>
      </w:pPr>
      <w:r>
        <w:t xml:space="preserve">Worsening solvency ratios.</w:t>
      </w:r>
    </w:p>
    <w:p>
      <w:pPr>
        <w:numPr>
          <w:ilvl w:val="0"/>
          <w:numId w:val="1032"/>
        </w:numPr>
      </w:pPr>
      <w:r>
        <w:t xml:space="preserve">Increased sensitivity to subsequent shocks.</w:t>
      </w:r>
    </w:p>
    <w:bookmarkEnd w:id="115"/>
    <w:bookmarkStart w:id="116" w:name="Xffb99455b7efee440de8f7fbebcfce23647c1a8"/>
    <w:p>
      <w:pPr>
        <w:pStyle w:val="Heading3"/>
      </w:pPr>
      <w:r>
        <w:t xml:space="preserve">II-B: Incentive Re-Targeting (Adaptive Alignment)</w:t>
      </w:r>
    </w:p>
    <w:p>
      <w:pPr>
        <w:pStyle w:val="FirstParagraph"/>
      </w:pPr>
      <w:r>
        <w:rPr>
          <w:b/>
          <w:bCs/>
        </w:rPr>
        <w:t xml:space="preserve">Definition:</w:t>
      </w:r>
      <w:r>
        <w:t xml:space="preserve"> </w:t>
      </w:r>
      <w:r>
        <w:t xml:space="preserve">Modification of reward logic to better reflect economically valuable output rather than participation volume.</w:t>
      </w:r>
      <w:r>
        <w:br/>
      </w:r>
      <w:r>
        <w:rPr>
          <w:b/>
          <w:bCs/>
        </w:rPr>
        <w:t xml:space="preserve">Onocoy Context:</w:t>
      </w:r>
      <w:r>
        <w:t xml:space="preserve"> </w:t>
      </w:r>
      <w:r>
        <w:t xml:space="preserve">Onocoy’s focus on quality, availability, and location scales reflects an early commitment to incentive re-targeting. The quadratic decay applied to dense geographic clustering serves as a structural guardrail against over-rewarding redundant supply.</w:t>
      </w:r>
      <w:r>
        <w:br/>
      </w:r>
      <w:r>
        <w:rPr>
          <w:b/>
          <w:bCs/>
        </w:rPr>
        <w:t xml:space="preserve">Dashboard Signals:</w:t>
      </w:r>
    </w:p>
    <w:p>
      <w:pPr>
        <w:numPr>
          <w:ilvl w:val="0"/>
          <w:numId w:val="1033"/>
        </w:numPr>
      </w:pPr>
      <w:r>
        <w:t xml:space="preserve">Improved utilization efficiency.</w:t>
      </w:r>
    </w:p>
    <w:p>
      <w:pPr>
        <w:numPr>
          <w:ilvl w:val="0"/>
          <w:numId w:val="1033"/>
        </w:numPr>
      </w:pPr>
      <w:r>
        <w:t xml:space="preserve">Slower provider growth but higher average profitability.</w:t>
      </w:r>
    </w:p>
    <w:p>
      <w:pPr>
        <w:numPr>
          <w:ilvl w:val="0"/>
          <w:numId w:val="1033"/>
        </w:numPr>
      </w:pPr>
      <w:r>
        <w:t xml:space="preserve">More stable burn-to-emission trajectories under demand volatility.</w:t>
      </w:r>
    </w:p>
    <w:bookmarkEnd w:id="116"/>
    <w:bookmarkEnd w:id="117"/>
    <w:bookmarkStart w:id="118" w:name="X64fb7bf5a1271bc089e812d138daf69aa32787a"/>
    <w:p>
      <w:pPr>
        <w:pStyle w:val="Heading2"/>
      </w:pPr>
      <w:r>
        <w:t xml:space="preserve">Archetype III: Narrative Pivot Without Structural Adjustment</w:t>
      </w:r>
    </w:p>
    <w:p>
      <w:pPr>
        <w:pStyle w:val="FirstParagraph"/>
      </w:pPr>
      <w:r>
        <w:rPr>
          <w:b/>
          <w:bCs/>
        </w:rPr>
        <w:t xml:space="preserve">Description:</w:t>
      </w:r>
      <w:r>
        <w:t xml:space="preserve"> </w:t>
      </w:r>
      <w:r>
        <w:t xml:space="preserve">Rather than modifying tokenomic parameters, teams shift messaging toward future use cases, long-term vision, or upcoming integrations. The underlying incentive structure remains largely unchanged.</w:t>
      </w:r>
      <w:r>
        <w:br/>
      </w:r>
      <w:r>
        <w:rPr>
          <w:b/>
          <w:bCs/>
        </w:rPr>
        <w:t xml:space="preserve">Rationale at the Time:</w:t>
      </w:r>
      <w:r>
        <w:t xml:space="preserve"> </w:t>
      </w:r>
      <w:r>
        <w:t xml:space="preserve">Narrative pivots are low-cost and reversible. They are often employed when governance processes are slow or when parameter changes are perceived as risky or controversial.</w:t>
      </w:r>
      <w:r>
        <w:br/>
      </w:r>
      <w:r>
        <w:rPr>
          <w:b/>
          <w:bCs/>
        </w:rPr>
        <w:t xml:space="preserve">Interaction with Tokenomics:</w:t>
      </w:r>
      <w:r>
        <w:t xml:space="preserve"> </w:t>
      </w:r>
      <w:r>
        <w:t xml:space="preserve">Narrative changes have limited impact on provider economics when structural conditions remain unchanged. Simulation results indicate that, absent demand recovery, incentive solvency continues to deteriorate regardless of narrative framing.</w:t>
      </w:r>
    </w:p>
    <w:bookmarkEnd w:id="118"/>
    <w:bookmarkStart w:id="119" w:name="archetype-iv-emergency-centralization"/>
    <w:p>
      <w:pPr>
        <w:pStyle w:val="Heading2"/>
      </w:pPr>
      <w:r>
        <w:t xml:space="preserve">Archetype IV: Emergency Centralization</w:t>
      </w:r>
    </w:p>
    <w:p>
      <w:pPr>
        <w:pStyle w:val="FirstParagraph"/>
      </w:pPr>
      <w:r>
        <w:rPr>
          <w:b/>
          <w:bCs/>
        </w:rPr>
        <w:t xml:space="preserve">Description:</w:t>
      </w:r>
      <w:r>
        <w:t xml:space="preserve"> </w:t>
      </w:r>
      <w:r>
        <w:t xml:space="preserve">Under severe stress, extensive intervention leads to temporary or permanent centralization of control, infrastructure, or execution environments to preserve network functionality.</w:t>
      </w:r>
      <w:r>
        <w:br/>
      </w:r>
      <w:r>
        <w:rPr>
          <w:b/>
          <w:bCs/>
        </w:rPr>
        <w:t xml:space="preserve">Comparative Evidence:</w:t>
      </w:r>
      <w:r>
        <w:t xml:space="preserve"> </w:t>
      </w:r>
      <w:r>
        <w:t xml:space="preserve">The migration of Helium to Solana represents a clear instance where operational survivability was prioritized over architectural purity.</w:t>
      </w:r>
      <w:r>
        <w:br/>
      </w:r>
      <w:r>
        <w:rPr>
          <w:b/>
          <w:bCs/>
        </w:rPr>
        <w:t xml:space="preserve">Interaction with Tokenomics:</w:t>
      </w:r>
      <w:r>
        <w:t xml:space="preserve"> </w:t>
      </w:r>
      <w:r>
        <w:t xml:space="preserve">Emergency interventions can stabilize capacity and reduce churn in the short term. However, they introduce governance risk and undermine long-term decentralization incentives. Simulations suggest that while collapse probabilities decrease, recovery elasticity often diminishes.</w:t>
      </w:r>
    </w:p>
    <w:bookmarkEnd w:id="119"/>
    <w:bookmarkStart w:id="121" w:name="X1d3490cd6070ccb74ce8d17643d387ace774088"/>
    <w:p>
      <w:pPr>
        <w:pStyle w:val="Heading2"/>
      </w:pPr>
      <w:r>
        <w:t xml:space="preserve">Implications for Onocoy (Diagnostic Alignment)</w:t>
      </w:r>
    </w:p>
    <w:p>
      <w:pPr>
        <w:pStyle w:val="FirstParagraph"/>
      </w:pPr>
      <w:r>
        <w:t xml:space="preserve">The primary contribution of these archetypes is not explanatory storytelling, but diagnostic alignment. Each response pattern maps directly to observable signals within the stress-testing dashboard developed in this thesis.</w:t>
      </w:r>
    </w:p>
    <w:p>
      <w:pPr>
        <w:pStyle w:val="BodyText"/>
      </w:pPr>
      <w:r>
        <w:t xml:space="preserve">Rather than prescribing specific decisions, the framework allows Onocoy’s operators to ask a fundamental question:</w:t>
      </w:r>
      <w:r>
        <w:t xml:space="preserve"> </w:t>
      </w:r>
      <w:r>
        <w:rPr>
          <w:i/>
          <w:iCs/>
        </w:rPr>
        <w:t xml:space="preserve">Which stress-response pattern are we currently exhibiting?</w:t>
      </w:r>
      <w:r>
        <w:t xml:space="preserve"> </w:t>
      </w:r>
      <w:r>
        <w:t xml:space="preserve">For Onocoy, this framing clarifies how specific design choices (such as emission decay and location penalties) interact with human decision-making to shape resilience trajectories.</w:t>
      </w:r>
    </w:p>
    <w:bookmarkStart w:id="120" w:name="onocoy-specific-diagnostic-signals"/>
    <w:p>
      <w:pPr>
        <w:pStyle w:val="Heading3"/>
      </w:pPr>
      <w:r>
        <w:t xml:space="preserve">Onocoy-Specific Diagnostic Signals</w:t>
      </w:r>
    </w:p>
    <w:p>
      <w:pPr>
        <w:pStyle w:val="FirstParagraph"/>
      </w:pPr>
      <w:r>
        <w:t xml:space="preserve">To make these archetypes actionable for Onocoy governance, we map the abstract patterns to concrete internal signals</w:t>
      </w:r>
      <w:r>
        <w:t xml:space="preserve"> </w:t>
      </w:r>
      <w:r>
        <w:t xml:space="preserve">:</w:t>
      </w:r>
    </w:p>
    <w:p>
      <w:pPr>
        <w:numPr>
          <w:ilvl w:val="0"/>
          <w:numId w:val="1034"/>
        </w:numPr>
      </w:pPr>
      <w:r>
        <w:rPr>
          <w:b/>
          <w:bCs/>
        </w:rPr>
        <w:t xml:space="preserve">Subsidy Inertia Signal:</w:t>
      </w:r>
      <w:r>
        <w:t xml:space="preserve"> </w:t>
      </w:r>
      <w:r>
        <w:t xml:space="preserve">If the DAO votes to extend</w:t>
      </w:r>
      <w:r>
        <w:t xml:space="preserve"> </w:t>
      </w:r>
      <w:r>
        <w:t xml:space="preserve">“Beta Rewards”</w:t>
      </w:r>
      <w:r>
        <w:t xml:space="preserve"> </w:t>
      </w:r>
      <w:r>
        <w:t xml:space="preserve">or</w:t>
      </w:r>
      <w:r>
        <w:t xml:space="preserve"> </w:t>
      </w:r>
      <w:r>
        <w:t xml:space="preserve">“Early Mover Boosts”</w:t>
      </w:r>
      <w:r>
        <w:t xml:space="preserve"> </w:t>
      </w:r>
      <w:r>
        <w:t xml:space="preserve">indefinitely despite low data credit burns, this indicates a fear-driven refusal to accept demand reality.</w:t>
      </w:r>
    </w:p>
    <w:p>
      <w:pPr>
        <w:numPr>
          <w:ilvl w:val="0"/>
          <w:numId w:val="1034"/>
        </w:numPr>
      </w:pPr>
      <w:r>
        <w:rPr>
          <w:b/>
          <w:bCs/>
        </w:rPr>
        <w:t xml:space="preserve">Incentive Overfitting Signal:</w:t>
      </w:r>
      <w:r>
        <w:t xml:space="preserve"> </w:t>
      </w:r>
      <w:r>
        <w:t xml:space="preserve">Launching broad</w:t>
      </w:r>
      <w:r>
        <w:t xml:space="preserve"> </w:t>
      </w:r>
      <w:r>
        <w:t xml:space="preserve">“Bonus Programs”</w:t>
      </w:r>
      <w:r>
        <w:t xml:space="preserve"> </w:t>
      </w:r>
      <w:r>
        <w:t xml:space="preserve"> </w:t>
      </w:r>
      <w:r>
        <w:t xml:space="preserve">without tying them to specific high-demand geographic zones suggests a</w:t>
      </w:r>
      <w:r>
        <w:t xml:space="preserve"> </w:t>
      </w:r>
      <w:r>
        <w:t xml:space="preserve">“bribe”</w:t>
      </w:r>
      <w:r>
        <w:t xml:space="preserve"> </w:t>
      </w:r>
      <w:r>
        <w:t xml:space="preserve">response to stop churn, likely attracting mercenary capital.</w:t>
      </w:r>
    </w:p>
    <w:p>
      <w:pPr>
        <w:numPr>
          <w:ilvl w:val="0"/>
          <w:numId w:val="1034"/>
        </w:numPr>
      </w:pPr>
      <w:r>
        <w:rPr>
          <w:b/>
          <w:bCs/>
        </w:rPr>
        <w:t xml:space="preserve">Narrative Pivot Signal:</w:t>
      </w:r>
      <w:r>
        <w:t xml:space="preserve"> </w:t>
      </w:r>
      <w:r>
        <w:t xml:space="preserve">If roadmap milestones shift from core</w:t>
      </w:r>
      <w:r>
        <w:t xml:space="preserve"> </w:t>
      </w:r>
      <w:r>
        <w:t xml:space="preserve">“Rover Integration”</w:t>
      </w:r>
      <w:r>
        <w:t xml:space="preserve"> </w:t>
      </w:r>
      <w:r>
        <w:t xml:space="preserve">and</w:t>
      </w:r>
      <w:r>
        <w:t xml:space="preserve"> </w:t>
      </w:r>
      <w:r>
        <w:t xml:space="preserve">“RTK Adoption”</w:t>
      </w:r>
      <w:r>
        <w:t xml:space="preserve"> </w:t>
      </w:r>
      <w:r>
        <w:t xml:space="preserve">to vague</w:t>
      </w:r>
      <w:r>
        <w:t xml:space="preserve"> </w:t>
      </w:r>
      <w:r>
        <w:t xml:space="preserve">“AI Data Layer”</w:t>
      </w:r>
      <w:r>
        <w:t xml:space="preserve"> </w:t>
      </w:r>
      <w:r>
        <w:t xml:space="preserve">promises without structural substance, it warns of a distraction capability.</w:t>
      </w:r>
    </w:p>
    <w:p>
      <w:pPr>
        <w:numPr>
          <w:ilvl w:val="0"/>
          <w:numId w:val="1034"/>
        </w:numPr>
      </w:pPr>
      <w:r>
        <w:rPr>
          <w:b/>
          <w:bCs/>
        </w:rPr>
        <w:t xml:space="preserve">Emergency Centralization Signal:</w:t>
      </w:r>
      <w:r>
        <w:t xml:space="preserve"> </w:t>
      </w:r>
      <w:r>
        <w:t xml:space="preserve">If the Foundation begins operating a significant percentage of reference stations to maintain coverage metrics, the network has entered a survival mode that suspends decentralization.</w:t>
      </w:r>
    </w:p>
    <w:bookmarkEnd w:id="120"/>
    <w:bookmarkEnd w:id="121"/>
    <w:bookmarkStart w:id="125" w:name="X6486198ce935388e1888e9f8651b198e4fb941d"/>
    <w:p>
      <w:pPr>
        <w:pStyle w:val="Heading2"/>
      </w:pPr>
      <w:r>
        <w:t xml:space="preserve">Counterexamples, Edge Cases, and Deliberate Exclusions</w:t>
      </w:r>
    </w:p>
    <w:p>
      <w:pPr>
        <w:pStyle w:val="FirstParagraph"/>
      </w:pPr>
      <w:r>
        <w:t xml:space="preserve">The analytical framework presented in this thesis emphasizes comparative robustness of DePIN tokenomic mechanisms under stress. As with any applied modeling approach, its explanatory power depends on clearly defined boundaries.</w:t>
      </w:r>
    </w:p>
    <w:bookmarkStart w:id="122" w:name="Xbc215c3f3c1f7e21619553d37cb315960d97030"/>
    <w:p>
      <w:pPr>
        <w:pStyle w:val="Heading3"/>
      </w:pPr>
      <w:r>
        <w:t xml:space="preserve">Counterexample I: Demand-Dominant DePIN Regimes</w:t>
      </w:r>
    </w:p>
    <w:p>
      <w:pPr>
        <w:pStyle w:val="FirstParagraph"/>
      </w:pPr>
      <w:r>
        <w:t xml:space="preserve">A first class of counterexamples arises in DePINs that successfully reach a demand-dominant regime, where exogenous usage growth overwhelms tokenomic stress dynamics. In such cases, increasing service demand drives burn mechanisms and provider revenue independently of short-term incentive tuning. Under these conditions, archetypes like subsidy inertia become less predictive. This distinction reinforces the thesis scope: the analysis is designed for early-to-mid-stage DePINs operating under demand uncertainty.</w:t>
      </w:r>
    </w:p>
    <w:bookmarkEnd w:id="122"/>
    <w:bookmarkStart w:id="123" w:name="Xa07db131d5946a55a0aa430e2dc79b8fb2fffc1"/>
    <w:p>
      <w:pPr>
        <w:pStyle w:val="Heading3"/>
      </w:pPr>
      <w:r>
        <w:t xml:space="preserve">Counterexample II: Structurally Centralized Networks</w:t>
      </w:r>
    </w:p>
    <w:p>
      <w:pPr>
        <w:pStyle w:val="FirstParagraph"/>
      </w:pPr>
      <w:r>
        <w:t xml:space="preserve">Networks relying on persistent organizational centralization for incentive coordination are excluded by design. Their stability is organizational rather than tokenomic, governed by administrative authority rather than decentralized feedback loops.</w:t>
      </w:r>
    </w:p>
    <w:bookmarkEnd w:id="123"/>
    <w:bookmarkStart w:id="124" w:name="excluded-archetypes-and-metrics"/>
    <w:p>
      <w:pPr>
        <w:pStyle w:val="Heading3"/>
      </w:pPr>
      <w:r>
        <w:t xml:space="preserve">Excluded Archetypes and Metrics</w:t>
      </w:r>
    </w:p>
    <w:p>
      <w:pPr>
        <w:pStyle w:val="FirstParagraph"/>
      </w:pPr>
      <w:r>
        <w:rPr>
          <w:b/>
          <w:bCs/>
        </w:rPr>
        <w:t xml:space="preserve">Governance Paralysis:</w:t>
      </w:r>
      <w:r>
        <w:t xml:space="preserve"> </w:t>
      </w:r>
      <w:r>
        <w:t xml:space="preserve">While common, this represents a failure to respond rather than a stable archetype.</w:t>
      </w:r>
      <w:r>
        <w:br/>
      </w:r>
      <w:r>
        <w:rPr>
          <w:b/>
          <w:bCs/>
        </w:rPr>
        <w:t xml:space="preserve">Speculative Reflexivity:</w:t>
      </w:r>
      <w:r>
        <w:t xml:space="preserve"> </w:t>
      </w:r>
      <w:r>
        <w:t xml:space="preserve">Dropped to avoid conflating price momentum with infrastructure utility.</w:t>
      </w:r>
      <w:r>
        <w:br/>
      </w:r>
      <w:r>
        <w:rPr>
          <w:b/>
          <w:bCs/>
        </w:rPr>
        <w:t xml:space="preserve">Excluded Metrics:</w:t>
      </w:r>
      <w:r>
        <w:t xml:space="preserve"> </w:t>
      </w:r>
      <w:r>
        <w:t xml:space="preserve">Raw token price and market cap were excluded due to high volatility and weak interpretability under stress</w:t>
      </w:r>
      <w:r>
        <w:t xml:space="preserve"> </w:t>
      </w:r>
      <w:r>
        <w:t xml:space="preserve">. The analysis prioritizes metrics like provider retention and utilization efficiency.</w:t>
      </w:r>
    </w:p>
    <w:bookmarkEnd w:id="124"/>
    <w:bookmarkEnd w:id="125"/>
    <w:bookmarkEnd w:id="126"/>
    <w:bookmarkStart w:id="127" w:name="sec:appendix"/>
    <w:p>
      <w:pPr>
        <w:pStyle w:val="Heading1"/>
      </w:pPr>
      <w:r>
        <w:t xml:space="preserve">Appendix</w:t>
      </w:r>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DePIN Tokenomics Under Stress A Simulation-Based Sustainability Analysis Using the Onocoy Network as a Case Study </dc:title>
  <dc:creator>Author A Author B Author C</dc:creator>
  <cp:keywords/>
  <dcterms:created xsi:type="dcterms:W3CDTF">2026-01-19T21:15:27Z</dcterms:created>
  <dcterms:modified xsi:type="dcterms:W3CDTF">2026-01-19T21:15:27Z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2026-01-19</vt:lpwstr>
  </property>
</Properties>
</file>