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color w:val="1f4e79"/>
          <w:sz w:val="40"/>
          <w:szCs w:val="40"/>
          <w:rtl w:val="0"/>
        </w:rPr>
        <w:t xml:space="preserve">Bayesian Forward-Ensemble Methodology</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b w:val="1"/>
          <w:bCs w:val="1"/>
          <w:color w:val="1f4e79"/>
          <w:sz w:val="32"/>
          <w:szCs w:val="32"/>
          <w:rtl w:val="0"/>
        </w:rPr>
        <w:t xml:space="preserve">for Oil Spill Origin Attribution</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Calibri" w:cs="Calibri" w:eastAsia="Calibri" w:hAnsi="Calibri"/>
          <w:i w:val="1"/>
          <w:iCs w:val="1"/>
          <w:color w:val="555555"/>
          <w:sz w:val="22"/>
          <w:szCs w:val="22"/>
          <w:rtl w:val="0"/>
        </w:rPr>
        <w:t xml:space="preserve">Correcting naive backward-drift attribution using forward Lagrangian ensembles and AIS-derived priors</w:t>
      </w:r>
      <w:r w:rsidDel="00000000" w:rsidR="00000000" w:rsidRPr="00000000">
        <w:rPr>
          <w:rtl w:val="0"/>
        </w:rPr>
      </w:r>
    </w:p>
    <w:p w:rsidR="00000000" w:rsidDel="00000000" w:rsidP="00000000" w:rsidRDefault="00000000" w:rsidRPr="00000000" w14:paraId="00000004">
      <w:pPr>
        <w:pStyle w:val="Heading1"/>
        <w:spacing w:after="160" w:before="320" w:lineRule="auto"/>
        <w:rPr/>
      </w:pPr>
      <w:r w:rsidDel="00000000" w:rsidR="00000000" w:rsidRPr="00000000">
        <w:rPr>
          <w:rFonts w:ascii="Calibri" w:cs="Calibri" w:eastAsia="Calibri" w:hAnsi="Calibri"/>
          <w:b w:val="1"/>
          <w:bCs w:val="1"/>
          <w:color w:val="1f4e79"/>
          <w:sz w:val="30"/>
          <w:szCs w:val="30"/>
          <w:rtl w:val="0"/>
        </w:rPr>
        <w:t xml:space="preserve">1. Why the Original Approach Needed Correction</w:t>
      </w:r>
      <w:r w:rsidDel="00000000" w:rsidR="00000000" w:rsidRPr="00000000">
        <w:rPr>
          <w:rtl w:val="0"/>
        </w:rPr>
      </w:r>
    </w:p>
    <w:p w:rsidR="00000000" w:rsidDel="00000000" w:rsidP="00000000" w:rsidRDefault="00000000" w:rsidRPr="00000000" w14:paraId="00000005">
      <w:pPr>
        <w:spacing w:after="140" w:line="276" w:lineRule="auto"/>
        <w:rPr/>
      </w:pPr>
      <w:r w:rsidDel="00000000" w:rsidR="00000000" w:rsidRPr="00000000">
        <w:rPr>
          <w:rFonts w:ascii="Calibri" w:cs="Calibri" w:eastAsia="Calibri" w:hAnsi="Calibri"/>
          <w:sz w:val="22"/>
          <w:szCs w:val="22"/>
          <w:rtl w:val="0"/>
        </w:rPr>
        <w:t xml:space="preserve">The original pipeline detected an oil slick from satellite imagery (SAR/EO), then attempted to find its origin by reversing the current and wind vectors and running the drift model backward in time from the detected slick location. This is called naive backtracking.</w:t>
      </w:r>
      <w:r w:rsidDel="00000000" w:rsidR="00000000" w:rsidRPr="00000000">
        <w:rPr>
          <w:rtl w:val="0"/>
        </w:rPr>
      </w:r>
    </w:p>
    <w:p w:rsidR="00000000" w:rsidDel="00000000" w:rsidP="00000000" w:rsidRDefault="00000000" w:rsidRPr="00000000" w14:paraId="00000006">
      <w:pPr>
        <w:spacing w:after="140" w:line="276" w:lineRule="auto"/>
        <w:rPr/>
      </w:pPr>
      <w:r w:rsidDel="00000000" w:rsidR="00000000" w:rsidRPr="00000000">
        <w:rPr>
          <w:rFonts w:ascii="Calibri" w:cs="Calibri" w:eastAsia="Calibri" w:hAnsi="Calibri"/>
          <w:sz w:val="22"/>
          <w:szCs w:val="22"/>
          <w:rtl w:val="0"/>
        </w:rPr>
        <w:t xml:space="preserve">Breivik et al. (2025, Ocean Modelling) show that naive backtracking is only valid when the underlying physics is smooth, continuous, and reversible. Oil spill drift violates this in two specific, provable ways: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Weathering is irreversible and history-dependent. Evaporation, emulsification, and viscosity change monotonically with exposure time. Reversing the velocity field does not reverse the weathering state — the model would need to know the exact release time to “un-weather” the oil correctly, which is precisely the unknown being solved for.</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Slicks sit in convergence zones. Buoyant material collects in horizontally convergent currents. If a slick is observed inside one, there is no way to determine how long it has been there — a fundamental ambiguity, not a data quality issue.</w:t>
      </w:r>
      <w:r w:rsidDel="00000000" w:rsidR="00000000" w:rsidRPr="00000000">
        <w:rPr>
          <w:rtl w:val="0"/>
        </w:rPr>
      </w:r>
    </w:p>
    <w:p w:rsidR="00000000" w:rsidDel="00000000" w:rsidP="00000000" w:rsidRDefault="00000000" w:rsidRPr="00000000" w14:paraId="00000009">
      <w:pPr>
        <w:spacing w:after="140" w:line="276" w:lineRule="auto"/>
        <w:rPr/>
      </w:pPr>
      <w:r w:rsidDel="00000000" w:rsidR="00000000" w:rsidRPr="00000000">
        <w:rPr>
          <w:rFonts w:ascii="Calibri" w:cs="Calibri" w:eastAsia="Calibri" w:hAnsi="Calibri"/>
          <w:sz w:val="22"/>
          <w:szCs w:val="22"/>
          <w:rtl w:val="0"/>
        </w:rPr>
        <w:t xml:space="preserve">Better forcing data (CMEMS GLORYS12 currents, ERA5 winds) fixes forcing-field accuracy. It does not fix this structural problem, because the issue is the direction of integration, not the precision of the inputs.</w:t>
      </w:r>
      <w:r w:rsidDel="00000000" w:rsidR="00000000" w:rsidRPr="00000000">
        <w:rPr>
          <w:rtl w:val="0"/>
        </w:rPr>
      </w:r>
    </w:p>
    <w:p w:rsidR="00000000" w:rsidDel="00000000" w:rsidP="00000000" w:rsidRDefault="00000000" w:rsidRPr="00000000" w14:paraId="0000000A">
      <w:pPr>
        <w:pStyle w:val="Heading1"/>
        <w:spacing w:after="160" w:before="320" w:lineRule="auto"/>
        <w:rPr/>
      </w:pPr>
      <w:r w:rsidDel="00000000" w:rsidR="00000000" w:rsidRPr="00000000">
        <w:rPr>
          <w:rFonts w:ascii="Calibri" w:cs="Calibri" w:eastAsia="Calibri" w:hAnsi="Calibri"/>
          <w:b w:val="1"/>
          <w:bCs w:val="1"/>
          <w:color w:val="1f4e79"/>
          <w:sz w:val="30"/>
          <w:szCs w:val="30"/>
          <w:rtl w:val="0"/>
        </w:rPr>
        <w:t xml:space="preserve">2. Corrected Architecture</w:t>
      </w:r>
      <w:r w:rsidDel="00000000" w:rsidR="00000000" w:rsidRPr="00000000">
        <w:rPr>
          <w:rtl w:val="0"/>
        </w:rPr>
      </w:r>
    </w:p>
    <w:p w:rsidR="00000000" w:rsidDel="00000000" w:rsidP="00000000" w:rsidRDefault="00000000" w:rsidRPr="00000000" w14:paraId="0000000B">
      <w:pPr>
        <w:spacing w:after="140" w:line="276" w:lineRule="auto"/>
        <w:rPr/>
      </w:pPr>
      <w:r w:rsidDel="00000000" w:rsidR="00000000" w:rsidRPr="00000000">
        <w:rPr>
          <w:rFonts w:ascii="Calibri" w:cs="Calibri" w:eastAsia="Calibri" w:hAnsi="Calibri"/>
          <w:sz w:val="22"/>
          <w:szCs w:val="22"/>
          <w:rtl w:val="0"/>
        </w:rPr>
        <w:t xml:space="preserve">Backward integration is demoted from “final answer” to “cheap pre-filter.” The final origin estimate is always produced by a forward ensemble run from candidate release points, scored against the observed slick using a Bayesian likelihood.</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8050"/>
        <w:tblGridChange w:id="0">
          <w:tblGrid>
            <w:gridCol w:w="1350"/>
            <w:gridCol w:w="8050"/>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19"/>
                <w:szCs w:val="19"/>
                <w:rtl w:val="0"/>
              </w:rPr>
              <w:t xml:space="preserve">Stage</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19"/>
                <w:szCs w:val="19"/>
                <w:rtl w:val="0"/>
              </w:rPr>
              <w:t xml:space="preserve">Function</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000000"/>
                <w:sz w:val="19"/>
                <w:szCs w:val="19"/>
                <w:rtl w:val="0"/>
              </w:rPr>
              <w:t xml:space="preserve">1. Detection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0"/>
                <w:bCs w:val="0"/>
                <w:color w:val="000000"/>
                <w:sz w:val="19"/>
                <w:szCs w:val="19"/>
                <w:rtl w:val="0"/>
              </w:rPr>
              <w:t xml:space="preserve">SAR/EO model outputs slick polygon, centroid, extent, and detection time T (this is the observation y_T)</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000000"/>
                <w:sz w:val="19"/>
                <w:szCs w:val="19"/>
                <w:rtl w:val="0"/>
              </w:rPr>
              <w:t xml:space="preserve">2. Quick backward pass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000000"/>
                <w:sz w:val="19"/>
                <w:szCs w:val="19"/>
                <w:rtl w:val="0"/>
              </w:rPr>
              <w:t xml:space="preserve">Short reverse-time run (hours, not full backtrack) just to bound a candidate search area — not used as the origin estimate</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000000"/>
                <w:sz w:val="19"/>
                <w:szCs w:val="19"/>
                <w:rtl w:val="0"/>
              </w:rPr>
              <w:t xml:space="preserve">3. AIS candidate set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000000"/>
                <w:sz w:val="19"/>
                <w:szCs w:val="19"/>
                <w:rtl w:val="0"/>
              </w:rPr>
              <w:t xml:space="preserve">Extract (vessel, position, time) triples from AIS within the bounded area/time window — each is a release hypothesis</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000000"/>
                <w:sz w:val="19"/>
                <w:szCs w:val="19"/>
                <w:rtl w:val="0"/>
              </w:rPr>
              <w:t xml:space="preserve">4. Forward ensemble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000000"/>
                <w:sz w:val="19"/>
                <w:szCs w:val="19"/>
                <w:rtl w:val="0"/>
              </w:rPr>
              <w:t xml:space="preserve">For each candidate, run OpenOil forward from candidate release point using CMEMS GLORYS12 + ERA5, including weathering</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000000"/>
                <w:sz w:val="19"/>
                <w:szCs w:val="19"/>
                <w:rtl w:val="0"/>
              </w:rPr>
              <w:t xml:space="preserve">5. Likelihood scoring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color w:val="000000"/>
                <w:sz w:val="19"/>
                <w:szCs w:val="19"/>
                <w:rtl w:val="0"/>
              </w:rPr>
              <w:t xml:space="preserve">Compare each candidate's ensemble spread at time T against the observed slick position/extent</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000000"/>
                <w:sz w:val="19"/>
                <w:szCs w:val="19"/>
                <w:rtl w:val="0"/>
              </w:rPr>
              <w:t xml:space="preserve">6. Posterior / suspect ranking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000000"/>
                <w:sz w:val="19"/>
                <w:szCs w:val="19"/>
                <w:rtl w:val="0"/>
              </w:rPr>
              <w:t xml:space="preserve">Bayes' rule combines prior (AIS-based) with likelihood → ranked, probabilistic vessel attribution</w:t>
            </w:r>
            <w:r w:rsidDel="00000000" w:rsidR="00000000" w:rsidRPr="00000000">
              <w:rPr>
                <w:rtl w:val="0"/>
              </w:rPr>
            </w:r>
          </w:p>
        </w:tc>
      </w:tr>
    </w:tbl>
    <w:p w:rsidR="00000000" w:rsidDel="00000000" w:rsidP="00000000" w:rsidRDefault="00000000" w:rsidRPr="00000000" w14:paraId="0000001A">
      <w:pPr>
        <w:spacing w:after="300" w:lineRule="auto"/>
        <w:rPr/>
      </w:pPr>
      <w:r w:rsidDel="00000000" w:rsidR="00000000" w:rsidRPr="00000000">
        <w:rPr>
          <w:rtl w:val="0"/>
        </w:rPr>
      </w:r>
    </w:p>
    <w:p w:rsidR="00000000" w:rsidDel="00000000" w:rsidP="00000000" w:rsidRDefault="00000000" w:rsidRPr="00000000" w14:paraId="0000001B">
      <w:pPr>
        <w:pStyle w:val="Heading1"/>
        <w:spacing w:after="160" w:before="320" w:lineRule="auto"/>
        <w:rPr/>
      </w:pPr>
      <w:r w:rsidDel="00000000" w:rsidR="00000000" w:rsidRPr="00000000">
        <w:rPr>
          <w:rFonts w:ascii="Calibri" w:cs="Calibri" w:eastAsia="Calibri" w:hAnsi="Calibri"/>
          <w:b w:val="1"/>
          <w:bCs w:val="1"/>
          <w:color w:val="1f4e79"/>
          <w:sz w:val="30"/>
          <w:szCs w:val="30"/>
          <w:rtl w:val="0"/>
        </w:rPr>
        <w:t xml:space="preserve">3. Step-by-Step Implementation</w:t>
      </w:r>
      <w:r w:rsidDel="00000000" w:rsidR="00000000" w:rsidRPr="00000000">
        <w:rPr>
          <w:rtl w:val="0"/>
        </w:rPr>
      </w:r>
    </w:p>
    <w:p w:rsidR="00000000" w:rsidDel="00000000" w:rsidP="00000000" w:rsidRDefault="00000000" w:rsidRPr="00000000" w14:paraId="0000001C">
      <w:pPr>
        <w:pStyle w:val="Heading2"/>
        <w:spacing w:after="120" w:before="260" w:lineRule="auto"/>
        <w:rPr/>
      </w:pPr>
      <w:r w:rsidDel="00000000" w:rsidR="00000000" w:rsidRPr="00000000">
        <w:rPr>
          <w:rFonts w:ascii="Calibri" w:cs="Calibri" w:eastAsia="Calibri" w:hAnsi="Calibri"/>
          <w:b w:val="1"/>
          <w:bCs w:val="1"/>
          <w:color w:val="1f4e79"/>
          <w:sz w:val="24"/>
          <w:szCs w:val="24"/>
          <w:rtl w:val="0"/>
        </w:rPr>
        <w:t xml:space="preserve">Step 1 — Reframe the backward run</w:t>
      </w:r>
      <w:r w:rsidDel="00000000" w:rsidR="00000000" w:rsidRPr="00000000">
        <w:rPr>
          <w:rtl w:val="0"/>
        </w:rPr>
      </w:r>
    </w:p>
    <w:p w:rsidR="00000000" w:rsidDel="00000000" w:rsidP="00000000" w:rsidRDefault="00000000" w:rsidRPr="00000000" w14:paraId="0000001D">
      <w:pPr>
        <w:spacing w:after="140" w:line="276" w:lineRule="auto"/>
        <w:rPr/>
      </w:pPr>
      <w:r w:rsidDel="00000000" w:rsidR="00000000" w:rsidRPr="00000000">
        <w:rPr>
          <w:rFonts w:ascii="Calibri" w:cs="Calibri" w:eastAsia="Calibri" w:hAnsi="Calibri"/>
          <w:sz w:val="22"/>
          <w:szCs w:val="22"/>
          <w:rtl w:val="0"/>
        </w:rPr>
        <w:t xml:space="preserve">Keep a backward integration, but only run it for a short window (e.g. 6–24 hours, not the full suspected drift duration) purely to bound a candidate area and time window. Its output is a search box, never a point estimate of origin.</w:t>
      </w:r>
      <w:r w:rsidDel="00000000" w:rsidR="00000000" w:rsidRPr="00000000">
        <w:rPr>
          <w:rtl w:val="0"/>
        </w:rPr>
      </w:r>
    </w:p>
    <w:p w:rsidR="00000000" w:rsidDel="00000000" w:rsidP="00000000" w:rsidRDefault="00000000" w:rsidRPr="00000000" w14:paraId="0000001E">
      <w:pPr>
        <w:pStyle w:val="Heading2"/>
        <w:spacing w:after="120" w:before="260" w:lineRule="auto"/>
        <w:rPr/>
      </w:pPr>
      <w:r w:rsidDel="00000000" w:rsidR="00000000" w:rsidRPr="00000000">
        <w:rPr>
          <w:rFonts w:ascii="Calibri" w:cs="Calibri" w:eastAsia="Calibri" w:hAnsi="Calibri"/>
          <w:b w:val="1"/>
          <w:bCs w:val="1"/>
          <w:color w:val="1f4e79"/>
          <w:sz w:val="24"/>
          <w:szCs w:val="24"/>
          <w:rtl w:val="0"/>
        </w:rPr>
        <w:t xml:space="preserve">Step 2 — Build the AIS candidate origin set</w:t>
      </w:r>
      <w:r w:rsidDel="00000000" w:rsidR="00000000" w:rsidRPr="00000000">
        <w:rPr>
          <w:rtl w:val="0"/>
        </w:rPr>
      </w:r>
    </w:p>
    <w:p w:rsidR="00000000" w:rsidDel="00000000" w:rsidP="00000000" w:rsidRDefault="00000000" w:rsidRPr="00000000" w14:paraId="0000001F">
      <w:pPr>
        <w:spacing w:after="140" w:line="276" w:lineRule="auto"/>
        <w:rPr/>
      </w:pPr>
      <w:r w:rsidDel="00000000" w:rsidR="00000000" w:rsidRPr="00000000">
        <w:rPr>
          <w:rFonts w:ascii="Calibri" w:cs="Calibri" w:eastAsia="Calibri" w:hAnsi="Calibri"/>
          <w:sz w:val="22"/>
          <w:szCs w:val="22"/>
          <w:rtl w:val="0"/>
        </w:rPr>
        <w:t xml:space="preserve">Within the bounded area/time window, extract every vessel track from AIS that passed through it. Each (vessel, position, time) combination becomes a candidate hypothesis for the release location and time S. This directly enables vessel attribution, not just a geographic guess.</w:t>
      </w:r>
      <w:r w:rsidDel="00000000" w:rsidR="00000000" w:rsidRPr="00000000">
        <w:rPr>
          <w:rtl w:val="0"/>
        </w:rPr>
      </w:r>
    </w:p>
    <w:p w:rsidR="00000000" w:rsidDel="00000000" w:rsidP="00000000" w:rsidRDefault="00000000" w:rsidRPr="00000000" w14:paraId="00000020">
      <w:pPr>
        <w:pStyle w:val="Heading2"/>
        <w:spacing w:after="120" w:before="260" w:lineRule="auto"/>
        <w:rPr/>
      </w:pPr>
      <w:r w:rsidDel="00000000" w:rsidR="00000000" w:rsidRPr="00000000">
        <w:rPr>
          <w:rFonts w:ascii="Calibri" w:cs="Calibri" w:eastAsia="Calibri" w:hAnsi="Calibri"/>
          <w:b w:val="1"/>
          <w:bCs w:val="1"/>
          <w:color w:val="1f4e79"/>
          <w:sz w:val="24"/>
          <w:szCs w:val="24"/>
          <w:rtl w:val="0"/>
        </w:rPr>
        <w:t xml:space="preserve">Step 3 — Forward simulation with OpenOil</w:t>
      </w:r>
      <w:r w:rsidDel="00000000" w:rsidR="00000000" w:rsidRPr="00000000">
        <w:rPr>
          <w:rtl w:val="0"/>
        </w:rPr>
      </w:r>
    </w:p>
    <w:p w:rsidR="00000000" w:rsidDel="00000000" w:rsidP="00000000" w:rsidRDefault="00000000" w:rsidRPr="00000000" w14:paraId="00000021">
      <w:pPr>
        <w:spacing w:after="140" w:line="276" w:lineRule="auto"/>
        <w:rPr/>
      </w:pPr>
      <w:r w:rsidDel="00000000" w:rsidR="00000000" w:rsidRPr="00000000">
        <w:rPr>
          <w:rFonts w:ascii="Calibri" w:cs="Calibri" w:eastAsia="Calibri" w:hAnsi="Calibri"/>
          <w:sz w:val="22"/>
          <w:szCs w:val="22"/>
          <w:rtl w:val="0"/>
        </w:rPr>
        <w:t xml:space="preserve">For each candidate, seed a perturbed ensemble (position/time jitter reflecting AIS and detection uncertainty) and integrate forward using: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CMEMS GLORYS12 for ocean currents (already historical/reanalysis — no forcing-field guesswork)</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ERA5 for 10 m wind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OpenOil's built-in weathering module for evaporation, emulsification, and dispersion — forward-only, irreversible, exactly as physically correct</w:t>
      </w: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rFonts w:ascii="Calibri" w:cs="Calibri" w:eastAsia="Calibri" w:hAnsi="Calibri"/>
          <w:sz w:val="22"/>
          <w:szCs w:val="22"/>
          <w:rtl w:val="0"/>
        </w:rPr>
        <w:t xml:space="preserve">Integrate forward until the detection time T (or T ± τ to allow for detection timing uncertainty).</w:t>
      </w:r>
      <w:r w:rsidDel="00000000" w:rsidR="00000000" w:rsidRPr="00000000">
        <w:rPr>
          <w:rtl w:val="0"/>
        </w:rPr>
      </w:r>
    </w:p>
    <w:p w:rsidR="00000000" w:rsidDel="00000000" w:rsidP="00000000" w:rsidRDefault="00000000" w:rsidRPr="00000000" w14:paraId="00000026">
      <w:pPr>
        <w:pStyle w:val="Heading2"/>
        <w:spacing w:after="120" w:before="260" w:lineRule="auto"/>
        <w:rPr/>
      </w:pPr>
      <w:r w:rsidDel="00000000" w:rsidR="00000000" w:rsidRPr="00000000">
        <w:rPr>
          <w:rFonts w:ascii="Calibri" w:cs="Calibri" w:eastAsia="Calibri" w:hAnsi="Calibri"/>
          <w:b w:val="1"/>
          <w:bCs w:val="1"/>
          <w:color w:val="1f4e79"/>
          <w:sz w:val="24"/>
          <w:szCs w:val="24"/>
          <w:rtl w:val="0"/>
        </w:rPr>
        <w:t xml:space="preserve">Step 4 — Compute the likelihood per candidate</w:t>
      </w:r>
      <w:r w:rsidDel="00000000" w:rsidR="00000000" w:rsidRPr="00000000">
        <w:rPr>
          <w:rtl w:val="0"/>
        </w:rPr>
      </w:r>
    </w:p>
    <w:p w:rsidR="00000000" w:rsidDel="00000000" w:rsidP="00000000" w:rsidRDefault="00000000" w:rsidRPr="00000000" w14:paraId="00000027">
      <w:pPr>
        <w:spacing w:after="140" w:line="276" w:lineRule="auto"/>
        <w:rPr/>
      </w:pPr>
      <w:r w:rsidDel="00000000" w:rsidR="00000000" w:rsidRPr="00000000">
        <w:rPr>
          <w:rFonts w:ascii="Calibri" w:cs="Calibri" w:eastAsia="Calibri" w:hAnsi="Calibri"/>
          <w:sz w:val="22"/>
          <w:szCs w:val="22"/>
          <w:rtl w:val="0"/>
        </w:rPr>
        <w:t xml:space="preserve">For a single observation, use a distance-threshold likelihood:</w:t>
      </w:r>
      <w:r w:rsidDel="00000000" w:rsidR="00000000" w:rsidRPr="00000000">
        <w:rPr>
          <w:rtl w:val="0"/>
        </w:rPr>
      </w:r>
    </w:p>
    <w:p w:rsidR="00000000" w:rsidDel="00000000" w:rsidP="00000000" w:rsidRDefault="00000000" w:rsidRPr="00000000" w14:paraId="00000028">
      <w:pPr>
        <w:spacing w:after="160" w:before="100" w:lineRule="auto"/>
        <w:jc w:val="center"/>
        <w:rPr/>
      </w:pPr>
      <w:r w:rsidDel="00000000" w:rsidR="00000000" w:rsidRPr="00000000">
        <w:rPr>
          <w:rFonts w:ascii="Cambria Math" w:cs="Cambria Math" w:eastAsia="Cambria Math" w:hAnsi="Cambria Math"/>
          <w:i w:val="1"/>
          <w:iCs w:val="1"/>
          <w:sz w:val="22"/>
          <w:szCs w:val="22"/>
          <w:rtl w:val="0"/>
        </w:rPr>
        <w:t xml:space="preserve">L(y_T | candidate) ≈ (number of ensemble members within σ of y_T during [T−τ, T+τ]) / (total ensemble members for that candidate)</w:t>
      </w: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Calibri" w:cs="Calibri" w:eastAsia="Calibri" w:hAnsi="Calibri"/>
          <w:sz w:val="22"/>
          <w:szCs w:val="22"/>
          <w:rtl w:val="0"/>
        </w:rPr>
        <w:t xml:space="preserve">If multiple satellite passes of the same slick are available (k = 1, 2, …, K), use a circular-normal likelihood per observation and multiply across observations — this sharpens the posterior substantially with very little extra engineering:</w:t>
      </w:r>
      <w:r w:rsidDel="00000000" w:rsidR="00000000" w:rsidRPr="00000000">
        <w:rPr>
          <w:rtl w:val="0"/>
        </w:rPr>
      </w:r>
    </w:p>
    <w:p w:rsidR="00000000" w:rsidDel="00000000" w:rsidP="00000000" w:rsidRDefault="00000000" w:rsidRPr="00000000" w14:paraId="0000002A">
      <w:pPr>
        <w:spacing w:after="160" w:before="100" w:lineRule="auto"/>
        <w:jc w:val="center"/>
        <w:rPr/>
      </w:pPr>
      <w:r w:rsidDel="00000000" w:rsidR="00000000" w:rsidRPr="00000000">
        <w:rPr>
          <w:rFonts w:ascii="Cambria Math" w:cs="Cambria Math" w:eastAsia="Cambria Math" w:hAnsi="Cambria Math"/>
          <w:i w:val="1"/>
          <w:iCs w:val="1"/>
          <w:sz w:val="22"/>
          <w:szCs w:val="22"/>
          <w:rtl w:val="0"/>
        </w:rPr>
        <w:t xml:space="preserve">L(k | trajectory n) = (1 / 2πσₖ²) · exp( − rₙ,ₖ² / 2σₖ² )</w:t>
      </w:r>
      <w:r w:rsidDel="00000000" w:rsidR="00000000" w:rsidRPr="00000000">
        <w:rPr>
          <w:rtl w:val="0"/>
        </w:rPr>
      </w:r>
    </w:p>
    <w:p w:rsidR="00000000" w:rsidDel="00000000" w:rsidP="00000000" w:rsidRDefault="00000000" w:rsidRPr="00000000" w14:paraId="0000002B">
      <w:pPr>
        <w:spacing w:after="140" w:line="276" w:lineRule="auto"/>
        <w:rPr/>
      </w:pPr>
      <w:r w:rsidDel="00000000" w:rsidR="00000000" w:rsidRPr="00000000">
        <w:rPr>
          <w:rFonts w:ascii="Calibri" w:cs="Calibri" w:eastAsia="Calibri" w:hAnsi="Calibri"/>
          <w:sz w:val="22"/>
          <w:szCs w:val="22"/>
          <w:rtl w:val="0"/>
        </w:rPr>
        <w:t xml:space="preserve">where rₙ,ₖ is the distance between simulated position n and observation k at its observation time, and σₖ is that observation's position uncertainty.</w:t>
      </w:r>
      <w:r w:rsidDel="00000000" w:rsidR="00000000" w:rsidRPr="00000000">
        <w:rPr>
          <w:rtl w:val="0"/>
        </w:rPr>
      </w:r>
    </w:p>
    <w:p w:rsidR="00000000" w:rsidDel="00000000" w:rsidP="00000000" w:rsidRDefault="00000000" w:rsidRPr="00000000" w14:paraId="0000002C">
      <w:pPr>
        <w:pStyle w:val="Heading2"/>
        <w:spacing w:after="120" w:before="260" w:lineRule="auto"/>
        <w:rPr/>
      </w:pPr>
      <w:r w:rsidDel="00000000" w:rsidR="00000000" w:rsidRPr="00000000">
        <w:rPr>
          <w:rFonts w:ascii="Calibri" w:cs="Calibri" w:eastAsia="Calibri" w:hAnsi="Calibri"/>
          <w:b w:val="1"/>
          <w:bCs w:val="1"/>
          <w:color w:val="1f4e79"/>
          <w:sz w:val="24"/>
          <w:szCs w:val="24"/>
          <w:rtl w:val="0"/>
        </w:rPr>
        <w:t xml:space="preserve">Step 5 — Posterior probability = ranked suspect list</w:t>
      </w:r>
      <w:r w:rsidDel="00000000" w:rsidR="00000000" w:rsidRPr="00000000">
        <w:rPr>
          <w:rtl w:val="0"/>
        </w:rPr>
      </w:r>
    </w:p>
    <w:p w:rsidR="00000000" w:rsidDel="00000000" w:rsidP="00000000" w:rsidRDefault="00000000" w:rsidRPr="00000000" w14:paraId="0000002D">
      <w:pPr>
        <w:spacing w:after="160" w:before="100" w:lineRule="auto"/>
        <w:jc w:val="center"/>
        <w:rPr/>
      </w:pPr>
      <w:r w:rsidDel="00000000" w:rsidR="00000000" w:rsidRPr="00000000">
        <w:rPr>
          <w:rFonts w:ascii="Cambria Math" w:cs="Cambria Math" w:eastAsia="Cambria Math" w:hAnsi="Cambria Math"/>
          <w:i w:val="1"/>
          <w:iCs w:val="1"/>
          <w:sz w:val="22"/>
          <w:szCs w:val="22"/>
          <w:rtl w:val="0"/>
        </w:rPr>
        <w:t xml:space="preserve">P(candidate | observations) ∝ P(candidate) × ∏ₖ L(k | candidate)</w:t>
      </w:r>
      <w:r w:rsidDel="00000000" w:rsidR="00000000" w:rsidRPr="00000000">
        <w:rPr>
          <w:rtl w:val="0"/>
        </w:rPr>
      </w:r>
    </w:p>
    <w:p w:rsidR="00000000" w:rsidDel="00000000" w:rsidP="00000000" w:rsidRDefault="00000000" w:rsidRPr="00000000" w14:paraId="0000002E">
      <w:pPr>
        <w:spacing w:after="140" w:line="276" w:lineRule="auto"/>
        <w:rPr/>
      </w:pPr>
      <w:r w:rsidDel="00000000" w:rsidR="00000000" w:rsidRPr="00000000">
        <w:rPr>
          <w:rFonts w:ascii="Calibri" w:cs="Calibri" w:eastAsia="Calibri" w:hAnsi="Calibri"/>
          <w:sz w:val="22"/>
          <w:szCs w:val="22"/>
          <w:rtl w:val="0"/>
        </w:rPr>
        <w:t xml:space="preserve">P(candidate) is the prior — uniform across AIS candidates by default, or weighted by risk factors (vessel class, AIS gaps, loitering behavior) once domain scoring is layered in later. Normalize across all candidates to get a probability distribution over suspect vessels/origins — this is the actual deliverable, not a single point on a map.</w:t>
      </w:r>
      <w:r w:rsidDel="00000000" w:rsidR="00000000" w:rsidRPr="00000000">
        <w:rPr>
          <w:rtl w:val="0"/>
        </w:rPr>
      </w:r>
    </w:p>
    <w:p w:rsidR="00000000" w:rsidDel="00000000" w:rsidP="00000000" w:rsidRDefault="00000000" w:rsidRPr="00000000" w14:paraId="0000002F">
      <w:pPr>
        <w:pStyle w:val="Heading2"/>
        <w:spacing w:after="120" w:before="260" w:lineRule="auto"/>
        <w:rPr/>
      </w:pPr>
      <w:r w:rsidDel="00000000" w:rsidR="00000000" w:rsidRPr="00000000">
        <w:rPr>
          <w:rFonts w:ascii="Calibri" w:cs="Calibri" w:eastAsia="Calibri" w:hAnsi="Calibri"/>
          <w:b w:val="1"/>
          <w:bCs w:val="1"/>
          <w:color w:val="1f4e79"/>
          <w:sz w:val="24"/>
          <w:szCs w:val="24"/>
          <w:rtl w:val="0"/>
        </w:rPr>
        <w:t xml:space="preserve">Step 6 — Flag unreliable cases explicitly</w:t>
      </w:r>
      <w:r w:rsidDel="00000000" w:rsidR="00000000" w:rsidRPr="00000000">
        <w:rPr>
          <w:rtl w:val="0"/>
        </w:rPr>
      </w:r>
    </w:p>
    <w:p w:rsidR="00000000" w:rsidDel="00000000" w:rsidP="00000000" w:rsidRDefault="00000000" w:rsidRPr="00000000" w14:paraId="00000030">
      <w:pPr>
        <w:spacing w:after="140" w:line="276" w:lineRule="auto"/>
        <w:rPr/>
      </w:pPr>
      <w:r w:rsidDel="00000000" w:rsidR="00000000" w:rsidRPr="00000000">
        <w:rPr>
          <w:rFonts w:ascii="Calibri" w:cs="Calibri" w:eastAsia="Calibri" w:hAnsi="Calibri"/>
          <w:sz w:val="22"/>
          <w:szCs w:val="22"/>
          <w:rtl w:val="0"/>
        </w:rPr>
        <w:t xml:space="preserve">For any candidate whose forward path crosses a strong convergence zone, beaches, or is dominated by weathering uncertainty before reaching T, mark that candidate's score as low-confidence rather than presenting a false precision. This is the single detail most likely to be probed in review — it shows the structural limitation was understood, not just worked around.</w:t>
      </w:r>
      <w:r w:rsidDel="00000000" w:rsidR="00000000" w:rsidRPr="00000000">
        <w:rPr>
          <w:rtl w:val="0"/>
        </w:rPr>
      </w:r>
    </w:p>
    <w:p w:rsidR="00000000" w:rsidDel="00000000" w:rsidP="00000000" w:rsidRDefault="00000000" w:rsidRPr="00000000" w14:paraId="00000031">
      <w:pPr>
        <w:pStyle w:val="Heading1"/>
        <w:spacing w:after="160" w:before="320" w:lineRule="auto"/>
        <w:rPr/>
      </w:pPr>
      <w:r w:rsidDel="00000000" w:rsidR="00000000" w:rsidRPr="00000000">
        <w:rPr>
          <w:rFonts w:ascii="Calibri" w:cs="Calibri" w:eastAsia="Calibri" w:hAnsi="Calibri"/>
          <w:b w:val="1"/>
          <w:bCs w:val="1"/>
          <w:color w:val="1f4e79"/>
          <w:sz w:val="30"/>
          <w:szCs w:val="30"/>
          <w:rtl w:val="0"/>
        </w:rPr>
        <w:t xml:space="preserve">4. What Changed vs. the Original Pipeline</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ffffff"/>
                <w:sz w:val="20"/>
                <w:szCs w:val="20"/>
                <w:rtl w:val="0"/>
              </w:rPr>
              <w:t xml:space="preserve">Aspect</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b w:val="1"/>
                <w:bCs w:val="1"/>
                <w:color w:val="ffffff"/>
                <w:sz w:val="20"/>
                <w:szCs w:val="20"/>
                <w:rtl w:val="0"/>
              </w:rPr>
              <w:t xml:space="preserve">Change</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000000"/>
                <w:sz w:val="20"/>
                <w:szCs w:val="20"/>
                <w:rtl w:val="0"/>
              </w:rPr>
              <w:t xml:space="preserve">Direction of integration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000000"/>
                <w:sz w:val="20"/>
                <w:szCs w:val="20"/>
                <w:rtl w:val="0"/>
              </w:rPr>
              <w:t xml:space="preserve">Backward → forward (backward kept only as a pre-filter)</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b w:val="1"/>
                <w:bCs w:val="1"/>
                <w:color w:val="000000"/>
                <w:sz w:val="20"/>
                <w:szCs w:val="20"/>
                <w:rtl w:val="0"/>
              </w:rPr>
              <w:t xml:space="preserve">Origin estimate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000000"/>
                <w:sz w:val="20"/>
                <w:szCs w:val="20"/>
                <w:rtl w:val="0"/>
              </w:rPr>
              <w:t xml:space="preserve">Single reversed trajectory → Bayesian posterior over AIS candidates</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color w:val="000000"/>
                <w:sz w:val="20"/>
                <w:szCs w:val="20"/>
                <w:rtl w:val="0"/>
              </w:rPr>
              <w:t xml:space="preserve">Weathering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b w:val="0"/>
                <w:bCs w:val="0"/>
                <w:color w:val="000000"/>
                <w:sz w:val="20"/>
                <w:szCs w:val="20"/>
                <w:rtl w:val="0"/>
              </w:rPr>
              <w:t xml:space="preserve">Implicitly ignored/reversed → modelled forward-only via OpenOil</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b w:val="1"/>
                <w:bCs w:val="1"/>
                <w:color w:val="000000"/>
                <w:sz w:val="20"/>
                <w:szCs w:val="20"/>
                <w:rtl w:val="0"/>
              </w:rPr>
              <w:t xml:space="preserve">Output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000000"/>
                <w:sz w:val="20"/>
                <w:szCs w:val="20"/>
                <w:rtl w:val="0"/>
              </w:rPr>
              <w:t xml:space="preserve">A point/track → a ranked, probabilistic vessel suspect list</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000000"/>
                <w:sz w:val="20"/>
                <w:szCs w:val="20"/>
                <w:rtl w:val="0"/>
              </w:rPr>
              <w:t xml:space="preserve">Uncertainty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b w:val="0"/>
                <w:bCs w:val="0"/>
                <w:color w:val="000000"/>
                <w:sz w:val="20"/>
                <w:szCs w:val="20"/>
                <w:rtl w:val="0"/>
              </w:rPr>
              <w:t xml:space="preserve">Not represented → explicit σ (position) and τ (time) built into the likelihood</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000000"/>
                <w:sz w:val="20"/>
                <w:szCs w:val="20"/>
                <w:rtl w:val="0"/>
              </w:rPr>
              <w:t xml:space="preserve">Multiple detections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color w:val="000000"/>
                <w:sz w:val="20"/>
                <w:szCs w:val="20"/>
                <w:rtl w:val="0"/>
              </w:rPr>
              <w:t xml:space="preserve">Not used → combined multiplicatively to sharpen the posterior</w:t>
            </w:r>
            <w:r w:rsidDel="00000000" w:rsidR="00000000" w:rsidRPr="00000000">
              <w:rPr>
                <w:rtl w:val="0"/>
              </w:rPr>
            </w:r>
          </w:p>
        </w:tc>
      </w:tr>
    </w:tbl>
    <w:p w:rsidR="00000000" w:rsidDel="00000000" w:rsidP="00000000" w:rsidRDefault="00000000" w:rsidRPr="00000000" w14:paraId="00000040">
      <w:pPr>
        <w:spacing w:after="200" w:lineRule="auto"/>
        <w:rPr/>
      </w:pPr>
      <w:r w:rsidDel="00000000" w:rsidR="00000000" w:rsidRPr="00000000">
        <w:rPr>
          <w:rtl w:val="0"/>
        </w:rPr>
      </w:r>
    </w:p>
    <w:p w:rsidR="00000000" w:rsidDel="00000000" w:rsidP="00000000" w:rsidRDefault="00000000" w:rsidRPr="00000000" w14:paraId="00000041">
      <w:pPr>
        <w:pStyle w:val="Heading1"/>
        <w:spacing w:after="160" w:before="320" w:lineRule="auto"/>
        <w:rPr/>
      </w:pPr>
      <w:r w:rsidDel="00000000" w:rsidR="00000000" w:rsidRPr="00000000">
        <w:rPr>
          <w:rFonts w:ascii="Calibri" w:cs="Calibri" w:eastAsia="Calibri" w:hAnsi="Calibri"/>
          <w:b w:val="1"/>
          <w:bCs w:val="1"/>
          <w:color w:val="1f4e79"/>
          <w:sz w:val="30"/>
          <w:szCs w:val="30"/>
          <w:rtl w:val="0"/>
        </w:rPr>
        <w:t xml:space="preserve">5. Why This Is Defensible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doesn't just apply the paper's formulas — it identifies which specific failure mode (irreversible weathering) applies to oil, distinct from the paper's own headline example (capsizing).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explains why better forcing data (CMEMS/ERA5) does not fix the problem — showing the distinction between forcing-field error and structural/process irreversibility.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AIS-driven prior is a genuine extension beyond the paper's generic uniform-grid prior, tailored to the vessel-attribution part of the problem statement.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Explicit confidence flagging for convergence/weathering-dominated cases shows awareness of the method's limits, not just its mechanics.</w:t>
      </w:r>
      <w:r w:rsidDel="00000000" w:rsidR="00000000" w:rsidRPr="00000000">
        <w:rPr>
          <w:rtl w:val="0"/>
        </w:rPr>
      </w:r>
    </w:p>
    <w:p w:rsidR="00000000" w:rsidDel="00000000" w:rsidP="00000000" w:rsidRDefault="00000000" w:rsidRPr="00000000" w14:paraId="00000046">
      <w:pPr>
        <w:pStyle w:val="Heading1"/>
        <w:spacing w:after="160" w:before="320" w:lineRule="auto"/>
        <w:rPr/>
      </w:pPr>
      <w:r w:rsidDel="00000000" w:rsidR="00000000" w:rsidRPr="00000000">
        <w:rPr>
          <w:rFonts w:ascii="Calibri" w:cs="Calibri" w:eastAsia="Calibri" w:hAnsi="Calibri"/>
          <w:b w:val="1"/>
          <w:bCs w:val="1"/>
          <w:color w:val="1f4e79"/>
          <w:sz w:val="30"/>
          <w:szCs w:val="30"/>
          <w:rtl w:val="0"/>
        </w:rPr>
        <w:t xml:space="preserve">6. Reference</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rFonts w:ascii="Calibri" w:cs="Calibri" w:eastAsia="Calibri" w:hAnsi="Calibri"/>
          <w:i w:val="1"/>
          <w:iCs w:val="1"/>
          <w:sz w:val="20"/>
          <w:szCs w:val="20"/>
          <w:rtl w:val="0"/>
        </w:rPr>
        <w:t xml:space="preserve">Breivik, Ø., Moerman, B., Dagestad, K.-F., Nordam, T., Hope, G., Hole, L.R., Allen, A.A., Stone, L.D. (2025). “The Bayesian backtracking problem in oceanic drift modelling.” Ocean Modelling, 194, 102505.</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ambria Mat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pPr>
    <w:r w:rsidDel="00000000" w:rsidR="00000000" w:rsidRPr="00000000">
      <w:rPr>
        <w:rFonts w:ascii="Calibri" w:cs="Calibri" w:eastAsia="Calibri" w:hAnsi="Calibri"/>
        <w:color w:val="888888"/>
        <w:sz w:val="16"/>
        <w:szCs w:val="16"/>
        <w:rtl w:val="0"/>
      </w:rPr>
      <w:t xml:space="preserve">Page </w:t>
    </w:r>
    <w:r w:rsidDel="00000000" w:rsidR="00000000" w:rsidRPr="00000000">
      <w:rPr>
        <w:rFonts w:ascii="Calibri" w:cs="Calibri" w:eastAsia="Calibri" w:hAnsi="Calibri"/>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pPr>
    <w:r w:rsidDel="00000000" w:rsidR="00000000" w:rsidRPr="00000000">
      <w:rPr>
        <w:rFonts w:ascii="Calibri" w:cs="Calibri" w:eastAsia="Calibri" w:hAnsi="Calibri"/>
        <w:color w:val="888888"/>
        <w:sz w:val="16"/>
        <w:szCs w:val="16"/>
        <w:rtl w:val="0"/>
      </w:rPr>
      <w:t xml:space="preserve">Oil Spill Origin Attribution — Methodology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