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202A44"/>
          <w:sz w:val="64"/>
        </w:rPr>
        <w:t>QueryPilot AI</w:t>
      </w:r>
    </w:p>
    <w:p>
      <w:pPr>
        <w:jc w:val="center"/>
      </w:pPr>
      <w:r>
        <w:rPr>
          <w:b/>
          <w:color w:val="E06B32"/>
          <w:sz w:val="32"/>
        </w:rPr>
        <w:t>BUSINESS REQUIREMENTS DOCUMENT</w:t>
      </w:r>
    </w:p>
    <w:p>
      <w:pPr>
        <w:jc w:val="center"/>
      </w:pPr>
      <w:r>
        <w:rPr>
          <w:color w:val="555D69"/>
          <w:sz w:val="22"/>
        </w:rPr>
        <w:t>Product definition • Screen inventory • Acceptance criteria • Competitive landscape</w:t>
      </w:r>
    </w:p>
    <w:p/>
    <w:tbl>
      <w:tblPr>
        <w:tblStyle w:val="TableGrid"/>
        <w:tblW w:type="auto" w:w="0"/>
        <w:tblLook w:firstColumn="1" w:firstRow="1" w:lastColumn="0" w:lastRow="0" w:noHBand="0" w:noVBand="1" w:val="04A0"/>
      </w:tblPr>
      <w:tblGrid>
        <w:gridCol w:w="9994"/>
      </w:tblGrid>
      <w:tr>
        <w:trPr>
          <w:cantSplit/>
        </w:trPr>
        <w:tc>
          <w:tcPr>
            <w:tcW w:type="dxa" w:w="9994"/>
            <w:shd w:fill="F4F6FA"/>
          </w:tcPr>
          <w:p>
            <w:r/>
            <w:r>
              <w:rPr>
                <w:b/>
                <w:color w:val="202A44"/>
                <w:sz w:val="20"/>
              </w:rPr>
              <w:t>Product vision</w:t>
              <w:br/>
            </w:r>
            <w:r>
              <w:rPr>
                <w:sz w:val="18"/>
              </w:rPr>
              <w:t>Make unfamiliar, messy relational databases understandable and queryable through natural language—while keeping every answer inspectable, permission-bound, and measurable.</w:t>
            </w:r>
          </w:p>
        </w:tc>
      </w:tr>
    </w:tbl>
    <w:p>
      <w:pPr>
        <w:spacing w:after="20"/>
      </w:pPr>
    </w:p>
    <w:p>
      <w:pPr>
        <w:jc w:val="center"/>
      </w:pPr>
      <w:r>
        <w:rPr>
          <w:b/>
        </w:rPr>
        <w:t>Version 1.1  |  24 October 2026</w:t>
        <w:br/>
      </w:r>
      <w:r>
        <w:t>Prepared for AI-02 hackathon project review</w:t>
        <w:br/>
      </w:r>
      <w:r>
        <w:t>Status: Draft for validation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rPr>
          <w:cantSplit/>
        </w:trPr>
        <w:tc>
          <w:tcPr>
            <w:tcW w:type="dxa" w:w="2376"/>
            <w:vAlign w:val="center"/>
            <w:shd w:fill="202A44"/>
          </w:tcPr>
          <w:p>
            <w:pPr>
              <w:spacing w:after="20"/>
            </w:pPr>
            <w:r/>
            <w:r>
              <w:rPr>
                <w:rFonts w:ascii="Aptos" w:hAnsi="Aptos"/>
                <w:b/>
                <w:color w:val="FFFFFF"/>
                <w:sz w:val="16"/>
              </w:rPr>
              <w:t>Field</w:t>
            </w:r>
          </w:p>
        </w:tc>
        <w:tc>
          <w:tcPr>
            <w:tcW w:type="dxa" w:w="8352"/>
            <w:vAlign w:val="center"/>
            <w:shd w:fill="202A44"/>
          </w:tcPr>
          <w:p>
            <w:pPr>
              <w:spacing w:after="20"/>
            </w:pPr>
            <w:r/>
            <w:r>
              <w:rPr>
                <w:rFonts w:ascii="Aptos" w:hAnsi="Aptos"/>
                <w:b/>
                <w:color w:val="FFFFFF"/>
                <w:sz w:val="16"/>
              </w:rPr>
              <w:t>Value</w:t>
            </w:r>
          </w:p>
        </w:tc>
      </w:tr>
      <w:tr>
        <w:trPr>
          <w:cantSplit/>
        </w:trPr>
        <w:tc>
          <w:tcPr>
            <w:tcW w:type="dxa" w:w="2376"/>
            <w:vAlign w:val="center"/>
          </w:tcPr>
          <w:p>
            <w:pPr>
              <w:spacing w:after="20"/>
            </w:pPr>
            <w:r/>
            <w:r>
              <w:rPr>
                <w:rFonts w:ascii="Aptos" w:hAnsi="Aptos"/>
                <w:b w:val="0"/>
                <w:sz w:val="16"/>
              </w:rPr>
              <w:t>Product</w:t>
            </w:r>
          </w:p>
        </w:tc>
        <w:tc>
          <w:tcPr>
            <w:tcW w:type="dxa" w:w="8352"/>
            <w:vAlign w:val="center"/>
          </w:tcPr>
          <w:p>
            <w:pPr>
              <w:spacing w:after="20"/>
            </w:pPr>
            <w:r/>
            <w:r>
              <w:rPr>
                <w:rFonts w:ascii="Aptos" w:hAnsi="Aptos"/>
                <w:b w:val="0"/>
                <w:sz w:val="16"/>
              </w:rPr>
              <w:t>QueryPilot AI — Autonomous Data Analyst for Messy Databases</w:t>
            </w:r>
          </w:p>
        </w:tc>
      </w:tr>
      <w:tr>
        <w:trPr>
          <w:cantSplit/>
        </w:trPr>
        <w:tc>
          <w:tcPr>
            <w:tcW w:type="dxa" w:w="2376"/>
            <w:vAlign w:val="center"/>
            <w:shd w:fill="F3F5F8"/>
          </w:tcPr>
          <w:p>
            <w:pPr>
              <w:spacing w:after="20"/>
            </w:pPr>
            <w:r/>
            <w:r>
              <w:rPr>
                <w:rFonts w:ascii="Aptos" w:hAnsi="Aptos"/>
                <w:b w:val="0"/>
                <w:sz w:val="16"/>
              </w:rPr>
              <w:t>Document type</w:t>
            </w:r>
          </w:p>
        </w:tc>
        <w:tc>
          <w:tcPr>
            <w:tcW w:type="dxa" w:w="8352"/>
            <w:vAlign w:val="center"/>
            <w:shd w:fill="F3F5F8"/>
          </w:tcPr>
          <w:p>
            <w:pPr>
              <w:spacing w:after="20"/>
            </w:pPr>
            <w:r/>
            <w:r>
              <w:rPr>
                <w:rFonts w:ascii="Aptos" w:hAnsi="Aptos"/>
                <w:b w:val="0"/>
                <w:sz w:val="16"/>
              </w:rPr>
              <w:t>Business Requirements Document (BRD) with competitive review</w:t>
            </w:r>
          </w:p>
        </w:tc>
      </w:tr>
      <w:tr>
        <w:trPr>
          <w:cantSplit/>
        </w:trPr>
        <w:tc>
          <w:tcPr>
            <w:tcW w:type="dxa" w:w="2376"/>
            <w:vAlign w:val="center"/>
          </w:tcPr>
          <w:p>
            <w:pPr>
              <w:spacing w:after="20"/>
            </w:pPr>
            <w:r/>
            <w:r>
              <w:rPr>
                <w:rFonts w:ascii="Aptos" w:hAnsi="Aptos"/>
                <w:b w:val="0"/>
                <w:sz w:val="16"/>
              </w:rPr>
              <w:t>Version / date</w:t>
            </w:r>
          </w:p>
        </w:tc>
        <w:tc>
          <w:tcPr>
            <w:tcW w:type="dxa" w:w="8352"/>
            <w:vAlign w:val="center"/>
          </w:tcPr>
          <w:p>
            <w:pPr>
              <w:spacing w:after="20"/>
            </w:pPr>
            <w:r/>
            <w:r>
              <w:rPr>
                <w:rFonts w:ascii="Aptos" w:hAnsi="Aptos"/>
                <w:b w:val="0"/>
                <w:sz w:val="16"/>
              </w:rPr>
              <w:t>1.1 / 24 October 2026</w:t>
            </w:r>
          </w:p>
        </w:tc>
      </w:tr>
      <w:tr>
        <w:trPr>
          <w:cantSplit/>
        </w:trPr>
        <w:tc>
          <w:tcPr>
            <w:tcW w:type="dxa" w:w="2376"/>
            <w:vAlign w:val="center"/>
            <w:shd w:fill="F3F5F8"/>
          </w:tcPr>
          <w:p>
            <w:pPr>
              <w:spacing w:after="20"/>
            </w:pPr>
            <w:r/>
            <w:r>
              <w:rPr>
                <w:rFonts w:ascii="Aptos" w:hAnsi="Aptos"/>
                <w:b w:val="0"/>
                <w:sz w:val="16"/>
              </w:rPr>
              <w:t>Audience</w:t>
            </w:r>
          </w:p>
        </w:tc>
        <w:tc>
          <w:tcPr>
            <w:tcW w:type="dxa" w:w="8352"/>
            <w:vAlign w:val="center"/>
            <w:shd w:fill="F3F5F8"/>
          </w:tcPr>
          <w:p>
            <w:pPr>
              <w:spacing w:after="20"/>
            </w:pPr>
            <w:r/>
            <w:r>
              <w:rPr>
                <w:rFonts w:ascii="Aptos" w:hAnsi="Aptos"/>
                <w:b w:val="0"/>
                <w:sz w:val="16"/>
              </w:rPr>
              <w:t>Hackathon judges, product owner, engineering team, reviewers</w:t>
            </w:r>
          </w:p>
        </w:tc>
      </w:tr>
      <w:tr>
        <w:trPr>
          <w:cantSplit/>
        </w:trPr>
        <w:tc>
          <w:tcPr>
            <w:tcW w:type="dxa" w:w="2376"/>
            <w:vAlign w:val="center"/>
          </w:tcPr>
          <w:p>
            <w:pPr>
              <w:spacing w:after="20"/>
            </w:pPr>
            <w:r/>
            <w:r>
              <w:rPr>
                <w:rFonts w:ascii="Aptos" w:hAnsi="Aptos"/>
                <w:b w:val="0"/>
                <w:sz w:val="16"/>
              </w:rPr>
              <w:t>Status</w:t>
            </w:r>
          </w:p>
        </w:tc>
        <w:tc>
          <w:tcPr>
            <w:tcW w:type="dxa" w:w="8352"/>
            <w:vAlign w:val="center"/>
          </w:tcPr>
          <w:p>
            <w:pPr>
              <w:spacing w:after="20"/>
            </w:pPr>
            <w:r/>
            <w:r>
              <w:rPr>
                <w:rFonts w:ascii="Aptos" w:hAnsi="Aptos"/>
                <w:b w:val="0"/>
                <w:sz w:val="16"/>
              </w:rPr>
              <w:t>Working draft; implementation claims require repository/demo verification</w:t>
            </w:r>
          </w:p>
        </w:tc>
      </w:tr>
      <w:tr>
        <w:trPr>
          <w:cantSplit/>
        </w:trPr>
        <w:tc>
          <w:tcPr>
            <w:tcW w:type="dxa" w:w="2376"/>
            <w:vAlign w:val="center"/>
            <w:shd w:fill="F3F5F8"/>
          </w:tcPr>
          <w:p>
            <w:pPr>
              <w:spacing w:after="20"/>
            </w:pPr>
            <w:r/>
            <w:r>
              <w:rPr>
                <w:rFonts w:ascii="Aptos" w:hAnsi="Aptos"/>
                <w:b w:val="0"/>
                <w:sz w:val="16"/>
              </w:rPr>
              <w:t>Primary objective</w:t>
            </w:r>
          </w:p>
        </w:tc>
        <w:tc>
          <w:tcPr>
            <w:tcW w:type="dxa" w:w="8352"/>
            <w:vAlign w:val="center"/>
            <w:shd w:fill="F3F5F8"/>
          </w:tcPr>
          <w:p>
            <w:pPr>
              <w:spacing w:after="20"/>
            </w:pPr>
            <w:r/>
            <w:r>
              <w:rPr>
                <w:rFonts w:ascii="Aptos" w:hAnsi="Aptos"/>
                <w:b w:val="0"/>
                <w:sz w:val="16"/>
              </w:rPr>
              <w:t>Define the target product and identify evidence-backed ways to differentiate it</w:t>
            </w:r>
          </w:p>
        </w:tc>
      </w:tr>
    </w:tbl>
    <w:p>
      <w:pPr>
        <w:spacing w:after="20"/>
      </w:pPr>
    </w:p>
    <w:p>
      <w:pPr>
        <w:pStyle w:val="Heading2"/>
      </w:pPr>
      <w:r>
        <w:t>Important scope note</w:t>
      </w:r>
    </w:p>
    <w:p>
      <w:r>
        <w:t>The exact hackathon organizer and official problem-statement URL were not identifiable from the information available in this conversation. A public search surfaced an unrelated page using the code “SNH-AI-02” for a different problem (“NeuroRoute: Self-Optimizing AI Inference Architecture”). This document therefore does not assume that page is your official PS. It benchmarks QueryPilot AI against closely related natural-language analytics products, frameworks, and a published messy-database comparison. To verify same-PS submissions or winners, the organizer/event link is needed.</w:t>
      </w:r>
    </w:p>
    <w:p>
      <w:pPr>
        <w:pStyle w:val="Heading2"/>
      </w:pPr>
      <w:r>
        <w:t>Evidence labels used in this document</w:t>
      </w:r>
    </w:p>
    <w:tbl>
      <w:tblPr>
        <w:tblStyle w:val="TableGrid"/>
        <w:tblW w:type="auto" w:w="0"/>
        <w:jc w:val="center"/>
        <w:tblLook w:firstColumn="1" w:firstRow="1" w:lastColumn="0" w:lastRow="0" w:noHBand="0" w:noVBand="1" w:val="04A0"/>
      </w:tblPr>
      <w:tblGrid>
        <w:gridCol w:w="4997"/>
        <w:gridCol w:w="4997"/>
      </w:tblGrid>
      <w:tr>
        <w:trPr>
          <w:cantSplit/>
        </w:trPr>
        <w:tc>
          <w:tcPr>
            <w:tcW w:type="dxa" w:w="2232"/>
            <w:vAlign w:val="center"/>
            <w:shd w:fill="202A44"/>
          </w:tcPr>
          <w:p>
            <w:pPr>
              <w:spacing w:after="20"/>
            </w:pPr>
            <w:r/>
            <w:r>
              <w:rPr>
                <w:rFonts w:ascii="Aptos" w:hAnsi="Aptos"/>
                <w:b/>
                <w:color w:val="FFFFFF"/>
                <w:sz w:val="16"/>
              </w:rPr>
              <w:t>Label</w:t>
            </w:r>
          </w:p>
        </w:tc>
        <w:tc>
          <w:tcPr>
            <w:tcW w:type="dxa" w:w="8496"/>
            <w:vAlign w:val="center"/>
            <w:shd w:fill="202A44"/>
          </w:tcPr>
          <w:p>
            <w:pPr>
              <w:spacing w:after="20"/>
            </w:pPr>
            <w:r/>
            <w:r>
              <w:rPr>
                <w:rFonts w:ascii="Aptos" w:hAnsi="Aptos"/>
                <w:b/>
                <w:color w:val="FFFFFF"/>
                <w:sz w:val="16"/>
              </w:rPr>
              <w:t>Meaning</w:t>
            </w:r>
          </w:p>
        </w:tc>
      </w:tr>
      <w:tr>
        <w:trPr>
          <w:cantSplit/>
        </w:trPr>
        <w:tc>
          <w:tcPr>
            <w:tcW w:type="dxa" w:w="2232"/>
            <w:vAlign w:val="center"/>
          </w:tcPr>
          <w:p>
            <w:pPr>
              <w:spacing w:after="20"/>
            </w:pPr>
            <w:r/>
            <w:r>
              <w:rPr>
                <w:rFonts w:ascii="Aptos" w:hAnsi="Aptos"/>
                <w:b w:val="0"/>
                <w:sz w:val="16"/>
              </w:rPr>
              <w:t>Reported context</w:t>
            </w:r>
          </w:p>
        </w:tc>
        <w:tc>
          <w:tcPr>
            <w:tcW w:type="dxa" w:w="8496"/>
            <w:vAlign w:val="center"/>
          </w:tcPr>
          <w:p>
            <w:pPr>
              <w:spacing w:after="20"/>
            </w:pPr>
            <w:r/>
            <w:r>
              <w:rPr>
                <w:rFonts w:ascii="Aptos" w:hAnsi="Aptos"/>
                <w:b w:val="0"/>
                <w:sz w:val="16"/>
              </w:rPr>
              <w:t>Details previously described about QueryPilot AI; not independently verified in this document.</w:t>
            </w:r>
          </w:p>
        </w:tc>
      </w:tr>
      <w:tr>
        <w:trPr>
          <w:cantSplit/>
        </w:trPr>
        <w:tc>
          <w:tcPr>
            <w:tcW w:type="dxa" w:w="2232"/>
            <w:vAlign w:val="center"/>
            <w:shd w:fill="F3F5F8"/>
          </w:tcPr>
          <w:p>
            <w:pPr>
              <w:spacing w:after="20"/>
            </w:pPr>
            <w:r/>
            <w:r>
              <w:rPr>
                <w:rFonts w:ascii="Aptos" w:hAnsi="Aptos"/>
                <w:b w:val="0"/>
                <w:sz w:val="16"/>
              </w:rPr>
              <w:t>Public-source finding</w:t>
            </w:r>
          </w:p>
        </w:tc>
        <w:tc>
          <w:tcPr>
            <w:tcW w:type="dxa" w:w="8496"/>
            <w:vAlign w:val="center"/>
            <w:shd w:fill="F3F5F8"/>
          </w:tcPr>
          <w:p>
            <w:pPr>
              <w:spacing w:after="20"/>
            </w:pPr>
            <w:r/>
            <w:r>
              <w:rPr>
                <w:rFonts w:ascii="Aptos" w:hAnsi="Aptos"/>
                <w:b w:val="0"/>
                <w:sz w:val="16"/>
              </w:rPr>
              <w:t>A fact or claim stated in a linked public source; vendor-published comparisons may be biased.</w:t>
            </w:r>
          </w:p>
        </w:tc>
      </w:tr>
      <w:tr>
        <w:trPr>
          <w:cantSplit/>
        </w:trPr>
        <w:tc>
          <w:tcPr>
            <w:tcW w:type="dxa" w:w="2232"/>
            <w:vAlign w:val="center"/>
          </w:tcPr>
          <w:p>
            <w:pPr>
              <w:spacing w:after="20"/>
            </w:pPr>
            <w:r/>
            <w:r>
              <w:rPr>
                <w:rFonts w:ascii="Aptos" w:hAnsi="Aptos"/>
                <w:b w:val="0"/>
                <w:sz w:val="16"/>
              </w:rPr>
              <w:t>Recommendation</w:t>
            </w:r>
          </w:p>
        </w:tc>
        <w:tc>
          <w:tcPr>
            <w:tcW w:type="dxa" w:w="8496"/>
            <w:vAlign w:val="center"/>
          </w:tcPr>
          <w:p>
            <w:pPr>
              <w:spacing w:after="20"/>
            </w:pPr>
            <w:r/>
            <w:r>
              <w:rPr>
                <w:rFonts w:ascii="Aptos" w:hAnsi="Aptos"/>
                <w:b w:val="0"/>
                <w:sz w:val="16"/>
              </w:rPr>
              <w:t>A proposed feature, test, or differentiator—not a claim that it is already built.</w:t>
            </w:r>
          </w:p>
        </w:tc>
      </w:tr>
      <w:tr>
        <w:trPr>
          <w:cantSplit/>
        </w:trPr>
        <w:tc>
          <w:tcPr>
            <w:tcW w:type="dxa" w:w="2232"/>
            <w:vAlign w:val="center"/>
            <w:shd w:fill="F3F5F8"/>
          </w:tcPr>
          <w:p>
            <w:pPr>
              <w:spacing w:after="20"/>
            </w:pPr>
            <w:r/>
            <w:r>
              <w:rPr>
                <w:rFonts w:ascii="Aptos" w:hAnsi="Aptos"/>
                <w:b w:val="0"/>
                <w:sz w:val="16"/>
              </w:rPr>
              <w:t>Needs verification</w:t>
            </w:r>
          </w:p>
        </w:tc>
        <w:tc>
          <w:tcPr>
            <w:tcW w:type="dxa" w:w="8496"/>
            <w:vAlign w:val="center"/>
            <w:shd w:fill="F3F5F8"/>
          </w:tcPr>
          <w:p>
            <w:pPr>
              <w:spacing w:after="20"/>
            </w:pPr>
            <w:r/>
            <w:r>
              <w:rPr>
                <w:rFonts w:ascii="Aptos" w:hAnsi="Aptos"/>
                <w:b w:val="0"/>
                <w:sz w:val="16"/>
              </w:rPr>
              <w:t>Requires repository inspection, a live demo, or reproducible test output.</w:t>
            </w:r>
          </w:p>
        </w:tc>
      </w:tr>
    </w:tbl>
    <w:p>
      <w:pPr>
        <w:spacing w:after="20"/>
      </w:pPr>
    </w:p>
    <w:p>
      <w:pPr>
        <w:pStyle w:val="Heading1"/>
      </w:pPr>
      <w:r>
        <w:t>Contents</w:t>
      </w:r>
    </w:p>
    <w:p>
      <w:pPr>
        <w:pStyle w:val="ListBullet"/>
        <w:spacing w:after="40"/>
      </w:pPr>
      <w:r>
        <w:t>1. Executive summary and product vision</w:t>
      </w:r>
    </w:p>
    <w:p>
      <w:pPr>
        <w:pStyle w:val="ListBullet"/>
        <w:spacing w:after="40"/>
      </w:pPr>
      <w:r>
        <w:t>2. Business problem and objectives</w:t>
      </w:r>
    </w:p>
    <w:p>
      <w:pPr>
        <w:pStyle w:val="ListBullet"/>
        <w:spacing w:after="40"/>
      </w:pPr>
      <w:r>
        <w:t>3. Users, use cases, and scope</w:t>
      </w:r>
    </w:p>
    <w:p>
      <w:pPr>
        <w:pStyle w:val="ListBullet"/>
        <w:spacing w:after="40"/>
      </w:pPr>
      <w:r>
        <w:t>4. Functional requirements</w:t>
      </w:r>
    </w:p>
    <w:p>
      <w:pPr>
        <w:pStyle w:val="ListBullet"/>
        <w:spacing w:after="40"/>
      </w:pPr>
      <w:r>
        <w:t>5. Required screens and workflows</w:t>
      </w:r>
    </w:p>
    <w:p>
      <w:pPr>
        <w:pStyle w:val="ListBullet"/>
        <w:spacing w:after="40"/>
      </w:pPr>
      <w:r>
        <w:t>6. Proposed architecture and security model</w:t>
      </w:r>
    </w:p>
    <w:p>
      <w:pPr>
        <w:pStyle w:val="ListBullet"/>
        <w:spacing w:after="40"/>
      </w:pPr>
      <w:r>
        <w:t>7. Non-functional requirements</w:t>
      </w:r>
    </w:p>
    <w:p>
      <w:pPr>
        <w:pStyle w:val="ListBullet"/>
        <w:spacing w:after="40"/>
      </w:pPr>
      <w:r>
        <w:t>8. Benchmark and acceptance strategy</w:t>
      </w:r>
    </w:p>
    <w:p>
      <w:pPr>
        <w:pStyle w:val="ListBullet"/>
        <w:spacing w:after="40"/>
      </w:pPr>
      <w:r>
        <w:t>9. Competitive landscape: existing tools and approaches</w:t>
      </w:r>
    </w:p>
    <w:p>
      <w:pPr>
        <w:pStyle w:val="ListBullet"/>
        <w:spacing w:after="40"/>
      </w:pPr>
      <w:r>
        <w:t>10. Differentiation strategy: how QueryPilot can compete</w:t>
      </w:r>
    </w:p>
    <w:p>
      <w:pPr>
        <w:pStyle w:val="ListBullet"/>
        <w:spacing w:after="40"/>
      </w:pPr>
      <w:r>
        <w:t>11. Risks, roadmap, and release gates</w:t>
      </w:r>
    </w:p>
    <w:p>
      <w:pPr>
        <w:pStyle w:val="ListBullet"/>
        <w:spacing w:after="40"/>
      </w:pPr>
      <w:r>
        <w:t>12. Decisions required</w:t>
      </w:r>
    </w:p>
    <w:p>
      <w:pPr>
        <w:pStyle w:val="ListBullet"/>
        <w:spacing w:after="40"/>
      </w:pPr>
      <w:r>
        <w:t>Appendix A. Sources</w:t>
      </w:r>
    </w:p>
    <w:p>
      <w:r>
        <w:br w:type="page"/>
      </w:r>
    </w:p>
    <w:p>
      <w:pPr>
        <w:pStyle w:val="Heading1"/>
      </w:pPr>
      <w:r>
        <w:t>1. Executive Summary</w:t>
      </w:r>
    </w:p>
    <w:p>
      <w:r>
        <w:t>QueryPilot AI is an AI-powered analytical agent intended to let users ask business questions in natural language and receive database-backed answers without needing to understand SQL or the underlying schema. The target challenge is not simply translating English into SQL; it is investigating unfamiliar or messy relational data, resolving ambiguous definitions, generating safe queries, executing them, checking results, and explaining conclusions honestly.</w:t>
      </w:r>
    </w:p>
    <w:p>
      <w:r>
        <w:t>The project context previously reported a React/Vite frontend, FastAPI backend, Ollama-hosted Qwen2.5-Coder 7B model, PostgreSQL, and SQLGlot-based SQL inspection. A 31-case benchmark harness and 9/9 passing backend/security tests were also reported. These are useful starting points, but the benchmark UI was observed to show zero evaluated cases; therefore, no accuracy claim should be made until an actual run and case-level outputs are captured.</w:t>
      </w:r>
    </w:p>
    <w:tbl>
      <w:tblPr>
        <w:tblStyle w:val="TableGrid"/>
        <w:tblW w:type="auto" w:w="0"/>
        <w:tblLook w:firstColumn="1" w:firstRow="1" w:lastColumn="0" w:lastRow="0" w:noHBand="0" w:noVBand="1" w:val="04A0"/>
      </w:tblPr>
      <w:tblGrid>
        <w:gridCol w:w="9994"/>
      </w:tblGrid>
      <w:tr>
        <w:trPr>
          <w:cantSplit/>
        </w:trPr>
        <w:tc>
          <w:tcPr>
            <w:tcW w:type="dxa" w:w="9994"/>
            <w:shd w:fill="FFF3E8"/>
          </w:tcPr>
          <w:p>
            <w:r/>
            <w:r>
              <w:rPr>
                <w:b/>
                <w:color w:val="202A44"/>
                <w:sz w:val="20"/>
              </w:rPr>
              <w:t>Strategic conclusion</w:t>
              <w:br/>
            </w:r>
            <w:r>
              <w:rPr>
                <w:sz w:val="18"/>
              </w:rPr>
              <w:t>Do not position QueryPilot as “better than every competitor” before running a fair comparison. Position it as an evidence-first messy-schema analyst, then prove the claim on a reproducible benchmark where each system receives the same database, questions, permissions, time limits, and scoring rubric.</w:t>
            </w:r>
          </w:p>
        </w:tc>
      </w:tr>
    </w:tbl>
    <w:p>
      <w:pPr>
        <w:spacing w:after="20"/>
      </w:pPr>
    </w:p>
    <w:p>
      <w:pPr>
        <w:pStyle w:val="Heading2"/>
      </w:pPr>
      <w:r>
        <w:t>1.1 Product promise</w:t>
      </w:r>
    </w:p>
    <w:p>
      <w:pPr>
        <w:pStyle w:val="ListBullet"/>
        <w:spacing w:after="40"/>
      </w:pPr>
      <w:r>
        <w:t>Connect to an authorized relational database and inspect its real schema.</w:t>
      </w:r>
    </w:p>
    <w:p>
      <w:pPr>
        <w:pStyle w:val="ListBullet"/>
        <w:spacing w:after="40"/>
      </w:pPr>
      <w:r>
        <w:t>Translate a natural-language question into a safe, executable analytical query.</w:t>
      </w:r>
    </w:p>
    <w:p>
      <w:pPr>
        <w:pStyle w:val="ListBullet"/>
        <w:spacing w:after="40"/>
      </w:pPr>
      <w:r>
        <w:t>Show the SQL, assumptions, filters, execution status, and actual results.</w:t>
      </w:r>
    </w:p>
    <w:p>
      <w:pPr>
        <w:pStyle w:val="ListBullet"/>
        <w:spacing w:after="40"/>
      </w:pPr>
      <w:r>
        <w:t>Ask for clarification rather than silently guessing when ambiguity changes the answer.</w:t>
      </w:r>
    </w:p>
    <w:p>
      <w:pPr>
        <w:pStyle w:val="ListBullet"/>
        <w:spacing w:after="40"/>
      </w:pPr>
      <w:r>
        <w:t>Expose benchmark evidence and failures instead of manufacturing confidence scores.</w:t>
      </w:r>
    </w:p>
    <w:p>
      <w:pPr>
        <w:pStyle w:val="Heading1"/>
      </w:pPr>
      <w:r>
        <w:t>2. Business Problem and Objectives</w:t>
      </w:r>
    </w:p>
    <w:p>
      <w:pPr>
        <w:pStyle w:val="Heading2"/>
      </w:pPr>
      <w:r>
        <w:t>2.1 Problem statement</w:t>
      </w:r>
    </w:p>
    <w:p>
      <w:r>
        <w:t>Business data often spans tables and systems with inconsistent naming, duplicated records, missing descriptions, non-obvious joins, and conflicting definitions. Conventional BI tools frequently depend on prepared data models or expert configuration. General-purpose AI assistants may generate plausible SQL yet still miscount customers, join the wrong records, misunderstand time windows, or make unsupported claims.</w:t>
      </w:r>
    </w:p>
    <w:p>
      <w:pPr>
        <w:pStyle w:val="Heading2"/>
      </w:pPr>
      <w:r>
        <w:t>2.2 Business impact</w:t>
      </w:r>
    </w:p>
    <w:p>
      <w:pPr>
        <w:pStyle w:val="ListBullet"/>
        <w:spacing w:after="40"/>
      </w:pPr>
      <w:r>
        <w:t>Longer turnaround for routine analytical questions.</w:t>
      </w:r>
    </w:p>
    <w:p>
      <w:pPr>
        <w:pStyle w:val="ListBullet"/>
        <w:spacing w:after="40"/>
      </w:pPr>
      <w:r>
        <w:t>Dependence on analysts and developers for schema discovery and query writing.</w:t>
      </w:r>
    </w:p>
    <w:p>
      <w:pPr>
        <w:pStyle w:val="ListBullet"/>
        <w:spacing w:after="40"/>
      </w:pPr>
      <w:r>
        <w:t>Inconsistent answers when different users interpret metrics differently.</w:t>
      </w:r>
    </w:p>
    <w:p>
      <w:pPr>
        <w:pStyle w:val="ListBullet"/>
        <w:spacing w:after="40"/>
      </w:pPr>
      <w:r>
        <w:t>Risk of decisions being made from plausible but incorrect numbers.</w:t>
      </w:r>
    </w:p>
    <w:p>
      <w:pPr>
        <w:pStyle w:val="ListBullet"/>
        <w:spacing w:after="40"/>
      </w:pPr>
      <w:r>
        <w:t>Limited trust when users cannot inspect the source query or assumptions.</w:t>
      </w:r>
    </w:p>
    <w:p>
      <w:pPr>
        <w:pStyle w:val="Heading2"/>
      </w:pPr>
      <w:r>
        <w:t>2.3 Objectives and measures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936"/>
            <w:vAlign w:val="center"/>
            <w:shd w:fill="202A44"/>
          </w:tcPr>
          <w:p>
            <w:pPr>
              <w:spacing w:after="20"/>
            </w:pPr>
            <w:r/>
            <w:r>
              <w:rPr>
                <w:rFonts w:ascii="Aptos" w:hAnsi="Aptos"/>
                <w:b/>
                <w:color w:val="FFFFFF"/>
                <w:sz w:val="16"/>
              </w:rPr>
              <w:t>ID</w:t>
            </w:r>
          </w:p>
        </w:tc>
        <w:tc>
          <w:tcPr>
            <w:tcW w:type="dxa" w:w="3024"/>
            <w:vAlign w:val="center"/>
            <w:shd w:fill="202A44"/>
          </w:tcPr>
          <w:p>
            <w:pPr>
              <w:spacing w:after="20"/>
            </w:pPr>
            <w:r/>
            <w:r>
              <w:rPr>
                <w:rFonts w:ascii="Aptos" w:hAnsi="Aptos"/>
                <w:b/>
                <w:color w:val="FFFFFF"/>
                <w:sz w:val="16"/>
              </w:rPr>
              <w:t>Objective</w:t>
            </w:r>
          </w:p>
        </w:tc>
        <w:tc>
          <w:tcPr>
            <w:tcW w:type="dxa" w:w="6768"/>
            <w:vAlign w:val="center"/>
            <w:shd w:fill="202A44"/>
          </w:tcPr>
          <w:p>
            <w:pPr>
              <w:spacing w:after="20"/>
            </w:pPr>
            <w:r/>
            <w:r>
              <w:rPr>
                <w:rFonts w:ascii="Aptos" w:hAnsi="Aptos"/>
                <w:b/>
                <w:color w:val="FFFFFF"/>
                <w:sz w:val="16"/>
              </w:rPr>
              <w:t>Proposed measure</w:t>
            </w:r>
          </w:p>
        </w:tc>
      </w:tr>
      <w:tr>
        <w:trPr>
          <w:cantSplit/>
        </w:trPr>
        <w:tc>
          <w:tcPr>
            <w:tcW w:type="dxa" w:w="936"/>
            <w:vAlign w:val="center"/>
          </w:tcPr>
          <w:p>
            <w:pPr>
              <w:spacing w:after="20"/>
            </w:pPr>
            <w:r/>
            <w:r>
              <w:rPr>
                <w:rFonts w:ascii="Aptos" w:hAnsi="Aptos"/>
                <w:b w:val="0"/>
                <w:sz w:val="16"/>
              </w:rPr>
              <w:t>BO-01</w:t>
            </w:r>
          </w:p>
        </w:tc>
        <w:tc>
          <w:tcPr>
            <w:tcW w:type="dxa" w:w="3024"/>
            <w:vAlign w:val="center"/>
          </w:tcPr>
          <w:p>
            <w:pPr>
              <w:spacing w:after="20"/>
            </w:pPr>
            <w:r/>
            <w:r>
              <w:rPr>
                <w:rFonts w:ascii="Aptos" w:hAnsi="Aptos"/>
                <w:b w:val="0"/>
                <w:sz w:val="16"/>
              </w:rPr>
              <w:t>Reduce manual SQL dependency</w:t>
            </w:r>
          </w:p>
        </w:tc>
        <w:tc>
          <w:tcPr>
            <w:tcW w:type="dxa" w:w="6768"/>
            <w:vAlign w:val="center"/>
          </w:tcPr>
          <w:p>
            <w:pPr>
              <w:spacing w:after="20"/>
            </w:pPr>
            <w:r/>
            <w:r>
              <w:rPr>
                <w:rFonts w:ascii="Aptos" w:hAnsi="Aptos"/>
                <w:b w:val="0"/>
                <w:sz w:val="16"/>
              </w:rPr>
              <w:t>Share of supported tasks completed without user-written SQL</w:t>
            </w:r>
          </w:p>
        </w:tc>
      </w:tr>
      <w:tr>
        <w:trPr>
          <w:cantSplit/>
        </w:trPr>
        <w:tc>
          <w:tcPr>
            <w:tcW w:type="dxa" w:w="936"/>
            <w:vAlign w:val="center"/>
            <w:shd w:fill="F3F5F8"/>
          </w:tcPr>
          <w:p>
            <w:pPr>
              <w:spacing w:after="20"/>
            </w:pPr>
            <w:r/>
            <w:r>
              <w:rPr>
                <w:rFonts w:ascii="Aptos" w:hAnsi="Aptos"/>
                <w:b w:val="0"/>
                <w:sz w:val="16"/>
              </w:rPr>
              <w:t>BO-02</w:t>
            </w:r>
          </w:p>
        </w:tc>
        <w:tc>
          <w:tcPr>
            <w:tcW w:type="dxa" w:w="3024"/>
            <w:vAlign w:val="center"/>
            <w:shd w:fill="F3F5F8"/>
          </w:tcPr>
          <w:p>
            <w:pPr>
              <w:spacing w:after="20"/>
            </w:pPr>
            <w:r/>
            <w:r>
              <w:rPr>
                <w:rFonts w:ascii="Aptos" w:hAnsi="Aptos"/>
                <w:b w:val="0"/>
                <w:sz w:val="16"/>
              </w:rPr>
              <w:t>Handle messy schemas</w:t>
            </w:r>
          </w:p>
        </w:tc>
        <w:tc>
          <w:tcPr>
            <w:tcW w:type="dxa" w:w="6768"/>
            <w:vAlign w:val="center"/>
            <w:shd w:fill="F3F5F8"/>
          </w:tcPr>
          <w:p>
            <w:pPr>
              <w:spacing w:after="20"/>
            </w:pPr>
            <w:r/>
            <w:r>
              <w:rPr>
                <w:rFonts w:ascii="Aptos" w:hAnsi="Aptos"/>
                <w:b w:val="0"/>
                <w:sz w:val="16"/>
              </w:rPr>
              <w:t>Semantic accuracy by difficulty and schema-quality category</w:t>
            </w:r>
          </w:p>
        </w:tc>
      </w:tr>
      <w:tr>
        <w:trPr>
          <w:cantSplit/>
        </w:trPr>
        <w:tc>
          <w:tcPr>
            <w:tcW w:type="dxa" w:w="936"/>
            <w:vAlign w:val="center"/>
          </w:tcPr>
          <w:p>
            <w:pPr>
              <w:spacing w:after="20"/>
            </w:pPr>
            <w:r/>
            <w:r>
              <w:rPr>
                <w:rFonts w:ascii="Aptos" w:hAnsi="Aptos"/>
                <w:b w:val="0"/>
                <w:sz w:val="16"/>
              </w:rPr>
              <w:t>BO-03</w:t>
            </w:r>
          </w:p>
        </w:tc>
        <w:tc>
          <w:tcPr>
            <w:tcW w:type="dxa" w:w="3024"/>
            <w:vAlign w:val="center"/>
          </w:tcPr>
          <w:p>
            <w:pPr>
              <w:spacing w:after="20"/>
            </w:pPr>
            <w:r/>
            <w:r>
              <w:rPr>
                <w:rFonts w:ascii="Aptos" w:hAnsi="Aptos"/>
                <w:b w:val="0"/>
                <w:sz w:val="16"/>
              </w:rPr>
              <w:t>Make results verifiable</w:t>
            </w:r>
          </w:p>
        </w:tc>
        <w:tc>
          <w:tcPr>
            <w:tcW w:type="dxa" w:w="6768"/>
            <w:vAlign w:val="center"/>
          </w:tcPr>
          <w:p>
            <w:pPr>
              <w:spacing w:after="20"/>
            </w:pPr>
            <w:r/>
            <w:r>
              <w:rPr>
                <w:rFonts w:ascii="Aptos" w:hAnsi="Aptos"/>
                <w:b w:val="0"/>
                <w:sz w:val="16"/>
              </w:rPr>
              <w:t>Share of answers with SQL, filters, provenance, and actual result evidence</w:t>
            </w:r>
          </w:p>
        </w:tc>
      </w:tr>
      <w:tr>
        <w:trPr>
          <w:cantSplit/>
        </w:trPr>
        <w:tc>
          <w:tcPr>
            <w:tcW w:type="dxa" w:w="936"/>
            <w:vAlign w:val="center"/>
            <w:shd w:fill="F3F5F8"/>
          </w:tcPr>
          <w:p>
            <w:pPr>
              <w:spacing w:after="20"/>
            </w:pPr>
            <w:r/>
            <w:r>
              <w:rPr>
                <w:rFonts w:ascii="Aptos" w:hAnsi="Aptos"/>
                <w:b w:val="0"/>
                <w:sz w:val="16"/>
              </w:rPr>
              <w:t>BO-04</w:t>
            </w:r>
          </w:p>
        </w:tc>
        <w:tc>
          <w:tcPr>
            <w:tcW w:type="dxa" w:w="3024"/>
            <w:vAlign w:val="center"/>
            <w:shd w:fill="F3F5F8"/>
          </w:tcPr>
          <w:p>
            <w:pPr>
              <w:spacing w:after="20"/>
            </w:pPr>
            <w:r/>
            <w:r>
              <w:rPr>
                <w:rFonts w:ascii="Aptos" w:hAnsi="Aptos"/>
                <w:b w:val="0"/>
                <w:sz w:val="16"/>
              </w:rPr>
              <w:t>Enforce safe access</w:t>
            </w:r>
          </w:p>
        </w:tc>
        <w:tc>
          <w:tcPr>
            <w:tcW w:type="dxa" w:w="6768"/>
            <w:vAlign w:val="center"/>
            <w:shd w:fill="F3F5F8"/>
          </w:tcPr>
          <w:p>
            <w:pPr>
              <w:spacing w:after="20"/>
            </w:pPr>
            <w:r/>
            <w:r>
              <w:rPr>
                <w:rFonts w:ascii="Aptos" w:hAnsi="Aptos"/>
                <w:b w:val="0"/>
                <w:sz w:val="16"/>
              </w:rPr>
              <w:t>Unsafe-query execution count in adversarial tests; target zero</w:t>
            </w:r>
          </w:p>
        </w:tc>
      </w:tr>
      <w:tr>
        <w:trPr>
          <w:cantSplit/>
        </w:trPr>
        <w:tc>
          <w:tcPr>
            <w:tcW w:type="dxa" w:w="936"/>
            <w:vAlign w:val="center"/>
          </w:tcPr>
          <w:p>
            <w:pPr>
              <w:spacing w:after="20"/>
            </w:pPr>
            <w:r/>
            <w:r>
              <w:rPr>
                <w:rFonts w:ascii="Aptos" w:hAnsi="Aptos"/>
                <w:b w:val="0"/>
                <w:sz w:val="16"/>
              </w:rPr>
              <w:t>BO-05</w:t>
            </w:r>
          </w:p>
        </w:tc>
        <w:tc>
          <w:tcPr>
            <w:tcW w:type="dxa" w:w="3024"/>
            <w:vAlign w:val="center"/>
          </w:tcPr>
          <w:p>
            <w:pPr>
              <w:spacing w:after="20"/>
            </w:pPr>
            <w:r/>
            <w:r>
              <w:rPr>
                <w:rFonts w:ascii="Aptos" w:hAnsi="Aptos"/>
                <w:b w:val="0"/>
                <w:sz w:val="16"/>
              </w:rPr>
              <w:t>Be honest under uncertainty</w:t>
            </w:r>
          </w:p>
        </w:tc>
        <w:tc>
          <w:tcPr>
            <w:tcW w:type="dxa" w:w="6768"/>
            <w:vAlign w:val="center"/>
          </w:tcPr>
          <w:p>
            <w:pPr>
              <w:spacing w:after="20"/>
            </w:pPr>
            <w:r/>
            <w:r>
              <w:rPr>
                <w:rFonts w:ascii="Aptos" w:hAnsi="Aptos"/>
                <w:b w:val="0"/>
                <w:sz w:val="16"/>
              </w:rPr>
              <w:t>Correct clarification/refusal rate on ambiguous or unsupported questions</w:t>
            </w:r>
          </w:p>
        </w:tc>
      </w:tr>
      <w:tr>
        <w:trPr>
          <w:cantSplit/>
        </w:trPr>
        <w:tc>
          <w:tcPr>
            <w:tcW w:type="dxa" w:w="936"/>
            <w:vAlign w:val="center"/>
            <w:shd w:fill="F3F5F8"/>
          </w:tcPr>
          <w:p>
            <w:pPr>
              <w:spacing w:after="20"/>
            </w:pPr>
            <w:r/>
            <w:r>
              <w:rPr>
                <w:rFonts w:ascii="Aptos" w:hAnsi="Aptos"/>
                <w:b w:val="0"/>
                <w:sz w:val="16"/>
              </w:rPr>
              <w:t>BO-06</w:t>
            </w:r>
          </w:p>
        </w:tc>
        <w:tc>
          <w:tcPr>
            <w:tcW w:type="dxa" w:w="3024"/>
            <w:vAlign w:val="center"/>
            <w:shd w:fill="F3F5F8"/>
          </w:tcPr>
          <w:p>
            <w:pPr>
              <w:spacing w:after="20"/>
            </w:pPr>
            <w:r/>
            <w:r>
              <w:rPr>
                <w:rFonts w:ascii="Aptos" w:hAnsi="Aptos"/>
                <w:b w:val="0"/>
                <w:sz w:val="16"/>
              </w:rPr>
              <w:t>Demonstrate repeatable quality</w:t>
            </w:r>
          </w:p>
        </w:tc>
        <w:tc>
          <w:tcPr>
            <w:tcW w:type="dxa" w:w="6768"/>
            <w:vAlign w:val="center"/>
            <w:shd w:fill="F3F5F8"/>
          </w:tcPr>
          <w:p>
            <w:pPr>
              <w:spacing w:after="20"/>
            </w:pPr>
            <w:r/>
            <w:r>
              <w:rPr>
                <w:rFonts w:ascii="Aptos" w:hAnsi="Aptos"/>
                <w:b w:val="0"/>
                <w:sz w:val="16"/>
              </w:rPr>
              <w:t>Benchmark run ID, case-level outputs, model/config version, latency distribution</w:t>
            </w:r>
          </w:p>
        </w:tc>
      </w:tr>
    </w:tbl>
    <w:p>
      <w:pPr>
        <w:spacing w:after="20"/>
      </w:pPr>
    </w:p>
    <w:p>
      <w:pPr>
        <w:pStyle w:val="Heading1"/>
      </w:pPr>
      <w:r>
        <w:t>3. Users, Use Cases, and Scope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88"/>
            <w:vAlign w:val="center"/>
            <w:shd w:fill="202A44"/>
          </w:tcPr>
          <w:p>
            <w:pPr>
              <w:spacing w:after="20"/>
            </w:pPr>
            <w:r/>
            <w:r>
              <w:rPr>
                <w:rFonts w:ascii="Aptos" w:hAnsi="Aptos"/>
                <w:b/>
                <w:color w:val="FFFFFF"/>
                <w:sz w:val="16"/>
              </w:rPr>
              <w:t>Persona</w:t>
            </w:r>
          </w:p>
        </w:tc>
        <w:tc>
          <w:tcPr>
            <w:tcW w:type="dxa" w:w="3744"/>
            <w:vAlign w:val="center"/>
            <w:shd w:fill="202A44"/>
          </w:tcPr>
          <w:p>
            <w:pPr>
              <w:spacing w:after="20"/>
            </w:pPr>
            <w:r/>
            <w:r>
              <w:rPr>
                <w:rFonts w:ascii="Aptos" w:hAnsi="Aptos"/>
                <w:b/>
                <w:color w:val="FFFFFF"/>
                <w:sz w:val="16"/>
              </w:rPr>
              <w:t>Needs</w:t>
            </w:r>
          </w:p>
        </w:tc>
        <w:tc>
          <w:tcPr>
            <w:tcW w:type="dxa" w:w="4896"/>
            <w:vAlign w:val="center"/>
            <w:shd w:fill="202A44"/>
          </w:tcPr>
          <w:p>
            <w:pPr>
              <w:spacing w:after="20"/>
            </w:pPr>
            <w:r/>
            <w:r>
              <w:rPr>
                <w:rFonts w:ascii="Aptos" w:hAnsi="Aptos"/>
                <w:b/>
                <w:color w:val="FFFFFF"/>
                <w:sz w:val="16"/>
              </w:rPr>
              <w:t>Example</w:t>
            </w:r>
          </w:p>
        </w:tc>
      </w:tr>
      <w:tr>
        <w:trPr>
          <w:cantSplit/>
        </w:trPr>
        <w:tc>
          <w:tcPr>
            <w:tcW w:type="dxa" w:w="2088"/>
            <w:vAlign w:val="center"/>
          </w:tcPr>
          <w:p>
            <w:pPr>
              <w:spacing w:after="20"/>
            </w:pPr>
            <w:r/>
            <w:r>
              <w:rPr>
                <w:rFonts w:ascii="Aptos" w:hAnsi="Aptos"/>
                <w:b w:val="0"/>
                <w:sz w:val="16"/>
              </w:rPr>
              <w:t>Business analyst</w:t>
            </w:r>
          </w:p>
        </w:tc>
        <w:tc>
          <w:tcPr>
            <w:tcW w:type="dxa" w:w="3744"/>
            <w:vAlign w:val="center"/>
          </w:tcPr>
          <w:p>
            <w:pPr>
              <w:spacing w:after="20"/>
            </w:pPr>
            <w:r/>
            <w:r>
              <w:rPr>
                <w:rFonts w:ascii="Aptos" w:hAnsi="Aptos"/>
                <w:b w:val="0"/>
                <w:sz w:val="16"/>
              </w:rPr>
              <w:t>Fast answers, SQL inspection, exportable results</w:t>
            </w:r>
          </w:p>
        </w:tc>
        <w:tc>
          <w:tcPr>
            <w:tcW w:type="dxa" w:w="4896"/>
            <w:vAlign w:val="center"/>
          </w:tcPr>
          <w:p>
            <w:pPr>
              <w:spacing w:after="20"/>
            </w:pPr>
            <w:r/>
            <w:r>
              <w:rPr>
                <w:rFonts w:ascii="Aptos" w:hAnsi="Aptos"/>
                <w:b w:val="0"/>
                <w:sz w:val="16"/>
              </w:rPr>
              <w:t>Compare revenue by region and month</w:t>
            </w:r>
          </w:p>
        </w:tc>
      </w:tr>
      <w:tr>
        <w:trPr>
          <w:cantSplit/>
        </w:trPr>
        <w:tc>
          <w:tcPr>
            <w:tcW w:type="dxa" w:w="2088"/>
            <w:vAlign w:val="center"/>
            <w:shd w:fill="F3F5F8"/>
          </w:tcPr>
          <w:p>
            <w:pPr>
              <w:spacing w:after="20"/>
            </w:pPr>
            <w:r/>
            <w:r>
              <w:rPr>
                <w:rFonts w:ascii="Aptos" w:hAnsi="Aptos"/>
                <w:b w:val="0"/>
                <w:sz w:val="16"/>
              </w:rPr>
              <w:t>Manager / executive</w:t>
            </w:r>
          </w:p>
        </w:tc>
        <w:tc>
          <w:tcPr>
            <w:tcW w:type="dxa" w:w="3744"/>
            <w:vAlign w:val="center"/>
            <w:shd w:fill="F3F5F8"/>
          </w:tcPr>
          <w:p>
            <w:pPr>
              <w:spacing w:after="20"/>
            </w:pPr>
            <w:r/>
            <w:r>
              <w:rPr>
                <w:rFonts w:ascii="Aptos" w:hAnsi="Aptos"/>
                <w:b w:val="0"/>
                <w:sz w:val="16"/>
              </w:rPr>
              <w:t>Clear findings, charts, caveats</w:t>
            </w:r>
          </w:p>
        </w:tc>
        <w:tc>
          <w:tcPr>
            <w:tcW w:type="dxa" w:w="4896"/>
            <w:vAlign w:val="center"/>
            <w:shd w:fill="F3F5F8"/>
          </w:tcPr>
          <w:p>
            <w:pPr>
              <w:spacing w:after="20"/>
            </w:pPr>
            <w:r/>
            <w:r>
              <w:rPr>
                <w:rFonts w:ascii="Aptos" w:hAnsi="Aptos"/>
                <w:b w:val="0"/>
                <w:sz w:val="16"/>
              </w:rPr>
              <w:t>Which region declined most versus last quarter?</w:t>
            </w:r>
          </w:p>
        </w:tc>
      </w:tr>
      <w:tr>
        <w:trPr>
          <w:cantSplit/>
        </w:trPr>
        <w:tc>
          <w:tcPr>
            <w:tcW w:type="dxa" w:w="2088"/>
            <w:vAlign w:val="center"/>
          </w:tcPr>
          <w:p>
            <w:pPr>
              <w:spacing w:after="20"/>
            </w:pPr>
            <w:r/>
            <w:r>
              <w:rPr>
                <w:rFonts w:ascii="Aptos" w:hAnsi="Aptos"/>
                <w:b w:val="0"/>
                <w:sz w:val="16"/>
              </w:rPr>
              <w:t>Data engineer / developer</w:t>
            </w:r>
          </w:p>
        </w:tc>
        <w:tc>
          <w:tcPr>
            <w:tcW w:type="dxa" w:w="3744"/>
            <w:vAlign w:val="center"/>
          </w:tcPr>
          <w:p>
            <w:pPr>
              <w:spacing w:after="20"/>
            </w:pPr>
            <w:r/>
            <w:r>
              <w:rPr>
                <w:rFonts w:ascii="Aptos" w:hAnsi="Aptos"/>
                <w:b w:val="0"/>
                <w:sz w:val="16"/>
              </w:rPr>
              <w:t>Schema investigation, debugging, reproducibility</w:t>
            </w:r>
          </w:p>
        </w:tc>
        <w:tc>
          <w:tcPr>
            <w:tcW w:type="dxa" w:w="4896"/>
            <w:vAlign w:val="center"/>
          </w:tcPr>
          <w:p>
            <w:pPr>
              <w:spacing w:after="20"/>
            </w:pPr>
            <w:r/>
            <w:r>
              <w:rPr>
                <w:rFonts w:ascii="Aptos" w:hAnsi="Aptos"/>
                <w:b w:val="0"/>
                <w:sz w:val="16"/>
              </w:rPr>
              <w:t>Why did this join duplicate customers?</w:t>
            </w:r>
          </w:p>
        </w:tc>
      </w:tr>
      <w:tr>
        <w:trPr>
          <w:cantSplit/>
        </w:trPr>
        <w:tc>
          <w:tcPr>
            <w:tcW w:type="dxa" w:w="2088"/>
            <w:vAlign w:val="center"/>
            <w:shd w:fill="F3F5F8"/>
          </w:tcPr>
          <w:p>
            <w:pPr>
              <w:spacing w:after="20"/>
            </w:pPr>
            <w:r/>
            <w:r>
              <w:rPr>
                <w:rFonts w:ascii="Aptos" w:hAnsi="Aptos"/>
                <w:b w:val="0"/>
                <w:sz w:val="16"/>
              </w:rPr>
              <w:t>Database administrator</w:t>
            </w:r>
          </w:p>
        </w:tc>
        <w:tc>
          <w:tcPr>
            <w:tcW w:type="dxa" w:w="3744"/>
            <w:vAlign w:val="center"/>
            <w:shd w:fill="F3F5F8"/>
          </w:tcPr>
          <w:p>
            <w:pPr>
              <w:spacing w:after="20"/>
            </w:pPr>
            <w:r/>
            <w:r>
              <w:rPr>
                <w:rFonts w:ascii="Aptos" w:hAnsi="Aptos"/>
                <w:b w:val="0"/>
                <w:sz w:val="16"/>
              </w:rPr>
              <w:t>Least privilege, query limits, auditability</w:t>
            </w:r>
          </w:p>
        </w:tc>
        <w:tc>
          <w:tcPr>
            <w:tcW w:type="dxa" w:w="4896"/>
            <w:vAlign w:val="center"/>
            <w:shd w:fill="F3F5F8"/>
          </w:tcPr>
          <w:p>
            <w:pPr>
              <w:spacing w:after="20"/>
            </w:pPr>
            <w:r/>
            <w:r>
              <w:rPr>
                <w:rFonts w:ascii="Aptos" w:hAnsi="Aptos"/>
                <w:b w:val="0"/>
                <w:sz w:val="16"/>
              </w:rPr>
              <w:t>Which queries were rejected and why?</w:t>
            </w:r>
          </w:p>
        </w:tc>
      </w:tr>
      <w:tr>
        <w:trPr>
          <w:cantSplit/>
        </w:trPr>
        <w:tc>
          <w:tcPr>
            <w:tcW w:type="dxa" w:w="2088"/>
            <w:vAlign w:val="center"/>
          </w:tcPr>
          <w:p>
            <w:pPr>
              <w:spacing w:after="20"/>
            </w:pPr>
            <w:r/>
            <w:r>
              <w:rPr>
                <w:rFonts w:ascii="Aptos" w:hAnsi="Aptos"/>
                <w:b w:val="0"/>
                <w:sz w:val="16"/>
              </w:rPr>
              <w:t>Product administrator</w:t>
            </w:r>
          </w:p>
        </w:tc>
        <w:tc>
          <w:tcPr>
            <w:tcW w:type="dxa" w:w="3744"/>
            <w:vAlign w:val="center"/>
          </w:tcPr>
          <w:p>
            <w:pPr>
              <w:spacing w:after="20"/>
            </w:pPr>
            <w:r/>
            <w:r>
              <w:rPr>
                <w:rFonts w:ascii="Aptos" w:hAnsi="Aptos"/>
                <w:b w:val="0"/>
                <w:sz w:val="16"/>
              </w:rPr>
              <w:t>Configuration, health, benchmark status</w:t>
            </w:r>
          </w:p>
        </w:tc>
        <w:tc>
          <w:tcPr>
            <w:tcW w:type="dxa" w:w="4896"/>
            <w:vAlign w:val="center"/>
          </w:tcPr>
          <w:p>
            <w:pPr>
              <w:spacing w:after="20"/>
            </w:pPr>
            <w:r/>
            <w:r>
              <w:rPr>
                <w:rFonts w:ascii="Aptos" w:hAnsi="Aptos"/>
                <w:b w:val="0"/>
                <w:sz w:val="16"/>
              </w:rPr>
              <w:t>Is the model available and did the last evaluation run?</w:t>
            </w:r>
          </w:p>
        </w:tc>
      </w:tr>
    </w:tbl>
    <w:p>
      <w:pPr>
        <w:spacing w:after="20"/>
      </w:pPr>
    </w:p>
    <w:p>
      <w:pPr>
        <w:pStyle w:val="Heading2"/>
      </w:pPr>
      <w:r>
        <w:t>3.1 In scope for initial release</w:t>
      </w:r>
    </w:p>
    <w:p>
      <w:pPr>
        <w:pStyle w:val="ListBullet"/>
        <w:spacing w:after="40"/>
      </w:pPr>
      <w:r>
        <w:t>PostgreSQL connection and real metadata discovery.</w:t>
      </w:r>
    </w:p>
    <w:p>
      <w:pPr>
        <w:pStyle w:val="ListBullet"/>
        <w:spacing w:after="40"/>
      </w:pPr>
      <w:r>
        <w:t>Schema/table/column exploration and relationship context.</w:t>
      </w:r>
    </w:p>
    <w:p>
      <w:pPr>
        <w:pStyle w:val="ListBullet"/>
        <w:spacing w:after="40"/>
      </w:pPr>
      <w:r>
        <w:t>Natural-language-to-SQL for supported analytical questions.</w:t>
      </w:r>
    </w:p>
    <w:p>
      <w:pPr>
        <w:pStyle w:val="ListBullet"/>
        <w:spacing w:after="40"/>
      </w:pPr>
      <w:r>
        <w:t>Server-side SQL policy validation and read-only execution.</w:t>
      </w:r>
    </w:p>
    <w:p>
      <w:pPr>
        <w:pStyle w:val="ListBullet"/>
        <w:spacing w:after="40"/>
      </w:pPr>
      <w:r>
        <w:t>Tables, suitable charts, explanations, and SQL inspection.</w:t>
      </w:r>
    </w:p>
    <w:p>
      <w:pPr>
        <w:pStyle w:val="ListBullet"/>
        <w:spacing w:after="40"/>
      </w:pPr>
      <w:r>
        <w:t>Query history, operational audit events, and benchmark reporting.</w:t>
      </w:r>
    </w:p>
    <w:p>
      <w:pPr>
        <w:pStyle w:val="ListBullet"/>
        <w:spacing w:after="40"/>
      </w:pPr>
      <w:r>
        <w:t>Error, timeout, empty-result, and truncation states.</w:t>
      </w:r>
    </w:p>
    <w:p>
      <w:pPr>
        <w:pStyle w:val="Heading2"/>
      </w:pPr>
      <w:r>
        <w:t>3.2 Out of scope unless separately implemented</w:t>
      </w:r>
    </w:p>
    <w:p>
      <w:pPr>
        <w:pStyle w:val="ListBullet"/>
        <w:spacing w:after="40"/>
      </w:pPr>
      <w:r>
        <w:t>Unrestricted database writes or autonomous schema modification.</w:t>
      </w:r>
    </w:p>
    <w:p>
      <w:pPr>
        <w:pStyle w:val="ListBullet"/>
        <w:spacing w:after="40"/>
      </w:pPr>
      <w:r>
        <w:t>Guaranteed support for every database dialect or every business domain.</w:t>
      </w:r>
    </w:p>
    <w:p>
      <w:pPr>
        <w:pStyle w:val="ListBullet"/>
        <w:spacing w:after="40"/>
      </w:pPr>
      <w:r>
        <w:t>Enterprise SSO, multi-tenancy, compliance certifications, and public-cloud scaling without evidence.</w:t>
      </w:r>
    </w:p>
    <w:p>
      <w:pPr>
        <w:pStyle w:val="ListBullet"/>
        <w:spacing w:after="40"/>
      </w:pPr>
      <w:r>
        <w:t>Automatic repair of source data or autonomous business decisions.</w:t>
      </w:r>
    </w:p>
    <w:p>
      <w:pPr>
        <w:pStyle w:val="ListBullet"/>
        <w:spacing w:after="40"/>
      </w:pPr>
      <w:r>
        <w:t>Claims of “zero hallucinations” or universal accuracy.</w:t>
      </w:r>
    </w:p>
    <w:p>
      <w:pPr>
        <w:pStyle w:val="Heading1"/>
      </w:pPr>
      <w:r>
        <w:t>4. Functional Requirements</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936"/>
            <w:vAlign w:val="center"/>
            <w:shd w:fill="202A44"/>
          </w:tcPr>
          <w:p>
            <w:pPr>
              <w:spacing w:after="20"/>
            </w:pPr>
            <w:r/>
            <w:r>
              <w:rPr>
                <w:rFonts w:ascii="Aptos" w:hAnsi="Aptos"/>
                <w:b/>
                <w:color w:val="FFFFFF"/>
                <w:sz w:val="15"/>
              </w:rPr>
              <w:t>ID</w:t>
            </w:r>
          </w:p>
        </w:tc>
        <w:tc>
          <w:tcPr>
            <w:tcW w:type="dxa" w:w="4320"/>
            <w:vAlign w:val="center"/>
            <w:shd w:fill="202A44"/>
          </w:tcPr>
          <w:p>
            <w:pPr>
              <w:spacing w:after="20"/>
            </w:pPr>
            <w:r/>
            <w:r>
              <w:rPr>
                <w:rFonts w:ascii="Aptos" w:hAnsi="Aptos"/>
                <w:b/>
                <w:color w:val="FFFFFF"/>
                <w:sz w:val="15"/>
              </w:rPr>
              <w:t>Requirement</w:t>
            </w:r>
          </w:p>
        </w:tc>
        <w:tc>
          <w:tcPr>
            <w:tcW w:type="dxa" w:w="1008"/>
            <w:vAlign w:val="center"/>
            <w:shd w:fill="202A44"/>
          </w:tcPr>
          <w:p>
            <w:pPr>
              <w:spacing w:after="20"/>
            </w:pPr>
            <w:r/>
            <w:r>
              <w:rPr>
                <w:rFonts w:ascii="Aptos" w:hAnsi="Aptos"/>
                <w:b/>
                <w:color w:val="FFFFFF"/>
                <w:sz w:val="15"/>
              </w:rPr>
              <w:t>Priority</w:t>
            </w:r>
          </w:p>
        </w:tc>
        <w:tc>
          <w:tcPr>
            <w:tcW w:type="dxa" w:w="4320"/>
            <w:vAlign w:val="center"/>
            <w:shd w:fill="202A44"/>
          </w:tcPr>
          <w:p>
            <w:pPr>
              <w:spacing w:after="20"/>
            </w:pPr>
            <w:r/>
            <w:r>
              <w:rPr>
                <w:rFonts w:ascii="Aptos" w:hAnsi="Aptos"/>
                <w:b/>
                <w:color w:val="FFFFFF"/>
                <w:sz w:val="15"/>
              </w:rPr>
              <w:t>Acceptance evidence</w:t>
            </w:r>
          </w:p>
        </w:tc>
      </w:tr>
      <w:tr>
        <w:trPr>
          <w:cantSplit/>
        </w:trPr>
        <w:tc>
          <w:tcPr>
            <w:tcW w:type="dxa" w:w="936"/>
            <w:vAlign w:val="center"/>
          </w:tcPr>
          <w:p>
            <w:pPr>
              <w:spacing w:after="20"/>
            </w:pPr>
            <w:r/>
            <w:r>
              <w:rPr>
                <w:rFonts w:ascii="Aptos" w:hAnsi="Aptos"/>
                <w:b w:val="0"/>
                <w:sz w:val="15"/>
              </w:rPr>
              <w:t>FR-01</w:t>
            </w:r>
          </w:p>
        </w:tc>
        <w:tc>
          <w:tcPr>
            <w:tcW w:type="dxa" w:w="4320"/>
            <w:vAlign w:val="center"/>
          </w:tcPr>
          <w:p>
            <w:pPr>
              <w:spacing w:after="20"/>
            </w:pPr>
            <w:r/>
            <w:r>
              <w:rPr>
                <w:rFonts w:ascii="Aptos" w:hAnsi="Aptos"/>
                <w:b w:val="0"/>
                <w:sz w:val="15"/>
              </w:rPr>
              <w:t>Configure and test an authorized database connection</w:t>
            </w:r>
          </w:p>
        </w:tc>
        <w:tc>
          <w:tcPr>
            <w:tcW w:type="dxa" w:w="1008"/>
            <w:vAlign w:val="center"/>
          </w:tcPr>
          <w:p>
            <w:pPr>
              <w:spacing w:after="20"/>
            </w:pPr>
            <w:r/>
            <w:r>
              <w:rPr>
                <w:rFonts w:ascii="Aptos" w:hAnsi="Aptos"/>
                <w:b w:val="0"/>
                <w:sz w:val="15"/>
              </w:rPr>
              <w:t>P0</w:t>
            </w:r>
          </w:p>
        </w:tc>
        <w:tc>
          <w:tcPr>
            <w:tcW w:type="dxa" w:w="4320"/>
            <w:vAlign w:val="center"/>
          </w:tcPr>
          <w:p>
            <w:pPr>
              <w:spacing w:after="20"/>
            </w:pPr>
            <w:r/>
            <w:r>
              <w:rPr>
                <w:rFonts w:ascii="Aptos" w:hAnsi="Aptos"/>
                <w:b w:val="0"/>
                <w:sz w:val="15"/>
              </w:rPr>
              <w:t>Connection test against real database</w:t>
            </w:r>
          </w:p>
        </w:tc>
      </w:tr>
      <w:tr>
        <w:trPr>
          <w:cantSplit/>
        </w:trPr>
        <w:tc>
          <w:tcPr>
            <w:tcW w:type="dxa" w:w="936"/>
            <w:vAlign w:val="center"/>
            <w:shd w:fill="F3F5F8"/>
          </w:tcPr>
          <w:p>
            <w:pPr>
              <w:spacing w:after="20"/>
            </w:pPr>
            <w:r/>
            <w:r>
              <w:rPr>
                <w:rFonts w:ascii="Aptos" w:hAnsi="Aptos"/>
                <w:b w:val="0"/>
                <w:sz w:val="15"/>
              </w:rPr>
              <w:t>FR-02</w:t>
            </w:r>
          </w:p>
        </w:tc>
        <w:tc>
          <w:tcPr>
            <w:tcW w:type="dxa" w:w="4320"/>
            <w:vAlign w:val="center"/>
            <w:shd w:fill="F3F5F8"/>
          </w:tcPr>
          <w:p>
            <w:pPr>
              <w:spacing w:after="20"/>
            </w:pPr>
            <w:r/>
            <w:r>
              <w:rPr>
                <w:rFonts w:ascii="Aptos" w:hAnsi="Aptos"/>
                <w:b w:val="0"/>
                <w:sz w:val="15"/>
              </w:rPr>
              <w:t>Discover permitted schemas, tables, columns, types, and relationships</w:t>
            </w:r>
          </w:p>
        </w:tc>
        <w:tc>
          <w:tcPr>
            <w:tcW w:type="dxa" w:w="1008"/>
            <w:vAlign w:val="center"/>
            <w:shd w:fill="F3F5F8"/>
          </w:tcPr>
          <w:p>
            <w:pPr>
              <w:spacing w:after="20"/>
            </w:pPr>
            <w:r/>
            <w:r>
              <w:rPr>
                <w:rFonts w:ascii="Aptos" w:hAnsi="Aptos"/>
                <w:b w:val="0"/>
                <w:sz w:val="15"/>
              </w:rPr>
              <w:t>P0</w:t>
            </w:r>
          </w:p>
        </w:tc>
        <w:tc>
          <w:tcPr>
            <w:tcW w:type="dxa" w:w="4320"/>
            <w:vAlign w:val="center"/>
            <w:shd w:fill="F3F5F8"/>
          </w:tcPr>
          <w:p>
            <w:pPr>
              <w:spacing w:after="20"/>
            </w:pPr>
            <w:r/>
            <w:r>
              <w:rPr>
                <w:rFonts w:ascii="Aptos" w:hAnsi="Aptos"/>
                <w:b w:val="0"/>
                <w:sz w:val="15"/>
              </w:rPr>
              <w:t>Metadata matches database catalog</w:t>
            </w:r>
          </w:p>
        </w:tc>
      </w:tr>
      <w:tr>
        <w:trPr>
          <w:cantSplit/>
        </w:trPr>
        <w:tc>
          <w:tcPr>
            <w:tcW w:type="dxa" w:w="936"/>
            <w:vAlign w:val="center"/>
          </w:tcPr>
          <w:p>
            <w:pPr>
              <w:spacing w:after="20"/>
            </w:pPr>
            <w:r/>
            <w:r>
              <w:rPr>
                <w:rFonts w:ascii="Aptos" w:hAnsi="Aptos"/>
                <w:b w:val="0"/>
                <w:sz w:val="15"/>
              </w:rPr>
              <w:t>FR-03</w:t>
            </w:r>
          </w:p>
        </w:tc>
        <w:tc>
          <w:tcPr>
            <w:tcW w:type="dxa" w:w="4320"/>
            <w:vAlign w:val="center"/>
          </w:tcPr>
          <w:p>
            <w:pPr>
              <w:spacing w:after="20"/>
            </w:pPr>
            <w:r/>
            <w:r>
              <w:rPr>
                <w:rFonts w:ascii="Aptos" w:hAnsi="Aptos"/>
                <w:b w:val="0"/>
                <w:sz w:val="15"/>
              </w:rPr>
              <w:t>Accept natural-language questions and generate schema-grounded SQL</w:t>
            </w:r>
          </w:p>
        </w:tc>
        <w:tc>
          <w:tcPr>
            <w:tcW w:type="dxa" w:w="1008"/>
            <w:vAlign w:val="center"/>
          </w:tcPr>
          <w:p>
            <w:pPr>
              <w:spacing w:after="20"/>
            </w:pPr>
            <w:r/>
            <w:r>
              <w:rPr>
                <w:rFonts w:ascii="Aptos" w:hAnsi="Aptos"/>
                <w:b w:val="0"/>
                <w:sz w:val="15"/>
              </w:rPr>
              <w:t>P0</w:t>
            </w:r>
          </w:p>
        </w:tc>
        <w:tc>
          <w:tcPr>
            <w:tcW w:type="dxa" w:w="4320"/>
            <w:vAlign w:val="center"/>
          </w:tcPr>
          <w:p>
            <w:pPr>
              <w:spacing w:after="20"/>
            </w:pPr>
            <w:r/>
            <w:r>
              <w:rPr>
                <w:rFonts w:ascii="Aptos" w:hAnsi="Aptos"/>
                <w:b w:val="0"/>
                <w:sz w:val="15"/>
              </w:rPr>
              <w:t>Recorded supported-question tests</w:t>
            </w:r>
          </w:p>
        </w:tc>
      </w:tr>
      <w:tr>
        <w:trPr>
          <w:cantSplit/>
        </w:trPr>
        <w:tc>
          <w:tcPr>
            <w:tcW w:type="dxa" w:w="936"/>
            <w:vAlign w:val="center"/>
            <w:shd w:fill="F3F5F8"/>
          </w:tcPr>
          <w:p>
            <w:pPr>
              <w:spacing w:after="20"/>
            </w:pPr>
            <w:r/>
            <w:r>
              <w:rPr>
                <w:rFonts w:ascii="Aptos" w:hAnsi="Aptos"/>
                <w:b w:val="0"/>
                <w:sz w:val="15"/>
              </w:rPr>
              <w:t>FR-04</w:t>
            </w:r>
          </w:p>
        </w:tc>
        <w:tc>
          <w:tcPr>
            <w:tcW w:type="dxa" w:w="4320"/>
            <w:vAlign w:val="center"/>
            <w:shd w:fill="F3F5F8"/>
          </w:tcPr>
          <w:p>
            <w:pPr>
              <w:spacing w:after="20"/>
            </w:pPr>
            <w:r/>
            <w:r>
              <w:rPr>
                <w:rFonts w:ascii="Aptos" w:hAnsi="Aptos"/>
                <w:b w:val="0"/>
                <w:sz w:val="15"/>
              </w:rPr>
              <w:t>Ask clarifying questions for material ambiguity</w:t>
            </w:r>
          </w:p>
        </w:tc>
        <w:tc>
          <w:tcPr>
            <w:tcW w:type="dxa" w:w="1008"/>
            <w:vAlign w:val="center"/>
            <w:shd w:fill="F3F5F8"/>
          </w:tcPr>
          <w:p>
            <w:pPr>
              <w:spacing w:after="20"/>
            </w:pPr>
            <w:r/>
            <w:r>
              <w:rPr>
                <w:rFonts w:ascii="Aptos" w:hAnsi="Aptos"/>
                <w:b w:val="0"/>
                <w:sz w:val="15"/>
              </w:rPr>
              <w:t>P0</w:t>
            </w:r>
          </w:p>
        </w:tc>
        <w:tc>
          <w:tcPr>
            <w:tcW w:type="dxa" w:w="4320"/>
            <w:vAlign w:val="center"/>
            <w:shd w:fill="F3F5F8"/>
          </w:tcPr>
          <w:p>
            <w:pPr>
              <w:spacing w:after="20"/>
            </w:pPr>
            <w:r/>
            <w:r>
              <w:rPr>
                <w:rFonts w:ascii="Aptos" w:hAnsi="Aptos"/>
                <w:b w:val="0"/>
                <w:sz w:val="15"/>
              </w:rPr>
              <w:t>Ambiguity test set with expected clarification</w:t>
            </w:r>
          </w:p>
        </w:tc>
      </w:tr>
      <w:tr>
        <w:trPr>
          <w:cantSplit/>
        </w:trPr>
        <w:tc>
          <w:tcPr>
            <w:tcW w:type="dxa" w:w="936"/>
            <w:vAlign w:val="center"/>
          </w:tcPr>
          <w:p>
            <w:pPr>
              <w:spacing w:after="20"/>
            </w:pPr>
            <w:r/>
            <w:r>
              <w:rPr>
                <w:rFonts w:ascii="Aptos" w:hAnsi="Aptos"/>
                <w:b w:val="0"/>
                <w:sz w:val="15"/>
              </w:rPr>
              <w:t>FR-05</w:t>
            </w:r>
          </w:p>
        </w:tc>
        <w:tc>
          <w:tcPr>
            <w:tcW w:type="dxa" w:w="4320"/>
            <w:vAlign w:val="center"/>
          </w:tcPr>
          <w:p>
            <w:pPr>
              <w:spacing w:after="20"/>
            </w:pPr>
            <w:r/>
            <w:r>
              <w:rPr>
                <w:rFonts w:ascii="Aptos" w:hAnsi="Aptos"/>
                <w:b w:val="0"/>
                <w:sz w:val="15"/>
              </w:rPr>
              <w:t>Validate every generated query against explicit SQL policy before execution</w:t>
            </w:r>
          </w:p>
        </w:tc>
        <w:tc>
          <w:tcPr>
            <w:tcW w:type="dxa" w:w="1008"/>
            <w:vAlign w:val="center"/>
          </w:tcPr>
          <w:p>
            <w:pPr>
              <w:spacing w:after="20"/>
            </w:pPr>
            <w:r/>
            <w:r>
              <w:rPr>
                <w:rFonts w:ascii="Aptos" w:hAnsi="Aptos"/>
                <w:b w:val="0"/>
                <w:sz w:val="15"/>
              </w:rPr>
              <w:t>P0</w:t>
            </w:r>
          </w:p>
        </w:tc>
        <w:tc>
          <w:tcPr>
            <w:tcW w:type="dxa" w:w="4320"/>
            <w:vAlign w:val="center"/>
          </w:tcPr>
          <w:p>
            <w:pPr>
              <w:spacing w:after="20"/>
            </w:pPr>
            <w:r/>
            <w:r>
              <w:rPr>
                <w:rFonts w:ascii="Aptos" w:hAnsi="Aptos"/>
                <w:b w:val="0"/>
                <w:sz w:val="15"/>
              </w:rPr>
              <w:t>Adversarial policy tests</w:t>
            </w:r>
          </w:p>
        </w:tc>
      </w:tr>
      <w:tr>
        <w:trPr>
          <w:cantSplit/>
        </w:trPr>
        <w:tc>
          <w:tcPr>
            <w:tcW w:type="dxa" w:w="936"/>
            <w:vAlign w:val="center"/>
            <w:shd w:fill="F3F5F8"/>
          </w:tcPr>
          <w:p>
            <w:pPr>
              <w:spacing w:after="20"/>
            </w:pPr>
            <w:r/>
            <w:r>
              <w:rPr>
                <w:rFonts w:ascii="Aptos" w:hAnsi="Aptos"/>
                <w:b w:val="0"/>
                <w:sz w:val="15"/>
              </w:rPr>
              <w:t>FR-06</w:t>
            </w:r>
          </w:p>
        </w:tc>
        <w:tc>
          <w:tcPr>
            <w:tcW w:type="dxa" w:w="4320"/>
            <w:vAlign w:val="center"/>
            <w:shd w:fill="F3F5F8"/>
          </w:tcPr>
          <w:p>
            <w:pPr>
              <w:spacing w:after="20"/>
            </w:pPr>
            <w:r/>
            <w:r>
              <w:rPr>
                <w:rFonts w:ascii="Aptos" w:hAnsi="Aptos"/>
                <w:b w:val="0"/>
                <w:sz w:val="15"/>
              </w:rPr>
              <w:t>Execute with read-only database credentials and bounded resources</w:t>
            </w:r>
          </w:p>
        </w:tc>
        <w:tc>
          <w:tcPr>
            <w:tcW w:type="dxa" w:w="1008"/>
            <w:vAlign w:val="center"/>
            <w:shd w:fill="F3F5F8"/>
          </w:tcPr>
          <w:p>
            <w:pPr>
              <w:spacing w:after="20"/>
            </w:pPr>
            <w:r/>
            <w:r>
              <w:rPr>
                <w:rFonts w:ascii="Aptos" w:hAnsi="Aptos"/>
                <w:b w:val="0"/>
                <w:sz w:val="15"/>
              </w:rPr>
              <w:t>P0</w:t>
            </w:r>
          </w:p>
        </w:tc>
        <w:tc>
          <w:tcPr>
            <w:tcW w:type="dxa" w:w="4320"/>
            <w:vAlign w:val="center"/>
            <w:shd w:fill="F3F5F8"/>
          </w:tcPr>
          <w:p>
            <w:pPr>
              <w:spacing w:after="20"/>
            </w:pPr>
            <w:r/>
            <w:r>
              <w:rPr>
                <w:rFonts w:ascii="Aptos" w:hAnsi="Aptos"/>
                <w:b w:val="0"/>
                <w:sz w:val="15"/>
              </w:rPr>
              <w:t>DB role verification, timeout and row-limit tests</w:t>
            </w:r>
          </w:p>
        </w:tc>
      </w:tr>
      <w:tr>
        <w:trPr>
          <w:cantSplit/>
        </w:trPr>
        <w:tc>
          <w:tcPr>
            <w:tcW w:type="dxa" w:w="936"/>
            <w:vAlign w:val="center"/>
          </w:tcPr>
          <w:p>
            <w:pPr>
              <w:spacing w:after="20"/>
            </w:pPr>
            <w:r/>
            <w:r>
              <w:rPr>
                <w:rFonts w:ascii="Aptos" w:hAnsi="Aptos"/>
                <w:b w:val="0"/>
                <w:sz w:val="15"/>
              </w:rPr>
              <w:t>FR-07</w:t>
            </w:r>
          </w:p>
        </w:tc>
        <w:tc>
          <w:tcPr>
            <w:tcW w:type="dxa" w:w="4320"/>
            <w:vAlign w:val="center"/>
          </w:tcPr>
          <w:p>
            <w:pPr>
              <w:spacing w:after="20"/>
            </w:pPr>
            <w:r/>
            <w:r>
              <w:rPr>
                <w:rFonts w:ascii="Aptos" w:hAnsi="Aptos"/>
                <w:b w:val="0"/>
                <w:sz w:val="15"/>
              </w:rPr>
              <w:t>Show actual returned rows, SQL, status, duration, and truncation</w:t>
            </w:r>
          </w:p>
        </w:tc>
        <w:tc>
          <w:tcPr>
            <w:tcW w:type="dxa" w:w="1008"/>
            <w:vAlign w:val="center"/>
          </w:tcPr>
          <w:p>
            <w:pPr>
              <w:spacing w:after="20"/>
            </w:pPr>
            <w:r/>
            <w:r>
              <w:rPr>
                <w:rFonts w:ascii="Aptos" w:hAnsi="Aptos"/>
                <w:b w:val="0"/>
                <w:sz w:val="15"/>
              </w:rPr>
              <w:t>P0</w:t>
            </w:r>
          </w:p>
        </w:tc>
        <w:tc>
          <w:tcPr>
            <w:tcW w:type="dxa" w:w="4320"/>
            <w:vAlign w:val="center"/>
          </w:tcPr>
          <w:p>
            <w:pPr>
              <w:spacing w:after="20"/>
            </w:pPr>
            <w:r/>
            <w:r>
              <w:rPr>
                <w:rFonts w:ascii="Aptos" w:hAnsi="Aptos"/>
                <w:b w:val="0"/>
                <w:sz w:val="15"/>
              </w:rPr>
              <w:t>UI matched to API response</w:t>
            </w:r>
          </w:p>
        </w:tc>
      </w:tr>
      <w:tr>
        <w:trPr>
          <w:cantSplit/>
        </w:trPr>
        <w:tc>
          <w:tcPr>
            <w:tcW w:type="dxa" w:w="936"/>
            <w:vAlign w:val="center"/>
            <w:shd w:fill="F3F5F8"/>
          </w:tcPr>
          <w:p>
            <w:pPr>
              <w:spacing w:after="20"/>
            </w:pPr>
            <w:r/>
            <w:r>
              <w:rPr>
                <w:rFonts w:ascii="Aptos" w:hAnsi="Aptos"/>
                <w:b w:val="0"/>
                <w:sz w:val="15"/>
              </w:rPr>
              <w:t>FR-08</w:t>
            </w:r>
          </w:p>
        </w:tc>
        <w:tc>
          <w:tcPr>
            <w:tcW w:type="dxa" w:w="4320"/>
            <w:vAlign w:val="center"/>
            <w:shd w:fill="F3F5F8"/>
          </w:tcPr>
          <w:p>
            <w:pPr>
              <w:spacing w:after="20"/>
            </w:pPr>
            <w:r/>
            <w:r>
              <w:rPr>
                <w:rFonts w:ascii="Aptos" w:hAnsi="Aptos"/>
                <w:b w:val="0"/>
                <w:sz w:val="15"/>
              </w:rPr>
              <w:t>Generate grounded explanations and suitable charts</w:t>
            </w:r>
          </w:p>
        </w:tc>
        <w:tc>
          <w:tcPr>
            <w:tcW w:type="dxa" w:w="1008"/>
            <w:vAlign w:val="center"/>
            <w:shd w:fill="F3F5F8"/>
          </w:tcPr>
          <w:p>
            <w:pPr>
              <w:spacing w:after="20"/>
            </w:pPr>
            <w:r/>
            <w:r>
              <w:rPr>
                <w:rFonts w:ascii="Aptos" w:hAnsi="Aptos"/>
                <w:b w:val="0"/>
                <w:sz w:val="15"/>
              </w:rPr>
              <w:t>P0</w:t>
            </w:r>
          </w:p>
        </w:tc>
        <w:tc>
          <w:tcPr>
            <w:tcW w:type="dxa" w:w="4320"/>
            <w:vAlign w:val="center"/>
            <w:shd w:fill="F3F5F8"/>
          </w:tcPr>
          <w:p>
            <w:pPr>
              <w:spacing w:after="20"/>
            </w:pPr>
            <w:r/>
            <w:r>
              <w:rPr>
                <w:rFonts w:ascii="Aptos" w:hAnsi="Aptos"/>
                <w:b w:val="0"/>
                <w:sz w:val="15"/>
              </w:rPr>
              <w:t>Explanation-to-result review cases</w:t>
            </w:r>
          </w:p>
        </w:tc>
      </w:tr>
      <w:tr>
        <w:trPr>
          <w:cantSplit/>
        </w:trPr>
        <w:tc>
          <w:tcPr>
            <w:tcW w:type="dxa" w:w="936"/>
            <w:vAlign w:val="center"/>
          </w:tcPr>
          <w:p>
            <w:pPr>
              <w:spacing w:after="20"/>
            </w:pPr>
            <w:r/>
            <w:r>
              <w:rPr>
                <w:rFonts w:ascii="Aptos" w:hAnsi="Aptos"/>
                <w:b w:val="0"/>
                <w:sz w:val="15"/>
              </w:rPr>
              <w:t>FR-09</w:t>
            </w:r>
          </w:p>
        </w:tc>
        <w:tc>
          <w:tcPr>
            <w:tcW w:type="dxa" w:w="4320"/>
            <w:vAlign w:val="center"/>
          </w:tcPr>
          <w:p>
            <w:pPr>
              <w:spacing w:after="20"/>
            </w:pPr>
            <w:r/>
            <w:r>
              <w:rPr>
                <w:rFonts w:ascii="Aptos" w:hAnsi="Aptos"/>
                <w:b w:val="0"/>
                <w:sz w:val="15"/>
              </w:rPr>
              <w:t>Differentiate empty result, rejection, timeout, DB failure, and render failure</w:t>
            </w:r>
          </w:p>
        </w:tc>
        <w:tc>
          <w:tcPr>
            <w:tcW w:type="dxa" w:w="1008"/>
            <w:vAlign w:val="center"/>
          </w:tcPr>
          <w:p>
            <w:pPr>
              <w:spacing w:after="20"/>
            </w:pPr>
            <w:r/>
            <w:r>
              <w:rPr>
                <w:rFonts w:ascii="Aptos" w:hAnsi="Aptos"/>
                <w:b w:val="0"/>
                <w:sz w:val="15"/>
              </w:rPr>
              <w:t>P0</w:t>
            </w:r>
          </w:p>
        </w:tc>
        <w:tc>
          <w:tcPr>
            <w:tcW w:type="dxa" w:w="4320"/>
            <w:vAlign w:val="center"/>
          </w:tcPr>
          <w:p>
            <w:pPr>
              <w:spacing w:after="20"/>
            </w:pPr>
            <w:r/>
            <w:r>
              <w:rPr>
                <w:rFonts w:ascii="Aptos" w:hAnsi="Aptos"/>
                <w:b w:val="0"/>
                <w:sz w:val="15"/>
              </w:rPr>
              <w:t>Distinct error-state tests</w:t>
            </w:r>
          </w:p>
        </w:tc>
      </w:tr>
      <w:tr>
        <w:trPr>
          <w:cantSplit/>
        </w:trPr>
        <w:tc>
          <w:tcPr>
            <w:tcW w:type="dxa" w:w="936"/>
            <w:vAlign w:val="center"/>
            <w:shd w:fill="F3F5F8"/>
          </w:tcPr>
          <w:p>
            <w:pPr>
              <w:spacing w:after="20"/>
            </w:pPr>
            <w:r/>
            <w:r>
              <w:rPr>
                <w:rFonts w:ascii="Aptos" w:hAnsi="Aptos"/>
                <w:b w:val="0"/>
                <w:sz w:val="15"/>
              </w:rPr>
              <w:t>FR-10</w:t>
            </w:r>
          </w:p>
        </w:tc>
        <w:tc>
          <w:tcPr>
            <w:tcW w:type="dxa" w:w="4320"/>
            <w:vAlign w:val="center"/>
            <w:shd w:fill="F3F5F8"/>
          </w:tcPr>
          <w:p>
            <w:pPr>
              <w:spacing w:after="20"/>
            </w:pPr>
            <w:r/>
            <w:r>
              <w:rPr>
                <w:rFonts w:ascii="Aptos" w:hAnsi="Aptos"/>
                <w:b w:val="0"/>
                <w:sz w:val="15"/>
              </w:rPr>
              <w:t>Record query run metadata and recent history</w:t>
            </w:r>
          </w:p>
        </w:tc>
        <w:tc>
          <w:tcPr>
            <w:tcW w:type="dxa" w:w="1008"/>
            <w:vAlign w:val="center"/>
            <w:shd w:fill="F3F5F8"/>
          </w:tcPr>
          <w:p>
            <w:pPr>
              <w:spacing w:after="20"/>
            </w:pPr>
            <w:r/>
            <w:r>
              <w:rPr>
                <w:rFonts w:ascii="Aptos" w:hAnsi="Aptos"/>
                <w:b w:val="0"/>
                <w:sz w:val="15"/>
              </w:rPr>
              <w:t>P0</w:t>
            </w:r>
          </w:p>
        </w:tc>
        <w:tc>
          <w:tcPr>
            <w:tcW w:type="dxa" w:w="4320"/>
            <w:vAlign w:val="center"/>
            <w:shd w:fill="F3F5F8"/>
          </w:tcPr>
          <w:p>
            <w:pPr>
              <w:spacing w:after="20"/>
            </w:pPr>
            <w:r/>
            <w:r>
              <w:rPr>
                <w:rFonts w:ascii="Aptos" w:hAnsi="Aptos"/>
                <w:b w:val="0"/>
                <w:sz w:val="15"/>
              </w:rPr>
              <w:t>Persisted records and access checks</w:t>
            </w:r>
          </w:p>
        </w:tc>
      </w:tr>
      <w:tr>
        <w:trPr>
          <w:cantSplit/>
        </w:trPr>
        <w:tc>
          <w:tcPr>
            <w:tcW w:type="dxa" w:w="936"/>
            <w:vAlign w:val="center"/>
          </w:tcPr>
          <w:p>
            <w:pPr>
              <w:spacing w:after="20"/>
            </w:pPr>
            <w:r/>
            <w:r>
              <w:rPr>
                <w:rFonts w:ascii="Aptos" w:hAnsi="Aptos"/>
                <w:b w:val="0"/>
                <w:sz w:val="15"/>
              </w:rPr>
              <w:t>FR-11</w:t>
            </w:r>
          </w:p>
        </w:tc>
        <w:tc>
          <w:tcPr>
            <w:tcW w:type="dxa" w:w="4320"/>
            <w:vAlign w:val="center"/>
          </w:tcPr>
          <w:p>
            <w:pPr>
              <w:spacing w:after="20"/>
            </w:pPr>
            <w:r/>
            <w:r>
              <w:rPr>
                <w:rFonts w:ascii="Aptos" w:hAnsi="Aptos"/>
                <w:b w:val="0"/>
                <w:sz w:val="15"/>
              </w:rPr>
              <w:t>Run benchmark cases and show per-case expected/actual outcome</w:t>
            </w:r>
          </w:p>
        </w:tc>
        <w:tc>
          <w:tcPr>
            <w:tcW w:type="dxa" w:w="1008"/>
            <w:vAlign w:val="center"/>
          </w:tcPr>
          <w:p>
            <w:pPr>
              <w:spacing w:after="20"/>
            </w:pPr>
            <w:r/>
            <w:r>
              <w:rPr>
                <w:rFonts w:ascii="Aptos" w:hAnsi="Aptos"/>
                <w:b w:val="0"/>
                <w:sz w:val="15"/>
              </w:rPr>
              <w:t>P0</w:t>
            </w:r>
          </w:p>
        </w:tc>
        <w:tc>
          <w:tcPr>
            <w:tcW w:type="dxa" w:w="4320"/>
            <w:vAlign w:val="center"/>
          </w:tcPr>
          <w:p>
            <w:pPr>
              <w:spacing w:after="20"/>
            </w:pPr>
            <w:r/>
            <w:r>
              <w:rPr>
                <w:rFonts w:ascii="Aptos" w:hAnsi="Aptos"/>
                <w:b w:val="0"/>
                <w:sz w:val="15"/>
              </w:rPr>
              <w:t>Traceable benchmark run ID and artifacts</w:t>
            </w:r>
          </w:p>
        </w:tc>
      </w:tr>
      <w:tr>
        <w:trPr>
          <w:cantSplit/>
        </w:trPr>
        <w:tc>
          <w:tcPr>
            <w:tcW w:type="dxa" w:w="936"/>
            <w:vAlign w:val="center"/>
            <w:shd w:fill="F3F5F8"/>
          </w:tcPr>
          <w:p>
            <w:pPr>
              <w:spacing w:after="20"/>
            </w:pPr>
            <w:r/>
            <w:r>
              <w:rPr>
                <w:rFonts w:ascii="Aptos" w:hAnsi="Aptos"/>
                <w:b w:val="0"/>
                <w:sz w:val="15"/>
              </w:rPr>
              <w:t>FR-12</w:t>
            </w:r>
          </w:p>
        </w:tc>
        <w:tc>
          <w:tcPr>
            <w:tcW w:type="dxa" w:w="4320"/>
            <w:vAlign w:val="center"/>
            <w:shd w:fill="F3F5F8"/>
          </w:tcPr>
          <w:p>
            <w:pPr>
              <w:spacing w:after="20"/>
            </w:pPr>
            <w:r/>
            <w:r>
              <w:rPr>
                <w:rFonts w:ascii="Aptos" w:hAnsi="Aptos"/>
                <w:b w:val="0"/>
                <w:sz w:val="15"/>
              </w:rPr>
              <w:t>Export supported results to CSV</w:t>
            </w:r>
          </w:p>
        </w:tc>
        <w:tc>
          <w:tcPr>
            <w:tcW w:type="dxa" w:w="1008"/>
            <w:vAlign w:val="center"/>
            <w:shd w:fill="F3F5F8"/>
          </w:tcPr>
          <w:p>
            <w:pPr>
              <w:spacing w:after="20"/>
            </w:pPr>
            <w:r/>
            <w:r>
              <w:rPr>
                <w:rFonts w:ascii="Aptos" w:hAnsi="Aptos"/>
                <w:b w:val="0"/>
                <w:sz w:val="15"/>
              </w:rPr>
              <w:t>P1</w:t>
            </w:r>
          </w:p>
        </w:tc>
        <w:tc>
          <w:tcPr>
            <w:tcW w:type="dxa" w:w="4320"/>
            <w:vAlign w:val="center"/>
            <w:shd w:fill="F3F5F8"/>
          </w:tcPr>
          <w:p>
            <w:pPr>
              <w:spacing w:after="20"/>
            </w:pPr>
            <w:r/>
            <w:r>
              <w:rPr>
                <w:rFonts w:ascii="Aptos" w:hAnsi="Aptos"/>
                <w:b w:val="0"/>
                <w:sz w:val="15"/>
              </w:rPr>
              <w:t>Export content matches displayed result</w:t>
            </w:r>
          </w:p>
        </w:tc>
      </w:tr>
      <w:tr>
        <w:trPr>
          <w:cantSplit/>
        </w:trPr>
        <w:tc>
          <w:tcPr>
            <w:tcW w:type="dxa" w:w="936"/>
            <w:vAlign w:val="center"/>
          </w:tcPr>
          <w:p>
            <w:pPr>
              <w:spacing w:after="20"/>
            </w:pPr>
            <w:r/>
            <w:r>
              <w:rPr>
                <w:rFonts w:ascii="Aptos" w:hAnsi="Aptos"/>
                <w:b w:val="0"/>
                <w:sz w:val="15"/>
              </w:rPr>
              <w:t>FR-13</w:t>
            </w:r>
          </w:p>
        </w:tc>
        <w:tc>
          <w:tcPr>
            <w:tcW w:type="dxa" w:w="4320"/>
            <w:vAlign w:val="center"/>
          </w:tcPr>
          <w:p>
            <w:pPr>
              <w:spacing w:after="20"/>
            </w:pPr>
            <w:r/>
            <w:r>
              <w:rPr>
                <w:rFonts w:ascii="Aptos" w:hAnsi="Aptos"/>
                <w:b w:val="0"/>
                <w:sz w:val="15"/>
              </w:rPr>
              <w:t>Store business synonyms, metric definitions, and successful query examples</w:t>
            </w:r>
          </w:p>
        </w:tc>
        <w:tc>
          <w:tcPr>
            <w:tcW w:type="dxa" w:w="1008"/>
            <w:vAlign w:val="center"/>
          </w:tcPr>
          <w:p>
            <w:pPr>
              <w:spacing w:after="20"/>
            </w:pPr>
            <w:r/>
            <w:r>
              <w:rPr>
                <w:rFonts w:ascii="Aptos" w:hAnsi="Aptos"/>
                <w:b w:val="0"/>
                <w:sz w:val="15"/>
              </w:rPr>
              <w:t>P1</w:t>
            </w:r>
          </w:p>
        </w:tc>
        <w:tc>
          <w:tcPr>
            <w:tcW w:type="dxa" w:w="4320"/>
            <w:vAlign w:val="center"/>
          </w:tcPr>
          <w:p>
            <w:pPr>
              <w:spacing w:after="20"/>
            </w:pPr>
            <w:r/>
            <w:r>
              <w:rPr>
                <w:rFonts w:ascii="Aptos" w:hAnsi="Aptos"/>
                <w:b w:val="0"/>
                <w:sz w:val="15"/>
              </w:rPr>
              <w:t>Controlled semantic-context workflow</w:t>
            </w:r>
          </w:p>
        </w:tc>
      </w:tr>
      <w:tr>
        <w:trPr>
          <w:cantSplit/>
        </w:trPr>
        <w:tc>
          <w:tcPr>
            <w:tcW w:type="dxa" w:w="936"/>
            <w:vAlign w:val="center"/>
            <w:shd w:fill="F3F5F8"/>
          </w:tcPr>
          <w:p>
            <w:pPr>
              <w:spacing w:after="20"/>
            </w:pPr>
            <w:r/>
            <w:r>
              <w:rPr>
                <w:rFonts w:ascii="Aptos" w:hAnsi="Aptos"/>
                <w:b w:val="0"/>
                <w:sz w:val="15"/>
              </w:rPr>
              <w:t>FR-14</w:t>
            </w:r>
          </w:p>
        </w:tc>
        <w:tc>
          <w:tcPr>
            <w:tcW w:type="dxa" w:w="4320"/>
            <w:vAlign w:val="center"/>
            <w:shd w:fill="F3F5F8"/>
          </w:tcPr>
          <w:p>
            <w:pPr>
              <w:spacing w:after="20"/>
            </w:pPr>
            <w:r/>
            <w:r>
              <w:rPr>
                <w:rFonts w:ascii="Aptos" w:hAnsi="Aptos"/>
                <w:b w:val="0"/>
                <w:sz w:val="15"/>
              </w:rPr>
              <w:t>Rerun historical queries and compare outputs</w:t>
            </w:r>
          </w:p>
        </w:tc>
        <w:tc>
          <w:tcPr>
            <w:tcW w:type="dxa" w:w="1008"/>
            <w:vAlign w:val="center"/>
            <w:shd w:fill="F3F5F8"/>
          </w:tcPr>
          <w:p>
            <w:pPr>
              <w:spacing w:after="20"/>
            </w:pPr>
            <w:r/>
            <w:r>
              <w:rPr>
                <w:rFonts w:ascii="Aptos" w:hAnsi="Aptos"/>
                <w:b w:val="0"/>
                <w:sz w:val="15"/>
              </w:rPr>
              <w:t>P1</w:t>
            </w:r>
          </w:p>
        </w:tc>
        <w:tc>
          <w:tcPr>
            <w:tcW w:type="dxa" w:w="4320"/>
            <w:vAlign w:val="center"/>
            <w:shd w:fill="F3F5F8"/>
          </w:tcPr>
          <w:p>
            <w:pPr>
              <w:spacing w:after="20"/>
            </w:pPr>
            <w:r/>
            <w:r>
              <w:rPr>
                <w:rFonts w:ascii="Aptos" w:hAnsi="Aptos"/>
                <w:b w:val="0"/>
                <w:sz w:val="15"/>
              </w:rPr>
              <w:t>Versioned query/run records</w:t>
            </w:r>
          </w:p>
        </w:tc>
      </w:tr>
    </w:tbl>
    <w:p>
      <w:pPr>
        <w:spacing w:after="20"/>
      </w:pPr>
    </w:p>
    <w:p>
      <w:pPr>
        <w:pStyle w:val="Heading1"/>
      </w:pPr>
      <w:r>
        <w:t>5. Required Screens and Workflows</w:t>
      </w:r>
    </w:p>
    <w:p>
      <w:pPr>
        <w:pStyle w:val="Heading2"/>
      </w:pPr>
      <w:r>
        <w:t>5.1 Analyst Workspace</w:t>
      </w:r>
    </w:p>
    <w:p>
      <w:pPr>
        <w:pStyle w:val="ListBullet"/>
        <w:spacing w:after="40"/>
      </w:pPr>
      <w:r>
        <w:t>Question input and suggested examples.</w:t>
      </w:r>
    </w:p>
    <w:p>
      <w:pPr>
        <w:pStyle w:val="ListBullet"/>
        <w:spacing w:after="40"/>
      </w:pPr>
      <w:r>
        <w:t>Active data source/schema indicator.</w:t>
      </w:r>
    </w:p>
    <w:p>
      <w:pPr>
        <w:pStyle w:val="ListBullet"/>
        <w:spacing w:after="40"/>
      </w:pPr>
      <w:r>
        <w:t>Progress state for schema lookup, generation, validation, and execution.</w:t>
      </w:r>
    </w:p>
    <w:p>
      <w:pPr>
        <w:pStyle w:val="ListBullet"/>
        <w:spacing w:after="40"/>
      </w:pPr>
      <w:r>
        <w:t>Answer summary, result table, chart, and follow-up prompt.</w:t>
      </w:r>
    </w:p>
    <w:p>
      <w:pPr>
        <w:pStyle w:val="ListBullet"/>
        <w:spacing w:after="40"/>
      </w:pPr>
      <w:r>
        <w:t>Expandable SQL, assumptions, filters, execution duration, and status.</w:t>
      </w:r>
    </w:p>
    <w:p>
      <w:pPr>
        <w:pStyle w:val="ListBullet"/>
        <w:spacing w:after="40"/>
      </w:pPr>
      <w:r>
        <w:t>Honest empty/error/truncation states.</w:t>
      </w:r>
    </w:p>
    <w:p>
      <w:pPr>
        <w:ind w:left="288"/>
      </w:pPr>
      <w:r>
        <w:rPr>
          <w:b/>
          <w:color w:val="E06B32"/>
        </w:rPr>
        <w:t xml:space="preserve">Acceptance: </w:t>
      </w:r>
      <w:r>
        <w:t>A user asks for monthly order counts. The UI must show real rows and a chart derived from those rows, not sample placeholders.</w:t>
      </w:r>
    </w:p>
    <w:p>
      <w:pPr>
        <w:pStyle w:val="Heading2"/>
      </w:pPr>
      <w:r>
        <w:t>5.2 Database Connections</w:t>
      </w:r>
    </w:p>
    <w:p>
      <w:pPr>
        <w:pStyle w:val="ListBullet"/>
        <w:spacing w:after="40"/>
      </w:pPr>
      <w:r>
        <w:t>Connection name/type, host, port, database, permitted schema.</w:t>
      </w:r>
    </w:p>
    <w:p>
      <w:pPr>
        <w:pStyle w:val="ListBullet"/>
        <w:spacing w:after="40"/>
      </w:pPr>
      <w:r>
        <w:t>Secure credential input and connection-test action.</w:t>
      </w:r>
    </w:p>
    <w:p>
      <w:pPr>
        <w:pStyle w:val="ListBullet"/>
        <w:spacing w:after="40"/>
      </w:pPr>
      <w:r>
        <w:t>Status, last checked timestamp, and safe error details.</w:t>
      </w:r>
    </w:p>
    <w:p>
      <w:pPr>
        <w:pStyle w:val="ListBullet"/>
        <w:spacing w:after="40"/>
      </w:pPr>
      <w:r>
        <w:t>Credential masking and no secrets in browser logs or audit entries.</w:t>
      </w:r>
    </w:p>
    <w:p>
      <w:pPr>
        <w:ind w:left="288"/>
      </w:pPr>
      <w:r>
        <w:rPr>
          <w:b/>
          <w:color w:val="E06B32"/>
        </w:rPr>
        <w:t xml:space="preserve">Acceptance: </w:t>
      </w:r>
      <w:r>
        <w:t>An administrator can test connectivity and see whether failure is network, authentication, or permission related.</w:t>
      </w:r>
    </w:p>
    <w:p>
      <w:pPr>
        <w:pStyle w:val="Heading2"/>
      </w:pPr>
      <w:r>
        <w:t>5.3 Schema Explorer / Catalog</w:t>
      </w:r>
    </w:p>
    <w:p>
      <w:pPr>
        <w:pStyle w:val="ListBullet"/>
        <w:spacing w:after="40"/>
      </w:pPr>
      <w:r>
        <w:t>Schema/table tree, columns, types, keys, relationships.</w:t>
      </w:r>
    </w:p>
    <w:p>
      <w:pPr>
        <w:pStyle w:val="ListBullet"/>
        <w:spacing w:after="40"/>
      </w:pPr>
      <w:r>
        <w:t>Search, descriptions, and optional safe data preview.</w:t>
      </w:r>
    </w:p>
    <w:p>
      <w:pPr>
        <w:pStyle w:val="ListBullet"/>
        <w:spacing w:after="40"/>
      </w:pPr>
      <w:r>
        <w:t>Relationship details and schema refresh.</w:t>
      </w:r>
    </w:p>
    <w:p>
      <w:pPr>
        <w:pStyle w:val="ListBullet"/>
        <w:spacing w:after="40"/>
      </w:pPr>
      <w:r>
        <w:t>Business synonyms and annotations as a future enhancement.</w:t>
      </w:r>
    </w:p>
    <w:p>
      <w:pPr>
        <w:ind w:left="288"/>
      </w:pPr>
      <w:r>
        <w:rPr>
          <w:b/>
          <w:color w:val="E06B32"/>
        </w:rPr>
        <w:t xml:space="preserve">Acceptance: </w:t>
      </w:r>
      <w:r>
        <w:t>The displayed metadata is fetched from the selected database and reflects the active permissions.</w:t>
      </w:r>
    </w:p>
    <w:p>
      <w:pPr>
        <w:pStyle w:val="Heading2"/>
      </w:pPr>
      <w:r>
        <w:t>5.4 SQL Inspector</w:t>
      </w:r>
    </w:p>
    <w:p>
      <w:pPr>
        <w:pStyle w:val="ListBullet"/>
        <w:spacing w:after="40"/>
      </w:pPr>
      <w:r>
        <w:t>Generated SQL and clear validation outcome.</w:t>
      </w:r>
    </w:p>
    <w:p>
      <w:pPr>
        <w:pStyle w:val="ListBullet"/>
        <w:spacing w:after="40"/>
      </w:pPr>
      <w:r>
        <w:t>Execution duration, returned-row count, and query status.</w:t>
      </w:r>
    </w:p>
    <w:p>
      <w:pPr>
        <w:pStyle w:val="ListBullet"/>
        <w:spacing w:after="40"/>
      </w:pPr>
      <w:r>
        <w:t>Readable rejection reason and copy action.</w:t>
      </w:r>
    </w:p>
    <w:p>
      <w:pPr>
        <w:pStyle w:val="ListBullet"/>
        <w:spacing w:after="40"/>
      </w:pPr>
      <w:r>
        <w:t>Separation of generated SQL from validated/executed SQL.</w:t>
      </w:r>
    </w:p>
    <w:p>
      <w:pPr>
        <w:ind w:left="288"/>
      </w:pPr>
      <w:r>
        <w:rPr>
          <w:b/>
          <w:color w:val="E06B32"/>
        </w:rPr>
        <w:t xml:space="preserve">Acceptance: </w:t>
      </w:r>
      <w:r>
        <w:t>A blocked query cannot be run via a hidden frontend route or alternate API path.</w:t>
      </w:r>
    </w:p>
    <w:p>
      <w:pPr>
        <w:pStyle w:val="Heading2"/>
      </w:pPr>
      <w:r>
        <w:t>5.5 Results and Visualization</w:t>
      </w:r>
    </w:p>
    <w:p>
      <w:pPr>
        <w:pStyle w:val="ListBullet"/>
        <w:spacing w:after="40"/>
      </w:pPr>
      <w:r>
        <w:t>Actual returned data, column labels, sorting/filtering where supported.</w:t>
      </w:r>
    </w:p>
    <w:p>
      <w:pPr>
        <w:pStyle w:val="ListBullet"/>
        <w:spacing w:after="40"/>
      </w:pPr>
      <w:r>
        <w:t>Chart type selected according to result shape.</w:t>
      </w:r>
    </w:p>
    <w:p>
      <w:pPr>
        <w:pStyle w:val="ListBullet"/>
        <w:spacing w:after="40"/>
      </w:pPr>
      <w:r>
        <w:t>Export control only when export is implemented.</w:t>
      </w:r>
    </w:p>
    <w:p>
      <w:pPr>
        <w:pStyle w:val="ListBullet"/>
        <w:spacing w:after="40"/>
      </w:pPr>
      <w:r>
        <w:t>Disclosure of row limits and data truncation.</w:t>
      </w:r>
    </w:p>
    <w:p>
      <w:pPr>
        <w:ind w:left="288"/>
      </w:pPr>
      <w:r>
        <w:rPr>
          <w:b/>
          <w:color w:val="E06B32"/>
        </w:rPr>
        <w:t xml:space="preserve">Acceptance: </w:t>
      </w:r>
      <w:r>
        <w:t>Charts and narrative values reconcile with the underlying query result.</w:t>
      </w:r>
    </w:p>
    <w:p>
      <w:pPr>
        <w:pStyle w:val="Heading2"/>
      </w:pPr>
      <w:r>
        <w:t>5.6 Query History</w:t>
      </w:r>
    </w:p>
    <w:p>
      <w:pPr>
        <w:pStyle w:val="ListBullet"/>
        <w:spacing w:after="40"/>
      </w:pPr>
      <w:r>
        <w:t>Question, timestamp, source, status, duration, and summary.</w:t>
      </w:r>
    </w:p>
    <w:p>
      <w:pPr>
        <w:pStyle w:val="ListBullet"/>
        <w:spacing w:after="40"/>
      </w:pPr>
      <w:r>
        <w:t>Open details and rerun controls.</w:t>
      </w:r>
    </w:p>
    <w:p>
      <w:pPr>
        <w:pStyle w:val="ListBullet"/>
        <w:spacing w:after="40"/>
      </w:pPr>
      <w:r>
        <w:t>Authorization checks so users cannot see others' data by changing IDs.</w:t>
      </w:r>
    </w:p>
    <w:p>
      <w:pPr>
        <w:ind w:left="288"/>
      </w:pPr>
      <w:r>
        <w:rPr>
          <w:b/>
          <w:color w:val="E06B32"/>
        </w:rPr>
        <w:t xml:space="preserve">Acceptance: </w:t>
      </w:r>
      <w:r>
        <w:t>History is tied to the authenticated actor or explicitly defined workspace access.</w:t>
      </w:r>
    </w:p>
    <w:p>
      <w:pPr>
        <w:pStyle w:val="Heading2"/>
      </w:pPr>
      <w:r>
        <w:t>5.7 Benchmark and Evaluation</w:t>
      </w:r>
    </w:p>
    <w:p>
      <w:pPr>
        <w:pStyle w:val="ListBullet"/>
        <w:spacing w:after="40"/>
      </w:pPr>
      <w:r>
        <w:t>Run selector, timestamp, commit/model/config identifiers.</w:t>
      </w:r>
    </w:p>
    <w:p>
      <w:pPr>
        <w:pStyle w:val="ListBullet"/>
        <w:spacing w:after="40"/>
      </w:pPr>
      <w:r>
        <w:t>Executed, passed, failed, skipped, errored counts.</w:t>
      </w:r>
    </w:p>
    <w:p>
      <w:pPr>
        <w:pStyle w:val="ListBullet"/>
        <w:spacing w:after="40"/>
      </w:pPr>
      <w:r>
        <w:t>Semantic correctness, SQL execution, safety, clarification, and latency metrics.</w:t>
      </w:r>
    </w:p>
    <w:p>
      <w:pPr>
        <w:pStyle w:val="ListBullet"/>
        <w:spacing w:after="40"/>
      </w:pPr>
      <w:r>
        <w:t>Per-case expected result, actual result, SQL, failure class, and logs.</w:t>
      </w:r>
    </w:p>
    <w:p>
      <w:pPr>
        <w:pStyle w:val="ListBullet"/>
        <w:spacing w:after="40"/>
      </w:pPr>
      <w:r>
        <w:t>Empty state when no evaluation has run.</w:t>
      </w:r>
    </w:p>
    <w:p>
      <w:pPr>
        <w:ind w:left="288"/>
      </w:pPr>
      <w:r>
        <w:rPr>
          <w:b/>
          <w:color w:val="E06B32"/>
        </w:rPr>
        <w:t xml:space="preserve">Acceptance: </w:t>
      </w:r>
      <w:r>
        <w:t>Zero evaluated cases must display “No benchmark results available”; it must not display a fabricated accuracy or latency.</w:t>
      </w:r>
    </w:p>
    <w:p>
      <w:pPr>
        <w:pStyle w:val="Heading2"/>
      </w:pPr>
      <w:r>
        <w:t>5.8 Audit / Activity</w:t>
      </w:r>
    </w:p>
    <w:p>
      <w:pPr>
        <w:pStyle w:val="ListBullet"/>
        <w:spacing w:after="40"/>
      </w:pPr>
      <w:r>
        <w:t>Request ID, actor, time, source, validation result, status, duration, row count.</w:t>
      </w:r>
    </w:p>
    <w:p>
      <w:pPr>
        <w:pStyle w:val="ListBullet"/>
        <w:spacing w:after="40"/>
      </w:pPr>
      <w:r>
        <w:t>Policy rejection categories and model/config version.</w:t>
      </w:r>
    </w:p>
    <w:p>
      <w:pPr>
        <w:pStyle w:val="ListBullet"/>
        <w:spacing w:after="40"/>
      </w:pPr>
      <w:r>
        <w:t>Sensitive values and secrets excluded or redacted.</w:t>
      </w:r>
    </w:p>
    <w:p>
      <w:pPr>
        <w:ind w:left="288"/>
      </w:pPr>
      <w:r>
        <w:rPr>
          <w:b/>
          <w:color w:val="E06B32"/>
        </w:rPr>
        <w:t xml:space="preserve">Acceptance: </w:t>
      </w:r>
      <w:r>
        <w:t>A test run can be traced from user request to validation and execution without exposing sensitive data.</w:t>
      </w:r>
    </w:p>
    <w:p>
      <w:pPr>
        <w:pStyle w:val="Heading2"/>
      </w:pPr>
      <w:r>
        <w:t>5.9 Settings and System Health</w:t>
      </w:r>
    </w:p>
    <w:p>
      <w:pPr>
        <w:pStyle w:val="ListBullet"/>
        <w:spacing w:after="40"/>
      </w:pPr>
      <w:r>
        <w:t>Model and database status, backend health, version information.</w:t>
      </w:r>
    </w:p>
    <w:p>
      <w:pPr>
        <w:pStyle w:val="ListBullet"/>
        <w:spacing w:after="40"/>
      </w:pPr>
      <w:r>
        <w:t>Timeout, row limit, and approved security settings.</w:t>
      </w:r>
    </w:p>
    <w:p>
      <w:pPr>
        <w:pStyle w:val="ListBullet"/>
        <w:spacing w:after="40"/>
      </w:pPr>
      <w:r>
        <w:t>Admin-only access to security-sensitive configuration.</w:t>
      </w:r>
    </w:p>
    <w:p>
      <w:pPr>
        <w:ind w:left="288"/>
      </w:pPr>
      <w:r>
        <w:rPr>
          <w:b/>
          <w:color w:val="E06B32"/>
        </w:rPr>
        <w:t xml:space="preserve">Acceptance: </w:t>
      </w:r>
      <w:r>
        <w:t>Unavailable dependencies are shown honestly and do not produce success-looking answers.</w:t>
      </w:r>
    </w:p>
    <w:p>
      <w:pPr>
        <w:pStyle w:val="Heading2"/>
      </w:pPr>
      <w:r>
        <w:t>5.10 End-to-end workflow</w:t>
      </w:r>
    </w:p>
    <w:p>
      <w:pPr>
        <w:pStyle w:val="ListNumber"/>
        <w:spacing w:after="40"/>
      </w:pPr>
      <w:r>
        <w:t>Connect: authorized user selects a validated database connection.</w:t>
      </w:r>
    </w:p>
    <w:p>
      <w:pPr>
        <w:pStyle w:val="ListNumber"/>
        <w:spacing w:after="40"/>
      </w:pPr>
      <w:r>
        <w:t>Discover: backend fetches permitted schema metadata.</w:t>
      </w:r>
    </w:p>
    <w:p>
      <w:pPr>
        <w:pStyle w:val="ListNumber"/>
        <w:spacing w:after="40"/>
      </w:pPr>
      <w:r>
        <w:t>Interpret: agent identifies metric, filters, time window, entities, and required joins.</w:t>
      </w:r>
    </w:p>
    <w:p>
      <w:pPr>
        <w:pStyle w:val="ListNumber"/>
        <w:spacing w:after="40"/>
      </w:pPr>
      <w:r>
        <w:t>Clarify: if a missing definition changes the answer materially, ask the user.</w:t>
      </w:r>
    </w:p>
    <w:p>
      <w:pPr>
        <w:pStyle w:val="ListNumber"/>
        <w:spacing w:after="40"/>
      </w:pPr>
      <w:r>
        <w:t>Generate: model proposes SQL grounded in available schema context.</w:t>
      </w:r>
    </w:p>
    <w:p>
      <w:pPr>
        <w:pStyle w:val="ListNumber"/>
        <w:spacing w:after="40"/>
      </w:pPr>
      <w:r>
        <w:t>Validate: policy checks statement type, objects, functions, and resource constraints.</w:t>
      </w:r>
    </w:p>
    <w:p>
      <w:pPr>
        <w:pStyle w:val="ListNumber"/>
        <w:spacing w:after="40"/>
      </w:pPr>
      <w:r>
        <w:t>Execute: restricted read-only role runs the query within limits.</w:t>
      </w:r>
    </w:p>
    <w:p>
      <w:pPr>
        <w:pStyle w:val="ListNumber"/>
        <w:spacing w:after="40"/>
      </w:pPr>
      <w:r>
        <w:t>Verify: validate result shape and reconcile narrative values with returned rows.</w:t>
      </w:r>
    </w:p>
    <w:p>
      <w:pPr>
        <w:pStyle w:val="ListNumber"/>
        <w:spacing w:after="40"/>
      </w:pPr>
      <w:r>
        <w:t>Present: show SQL, evidence, results, visualizations, assumptions, and caveats.</w:t>
      </w:r>
    </w:p>
    <w:p>
      <w:pPr>
        <w:pStyle w:val="ListNumber"/>
        <w:spacing w:after="40"/>
      </w:pPr>
      <w:r>
        <w:t>Record: persist execution metadata and include the case in evaluation if applicable.</w:t>
      </w:r>
    </w:p>
    <w:p>
      <w:pPr>
        <w:pStyle w:val="Heading1"/>
      </w:pPr>
      <w:r>
        <w:t>6. Proposed Architecture and Security Model</w:t>
      </w:r>
    </w:p>
    <w:p>
      <w:r>
        <w:t>Reported current stack (requires repository verification): React/Vite frontend, FastAPI backend, Ollama with Qwen2.5-Coder 7B, PostgreSQL, and SQLGlot AST inspection. Reported development ports: frontend 5173, backend 8001, Ollama 11434, PostgreSQL 5433. These values describe reported local configuration, not verified public production deployment.</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656"/>
            <w:vAlign w:val="center"/>
            <w:shd w:fill="202A44"/>
          </w:tcPr>
          <w:p>
            <w:pPr>
              <w:spacing w:after="20"/>
            </w:pPr>
            <w:r/>
            <w:r>
              <w:rPr>
                <w:rFonts w:ascii="Aptos" w:hAnsi="Aptos"/>
                <w:b/>
                <w:color w:val="FFFFFF"/>
                <w:sz w:val="15"/>
              </w:rPr>
              <w:t>Layer</w:t>
            </w:r>
          </w:p>
        </w:tc>
        <w:tc>
          <w:tcPr>
            <w:tcW w:type="dxa" w:w="2448"/>
            <w:vAlign w:val="center"/>
            <w:shd w:fill="202A44"/>
          </w:tcPr>
          <w:p>
            <w:pPr>
              <w:spacing w:after="20"/>
            </w:pPr>
            <w:r/>
            <w:r>
              <w:rPr>
                <w:rFonts w:ascii="Aptos" w:hAnsi="Aptos"/>
                <w:b/>
                <w:color w:val="FFFFFF"/>
                <w:sz w:val="15"/>
              </w:rPr>
              <w:t>Component</w:t>
            </w:r>
          </w:p>
        </w:tc>
        <w:tc>
          <w:tcPr>
            <w:tcW w:type="dxa" w:w="6624"/>
            <w:vAlign w:val="center"/>
            <w:shd w:fill="202A44"/>
          </w:tcPr>
          <w:p>
            <w:pPr>
              <w:spacing w:after="20"/>
            </w:pPr>
            <w:r/>
            <w:r>
              <w:rPr>
                <w:rFonts w:ascii="Aptos" w:hAnsi="Aptos"/>
                <w:b/>
                <w:color w:val="FFFFFF"/>
                <w:sz w:val="15"/>
              </w:rPr>
              <w:t>Responsibility / control</w:t>
            </w:r>
          </w:p>
        </w:tc>
      </w:tr>
      <w:tr>
        <w:trPr>
          <w:cantSplit/>
        </w:trPr>
        <w:tc>
          <w:tcPr>
            <w:tcW w:type="dxa" w:w="1656"/>
            <w:vAlign w:val="center"/>
          </w:tcPr>
          <w:p>
            <w:pPr>
              <w:spacing w:after="20"/>
            </w:pPr>
            <w:r/>
            <w:r>
              <w:rPr>
                <w:rFonts w:ascii="Aptos" w:hAnsi="Aptos"/>
                <w:b w:val="0"/>
                <w:sz w:val="15"/>
              </w:rPr>
              <w:t>Frontend</w:t>
            </w:r>
          </w:p>
        </w:tc>
        <w:tc>
          <w:tcPr>
            <w:tcW w:type="dxa" w:w="2448"/>
            <w:vAlign w:val="center"/>
          </w:tcPr>
          <w:p>
            <w:pPr>
              <w:spacing w:after="20"/>
            </w:pPr>
            <w:r/>
            <w:r>
              <w:rPr>
                <w:rFonts w:ascii="Aptos" w:hAnsi="Aptos"/>
                <w:b w:val="0"/>
                <w:sz w:val="15"/>
              </w:rPr>
              <w:t>React + Vite</w:t>
            </w:r>
          </w:p>
        </w:tc>
        <w:tc>
          <w:tcPr>
            <w:tcW w:type="dxa" w:w="6624"/>
            <w:vAlign w:val="center"/>
          </w:tcPr>
          <w:p>
            <w:pPr>
              <w:spacing w:after="20"/>
            </w:pPr>
            <w:r/>
            <w:r>
              <w:rPr>
                <w:rFonts w:ascii="Aptos" w:hAnsi="Aptos"/>
                <w:b w:val="0"/>
                <w:sz w:val="15"/>
              </w:rPr>
              <w:t>Input, result rendering, schema explorer, SQL inspector, benchmark views</w:t>
            </w:r>
          </w:p>
        </w:tc>
      </w:tr>
      <w:tr>
        <w:trPr>
          <w:cantSplit/>
        </w:trPr>
        <w:tc>
          <w:tcPr>
            <w:tcW w:type="dxa" w:w="1656"/>
            <w:vAlign w:val="center"/>
            <w:shd w:fill="F3F5F8"/>
          </w:tcPr>
          <w:p>
            <w:pPr>
              <w:spacing w:after="20"/>
            </w:pPr>
            <w:r/>
            <w:r>
              <w:rPr>
                <w:rFonts w:ascii="Aptos" w:hAnsi="Aptos"/>
                <w:b w:val="0"/>
                <w:sz w:val="15"/>
              </w:rPr>
              <w:t>API/orchestration</w:t>
            </w:r>
          </w:p>
        </w:tc>
        <w:tc>
          <w:tcPr>
            <w:tcW w:type="dxa" w:w="2448"/>
            <w:vAlign w:val="center"/>
            <w:shd w:fill="F3F5F8"/>
          </w:tcPr>
          <w:p>
            <w:pPr>
              <w:spacing w:after="20"/>
            </w:pPr>
            <w:r/>
            <w:r>
              <w:rPr>
                <w:rFonts w:ascii="Aptos" w:hAnsi="Aptos"/>
                <w:b w:val="0"/>
                <w:sz w:val="15"/>
              </w:rPr>
              <w:t>FastAPI</w:t>
            </w:r>
          </w:p>
        </w:tc>
        <w:tc>
          <w:tcPr>
            <w:tcW w:type="dxa" w:w="6624"/>
            <w:vAlign w:val="center"/>
            <w:shd w:fill="F3F5F8"/>
          </w:tcPr>
          <w:p>
            <w:pPr>
              <w:spacing w:after="20"/>
            </w:pPr>
            <w:r/>
            <w:r>
              <w:rPr>
                <w:rFonts w:ascii="Aptos" w:hAnsi="Aptos"/>
                <w:b w:val="0"/>
                <w:sz w:val="15"/>
              </w:rPr>
              <w:t>Authentication boundary, request IDs, orchestration, error taxonomy</w:t>
            </w:r>
          </w:p>
        </w:tc>
      </w:tr>
      <w:tr>
        <w:trPr>
          <w:cantSplit/>
        </w:trPr>
        <w:tc>
          <w:tcPr>
            <w:tcW w:type="dxa" w:w="1656"/>
            <w:vAlign w:val="center"/>
          </w:tcPr>
          <w:p>
            <w:pPr>
              <w:spacing w:after="20"/>
            </w:pPr>
            <w:r/>
            <w:r>
              <w:rPr>
                <w:rFonts w:ascii="Aptos" w:hAnsi="Aptos"/>
                <w:b w:val="0"/>
                <w:sz w:val="15"/>
              </w:rPr>
              <w:t>Schema context</w:t>
            </w:r>
          </w:p>
        </w:tc>
        <w:tc>
          <w:tcPr>
            <w:tcW w:type="dxa" w:w="2448"/>
            <w:vAlign w:val="center"/>
          </w:tcPr>
          <w:p>
            <w:pPr>
              <w:spacing w:after="20"/>
            </w:pPr>
            <w:r/>
            <w:r>
              <w:rPr>
                <w:rFonts w:ascii="Aptos" w:hAnsi="Aptos"/>
                <w:b w:val="0"/>
                <w:sz w:val="15"/>
              </w:rPr>
              <w:t>Metadata discovery service</w:t>
            </w:r>
          </w:p>
        </w:tc>
        <w:tc>
          <w:tcPr>
            <w:tcW w:type="dxa" w:w="6624"/>
            <w:vAlign w:val="center"/>
          </w:tcPr>
          <w:p>
            <w:pPr>
              <w:spacing w:after="20"/>
            </w:pPr>
            <w:r/>
            <w:r>
              <w:rPr>
                <w:rFonts w:ascii="Aptos" w:hAnsi="Aptos"/>
                <w:b w:val="0"/>
                <w:sz w:val="15"/>
              </w:rPr>
              <w:t>Permitted catalogs, keys, relationships, descriptions, cache invalidation</w:t>
            </w:r>
          </w:p>
        </w:tc>
      </w:tr>
      <w:tr>
        <w:trPr>
          <w:cantSplit/>
        </w:trPr>
        <w:tc>
          <w:tcPr>
            <w:tcW w:type="dxa" w:w="1656"/>
            <w:vAlign w:val="center"/>
            <w:shd w:fill="F3F5F8"/>
          </w:tcPr>
          <w:p>
            <w:pPr>
              <w:spacing w:after="20"/>
            </w:pPr>
            <w:r/>
            <w:r>
              <w:rPr>
                <w:rFonts w:ascii="Aptos" w:hAnsi="Aptos"/>
                <w:b w:val="0"/>
                <w:sz w:val="15"/>
              </w:rPr>
              <w:t>LLM</w:t>
            </w:r>
          </w:p>
        </w:tc>
        <w:tc>
          <w:tcPr>
            <w:tcW w:type="dxa" w:w="2448"/>
            <w:vAlign w:val="center"/>
            <w:shd w:fill="F3F5F8"/>
          </w:tcPr>
          <w:p>
            <w:pPr>
              <w:spacing w:after="20"/>
            </w:pPr>
            <w:r/>
            <w:r>
              <w:rPr>
                <w:rFonts w:ascii="Aptos" w:hAnsi="Aptos"/>
                <w:b w:val="0"/>
                <w:sz w:val="15"/>
              </w:rPr>
              <w:t>Ollama / configured model</w:t>
            </w:r>
          </w:p>
        </w:tc>
        <w:tc>
          <w:tcPr>
            <w:tcW w:type="dxa" w:w="6624"/>
            <w:vAlign w:val="center"/>
            <w:shd w:fill="F3F5F8"/>
          </w:tcPr>
          <w:p>
            <w:pPr>
              <w:spacing w:after="20"/>
            </w:pPr>
            <w:r/>
            <w:r>
              <w:rPr>
                <w:rFonts w:ascii="Aptos" w:hAnsi="Aptos"/>
                <w:b w:val="0"/>
                <w:sz w:val="15"/>
              </w:rPr>
              <w:t>Interpret question and propose SQL; never treated as security authority</w:t>
            </w:r>
          </w:p>
        </w:tc>
      </w:tr>
      <w:tr>
        <w:trPr>
          <w:cantSplit/>
        </w:trPr>
        <w:tc>
          <w:tcPr>
            <w:tcW w:type="dxa" w:w="1656"/>
            <w:vAlign w:val="center"/>
          </w:tcPr>
          <w:p>
            <w:pPr>
              <w:spacing w:after="20"/>
            </w:pPr>
            <w:r/>
            <w:r>
              <w:rPr>
                <w:rFonts w:ascii="Aptos" w:hAnsi="Aptos"/>
                <w:b w:val="0"/>
                <w:sz w:val="15"/>
              </w:rPr>
              <w:t>Policy gate</w:t>
            </w:r>
          </w:p>
        </w:tc>
        <w:tc>
          <w:tcPr>
            <w:tcW w:type="dxa" w:w="2448"/>
            <w:vAlign w:val="center"/>
          </w:tcPr>
          <w:p>
            <w:pPr>
              <w:spacing w:after="20"/>
            </w:pPr>
            <w:r/>
            <w:r>
              <w:rPr>
                <w:rFonts w:ascii="Aptos" w:hAnsi="Aptos"/>
                <w:b w:val="0"/>
                <w:sz w:val="15"/>
              </w:rPr>
              <w:t>SQLGlot + explicit policy</w:t>
            </w:r>
          </w:p>
        </w:tc>
        <w:tc>
          <w:tcPr>
            <w:tcW w:type="dxa" w:w="6624"/>
            <w:vAlign w:val="center"/>
          </w:tcPr>
          <w:p>
            <w:pPr>
              <w:spacing w:after="20"/>
            </w:pPr>
            <w:r/>
            <w:r>
              <w:rPr>
                <w:rFonts w:ascii="Aptos" w:hAnsi="Aptos"/>
                <w:b w:val="0"/>
                <w:sz w:val="15"/>
              </w:rPr>
              <w:t>Parse SQL, allowlist statements/functions/objects, reject multi-statements as appropriate</w:t>
            </w:r>
          </w:p>
        </w:tc>
      </w:tr>
      <w:tr>
        <w:trPr>
          <w:cantSplit/>
        </w:trPr>
        <w:tc>
          <w:tcPr>
            <w:tcW w:type="dxa" w:w="1656"/>
            <w:vAlign w:val="center"/>
            <w:shd w:fill="F3F5F8"/>
          </w:tcPr>
          <w:p>
            <w:pPr>
              <w:spacing w:after="20"/>
            </w:pPr>
            <w:r/>
            <w:r>
              <w:rPr>
                <w:rFonts w:ascii="Aptos" w:hAnsi="Aptos"/>
                <w:b w:val="0"/>
                <w:sz w:val="15"/>
              </w:rPr>
              <w:t>Execution</w:t>
            </w:r>
          </w:p>
        </w:tc>
        <w:tc>
          <w:tcPr>
            <w:tcW w:type="dxa" w:w="2448"/>
            <w:vAlign w:val="center"/>
            <w:shd w:fill="F3F5F8"/>
          </w:tcPr>
          <w:p>
            <w:pPr>
              <w:spacing w:after="20"/>
            </w:pPr>
            <w:r/>
            <w:r>
              <w:rPr>
                <w:rFonts w:ascii="Aptos" w:hAnsi="Aptos"/>
                <w:b w:val="0"/>
                <w:sz w:val="15"/>
              </w:rPr>
              <w:t>PostgreSQL read-only role</w:t>
            </w:r>
          </w:p>
        </w:tc>
        <w:tc>
          <w:tcPr>
            <w:tcW w:type="dxa" w:w="6624"/>
            <w:vAlign w:val="center"/>
            <w:shd w:fill="F3F5F8"/>
          </w:tcPr>
          <w:p>
            <w:pPr>
              <w:spacing w:after="20"/>
            </w:pPr>
            <w:r/>
            <w:r>
              <w:rPr>
                <w:rFonts w:ascii="Aptos" w:hAnsi="Aptos"/>
                <w:b w:val="0"/>
                <w:sz w:val="15"/>
              </w:rPr>
              <w:t>Least privilege, statement timeout, row limits, safe transaction/session settings</w:t>
            </w:r>
          </w:p>
        </w:tc>
      </w:tr>
      <w:tr>
        <w:trPr>
          <w:cantSplit/>
        </w:trPr>
        <w:tc>
          <w:tcPr>
            <w:tcW w:type="dxa" w:w="1656"/>
            <w:vAlign w:val="center"/>
          </w:tcPr>
          <w:p>
            <w:pPr>
              <w:spacing w:after="20"/>
            </w:pPr>
            <w:r/>
            <w:r>
              <w:rPr>
                <w:rFonts w:ascii="Aptos" w:hAnsi="Aptos"/>
                <w:b w:val="0"/>
                <w:sz w:val="15"/>
              </w:rPr>
              <w:t>Evaluation</w:t>
            </w:r>
          </w:p>
        </w:tc>
        <w:tc>
          <w:tcPr>
            <w:tcW w:type="dxa" w:w="2448"/>
            <w:vAlign w:val="center"/>
          </w:tcPr>
          <w:p>
            <w:pPr>
              <w:spacing w:after="20"/>
            </w:pPr>
            <w:r/>
            <w:r>
              <w:rPr>
                <w:rFonts w:ascii="Aptos" w:hAnsi="Aptos"/>
                <w:b w:val="0"/>
                <w:sz w:val="15"/>
              </w:rPr>
              <w:t>Benchmark runner + persisted run records</w:t>
            </w:r>
          </w:p>
        </w:tc>
        <w:tc>
          <w:tcPr>
            <w:tcW w:type="dxa" w:w="6624"/>
            <w:vAlign w:val="center"/>
          </w:tcPr>
          <w:p>
            <w:pPr>
              <w:spacing w:after="20"/>
            </w:pPr>
            <w:r/>
            <w:r>
              <w:rPr>
                <w:rFonts w:ascii="Aptos" w:hAnsi="Aptos"/>
                <w:b w:val="0"/>
                <w:sz w:val="15"/>
              </w:rPr>
              <w:t>Case fixtures, expected outputs, semantic comparison, security cases, latency</w:t>
            </w:r>
          </w:p>
        </w:tc>
      </w:tr>
      <w:tr>
        <w:trPr>
          <w:cantSplit/>
        </w:trPr>
        <w:tc>
          <w:tcPr>
            <w:tcW w:type="dxa" w:w="1656"/>
            <w:vAlign w:val="center"/>
            <w:shd w:fill="F3F5F8"/>
          </w:tcPr>
          <w:p>
            <w:pPr>
              <w:spacing w:after="20"/>
            </w:pPr>
            <w:r/>
            <w:r>
              <w:rPr>
                <w:rFonts w:ascii="Aptos" w:hAnsi="Aptos"/>
                <w:b w:val="0"/>
                <w:sz w:val="15"/>
              </w:rPr>
              <w:t>Observability</w:t>
            </w:r>
          </w:p>
        </w:tc>
        <w:tc>
          <w:tcPr>
            <w:tcW w:type="dxa" w:w="2448"/>
            <w:vAlign w:val="center"/>
            <w:shd w:fill="F3F5F8"/>
          </w:tcPr>
          <w:p>
            <w:pPr>
              <w:spacing w:after="20"/>
            </w:pPr>
            <w:r/>
            <w:r>
              <w:rPr>
                <w:rFonts w:ascii="Aptos" w:hAnsi="Aptos"/>
                <w:b w:val="0"/>
                <w:sz w:val="15"/>
              </w:rPr>
              <w:t>Structured logs/audit</w:t>
            </w:r>
          </w:p>
        </w:tc>
        <w:tc>
          <w:tcPr>
            <w:tcW w:type="dxa" w:w="6624"/>
            <w:vAlign w:val="center"/>
            <w:shd w:fill="F3F5F8"/>
          </w:tcPr>
          <w:p>
            <w:pPr>
              <w:spacing w:after="20"/>
            </w:pPr>
            <w:r/>
            <w:r>
              <w:rPr>
                <w:rFonts w:ascii="Aptos" w:hAnsi="Aptos"/>
                <w:b w:val="0"/>
                <w:sz w:val="15"/>
              </w:rPr>
              <w:t>Correlation IDs, statuses, timing, policy outcomes; redact sensitive data</w:t>
            </w:r>
          </w:p>
        </w:tc>
      </w:tr>
    </w:tbl>
    <w:p>
      <w:pPr>
        <w:spacing w:after="20"/>
      </w:pPr>
    </w:p>
    <w:p>
      <w:pPr>
        <w:pStyle w:val="Heading2"/>
      </w:pPr>
      <w:r>
        <w:t>6.1 Security baseline</w:t>
      </w:r>
    </w:p>
    <w:p>
      <w:pPr>
        <w:pStyle w:val="ListBullet"/>
        <w:spacing w:after="40"/>
      </w:pPr>
      <w:r>
        <w:t>Use a database role that cannot write, alter, or drop objects; do not rely on prompt instructions.</w:t>
      </w:r>
    </w:p>
    <w:p>
      <w:pPr>
        <w:pStyle w:val="ListBullet"/>
        <w:spacing w:after="40"/>
      </w:pPr>
      <w:r>
        <w:t>Treat SQLGlot parsing as one layer, not the complete security boundary.</w:t>
      </w:r>
    </w:p>
    <w:p>
      <w:pPr>
        <w:pStyle w:val="ListBullet"/>
        <w:spacing w:after="40"/>
      </w:pPr>
      <w:r>
        <w:t>Enforce an explicit statement allowlist, object/schema allowlists, safe function policy, parameterization where applicable, and database-level grants.</w:t>
      </w:r>
    </w:p>
    <w:p>
      <w:pPr>
        <w:pStyle w:val="ListBullet"/>
        <w:spacing w:after="40"/>
      </w:pPr>
      <w:r>
        <w:t>Apply statement timeouts, result limits, concurrency limits, and query cancellation.</w:t>
      </w:r>
    </w:p>
    <w:p>
      <w:pPr>
        <w:pStyle w:val="ListBullet"/>
        <w:spacing w:after="40"/>
      </w:pPr>
      <w:r>
        <w:t>Treat schema comments and database text as untrusted content; they may contain prompt injection.</w:t>
      </w:r>
    </w:p>
    <w:p>
      <w:pPr>
        <w:pStyle w:val="ListBullet"/>
        <w:spacing w:after="40"/>
      </w:pPr>
      <w:r>
        <w:t>Keep credentials server-side, mask them in the UI, and redact secrets from logs.</w:t>
      </w:r>
    </w:p>
    <w:p>
      <w:pPr>
        <w:pStyle w:val="ListBullet"/>
        <w:spacing w:after="40"/>
      </w:pPr>
      <w:r>
        <w:t>Test alternate API paths, multi-statement payloads, prohibited functions, system objects, and access-control bypass attempts.</w:t>
      </w:r>
    </w:p>
    <w:p>
      <w:pPr>
        <w:pStyle w:val="ListBullet"/>
        <w:spacing w:after="40"/>
      </w:pPr>
      <w:r>
        <w:t>Never state “secure” based only on unit tests; publish the tested threat model and results.</w:t>
      </w:r>
    </w:p>
    <w:p>
      <w:pPr>
        <w:pStyle w:val="Heading1"/>
      </w:pPr>
      <w:r>
        <w:t>7. Non-Functional Requirements</w:t>
      </w:r>
    </w:p>
    <w:tbl>
      <w:tblPr>
        <w:tblStyle w:val="TableGrid"/>
        <w:tblW w:type="auto" w:w="0"/>
        <w:jc w:val="center"/>
        <w:tblLook w:firstColumn="1" w:firstRow="1" w:lastColumn="0" w:lastRow="0" w:noHBand="0" w:noVBand="1" w:val="04A0"/>
      </w:tblPr>
      <w:tblGrid>
        <w:gridCol w:w="4997"/>
        <w:gridCol w:w="4997"/>
      </w:tblGrid>
      <w:tr>
        <w:trPr>
          <w:cantSplit/>
        </w:trPr>
        <w:tc>
          <w:tcPr>
            <w:tcW w:type="dxa" w:w="1944"/>
            <w:vAlign w:val="center"/>
            <w:shd w:fill="202A44"/>
          </w:tcPr>
          <w:p>
            <w:pPr>
              <w:spacing w:after="20"/>
            </w:pPr>
            <w:r/>
            <w:r>
              <w:rPr>
                <w:rFonts w:ascii="Aptos" w:hAnsi="Aptos"/>
                <w:b/>
                <w:color w:val="FFFFFF"/>
                <w:sz w:val="16"/>
              </w:rPr>
              <w:t>Category</w:t>
            </w:r>
          </w:p>
        </w:tc>
        <w:tc>
          <w:tcPr>
            <w:tcW w:type="dxa" w:w="8784"/>
            <w:vAlign w:val="center"/>
            <w:shd w:fill="202A44"/>
          </w:tcPr>
          <w:p>
            <w:pPr>
              <w:spacing w:after="20"/>
            </w:pPr>
            <w:r/>
            <w:r>
              <w:rPr>
                <w:rFonts w:ascii="Aptos" w:hAnsi="Aptos"/>
                <w:b/>
                <w:color w:val="FFFFFF"/>
                <w:sz w:val="16"/>
              </w:rPr>
              <w:t>Requirement / initial target</w:t>
            </w:r>
          </w:p>
        </w:tc>
      </w:tr>
      <w:tr>
        <w:trPr>
          <w:cantSplit/>
        </w:trPr>
        <w:tc>
          <w:tcPr>
            <w:tcW w:type="dxa" w:w="1944"/>
            <w:vAlign w:val="center"/>
          </w:tcPr>
          <w:p>
            <w:pPr>
              <w:spacing w:after="20"/>
            </w:pPr>
            <w:r/>
            <w:r>
              <w:rPr>
                <w:rFonts w:ascii="Aptos" w:hAnsi="Aptos"/>
                <w:b w:val="0"/>
                <w:sz w:val="16"/>
              </w:rPr>
              <w:t>Security</w:t>
            </w:r>
          </w:p>
        </w:tc>
        <w:tc>
          <w:tcPr>
            <w:tcW w:type="dxa" w:w="8784"/>
            <w:vAlign w:val="center"/>
          </w:tcPr>
          <w:p>
            <w:pPr>
              <w:spacing w:after="20"/>
            </w:pPr>
            <w:r/>
            <w:r>
              <w:rPr>
                <w:rFonts w:ascii="Aptos" w:hAnsi="Aptos"/>
                <w:b w:val="0"/>
                <w:sz w:val="16"/>
              </w:rPr>
              <w:t>Zero unsafe executions in the adversarial test suite; least privilege and backend enforcement.</w:t>
            </w:r>
          </w:p>
        </w:tc>
      </w:tr>
      <w:tr>
        <w:trPr>
          <w:cantSplit/>
        </w:trPr>
        <w:tc>
          <w:tcPr>
            <w:tcW w:type="dxa" w:w="1944"/>
            <w:vAlign w:val="center"/>
            <w:shd w:fill="F3F5F8"/>
          </w:tcPr>
          <w:p>
            <w:pPr>
              <w:spacing w:after="20"/>
            </w:pPr>
            <w:r/>
            <w:r>
              <w:rPr>
                <w:rFonts w:ascii="Aptos" w:hAnsi="Aptos"/>
                <w:b w:val="0"/>
                <w:sz w:val="16"/>
              </w:rPr>
              <w:t>Performance</w:t>
            </w:r>
          </w:p>
        </w:tc>
        <w:tc>
          <w:tcPr>
            <w:tcW w:type="dxa" w:w="8784"/>
            <w:vAlign w:val="center"/>
            <w:shd w:fill="F3F5F8"/>
          </w:tcPr>
          <w:p>
            <w:pPr>
              <w:spacing w:after="20"/>
            </w:pPr>
            <w:r/>
            <w:r>
              <w:rPr>
                <w:rFonts w:ascii="Aptos" w:hAnsi="Aptos"/>
                <w:b w:val="0"/>
                <w:sz w:val="16"/>
              </w:rPr>
              <w:t>Report end-to-end median and p95, plus separate model and DB timings; do not claim speed from one run.</w:t>
            </w:r>
          </w:p>
        </w:tc>
      </w:tr>
      <w:tr>
        <w:trPr>
          <w:cantSplit/>
        </w:trPr>
        <w:tc>
          <w:tcPr>
            <w:tcW w:type="dxa" w:w="1944"/>
            <w:vAlign w:val="center"/>
          </w:tcPr>
          <w:p>
            <w:pPr>
              <w:spacing w:after="20"/>
            </w:pPr>
            <w:r/>
            <w:r>
              <w:rPr>
                <w:rFonts w:ascii="Aptos" w:hAnsi="Aptos"/>
                <w:b w:val="0"/>
                <w:sz w:val="16"/>
              </w:rPr>
              <w:t>Reliability</w:t>
            </w:r>
          </w:p>
        </w:tc>
        <w:tc>
          <w:tcPr>
            <w:tcW w:type="dxa" w:w="8784"/>
            <w:vAlign w:val="center"/>
          </w:tcPr>
          <w:p>
            <w:pPr>
              <w:spacing w:after="20"/>
            </w:pPr>
            <w:r/>
            <w:r>
              <w:rPr>
                <w:rFonts w:ascii="Aptos" w:hAnsi="Aptos"/>
                <w:b w:val="0"/>
                <w:sz w:val="16"/>
              </w:rPr>
              <w:t>Graceful failures for unavailable model, DB, schema discovery, and chart renderer.</w:t>
            </w:r>
          </w:p>
        </w:tc>
      </w:tr>
      <w:tr>
        <w:trPr>
          <w:cantSplit/>
        </w:trPr>
        <w:tc>
          <w:tcPr>
            <w:tcW w:type="dxa" w:w="1944"/>
            <w:vAlign w:val="center"/>
            <w:shd w:fill="F3F5F8"/>
          </w:tcPr>
          <w:p>
            <w:pPr>
              <w:spacing w:after="20"/>
            </w:pPr>
            <w:r/>
            <w:r>
              <w:rPr>
                <w:rFonts w:ascii="Aptos" w:hAnsi="Aptos"/>
                <w:b w:val="0"/>
                <w:sz w:val="16"/>
              </w:rPr>
              <w:t>Accuracy</w:t>
            </w:r>
          </w:p>
        </w:tc>
        <w:tc>
          <w:tcPr>
            <w:tcW w:type="dxa" w:w="8784"/>
            <w:vAlign w:val="center"/>
            <w:shd w:fill="F3F5F8"/>
          </w:tcPr>
          <w:p>
            <w:pPr>
              <w:spacing w:after="20"/>
            </w:pPr>
            <w:r/>
            <w:r>
              <w:rPr>
                <w:rFonts w:ascii="Aptos" w:hAnsi="Aptos"/>
                <w:b w:val="0"/>
                <w:sz w:val="16"/>
              </w:rPr>
              <w:t>Measure semantic answer correctness independently from SQL syntax/execution success.</w:t>
            </w:r>
          </w:p>
        </w:tc>
      </w:tr>
      <w:tr>
        <w:trPr>
          <w:cantSplit/>
        </w:trPr>
        <w:tc>
          <w:tcPr>
            <w:tcW w:type="dxa" w:w="1944"/>
            <w:vAlign w:val="center"/>
          </w:tcPr>
          <w:p>
            <w:pPr>
              <w:spacing w:after="20"/>
            </w:pPr>
            <w:r/>
            <w:r>
              <w:rPr>
                <w:rFonts w:ascii="Aptos" w:hAnsi="Aptos"/>
                <w:b w:val="0"/>
                <w:sz w:val="16"/>
              </w:rPr>
              <w:t>Explainability</w:t>
            </w:r>
          </w:p>
        </w:tc>
        <w:tc>
          <w:tcPr>
            <w:tcW w:type="dxa" w:w="8784"/>
            <w:vAlign w:val="center"/>
          </w:tcPr>
          <w:p>
            <w:pPr>
              <w:spacing w:after="20"/>
            </w:pPr>
            <w:r/>
            <w:r>
              <w:rPr>
                <w:rFonts w:ascii="Aptos" w:hAnsi="Aptos"/>
                <w:b w:val="0"/>
                <w:sz w:val="16"/>
              </w:rPr>
              <w:t>Expose SQL, filters, metric definitions, assumptions, and provenance.</w:t>
            </w:r>
          </w:p>
        </w:tc>
      </w:tr>
      <w:tr>
        <w:trPr>
          <w:cantSplit/>
        </w:trPr>
        <w:tc>
          <w:tcPr>
            <w:tcW w:type="dxa" w:w="1944"/>
            <w:vAlign w:val="center"/>
            <w:shd w:fill="F3F5F8"/>
          </w:tcPr>
          <w:p>
            <w:pPr>
              <w:spacing w:after="20"/>
            </w:pPr>
            <w:r/>
            <w:r>
              <w:rPr>
                <w:rFonts w:ascii="Aptos" w:hAnsi="Aptos"/>
                <w:b w:val="0"/>
                <w:sz w:val="16"/>
              </w:rPr>
              <w:t>Usability</w:t>
            </w:r>
          </w:p>
        </w:tc>
        <w:tc>
          <w:tcPr>
            <w:tcW w:type="dxa" w:w="8784"/>
            <w:vAlign w:val="center"/>
            <w:shd w:fill="F3F5F8"/>
          </w:tcPr>
          <w:p>
            <w:pPr>
              <w:spacing w:after="20"/>
            </w:pPr>
            <w:r/>
            <w:r>
              <w:rPr>
                <w:rFonts w:ascii="Aptos" w:hAnsi="Aptos"/>
                <w:b w:val="0"/>
                <w:sz w:val="16"/>
              </w:rPr>
              <w:t>Non-technical user can complete supported tasks with clear feedback.</w:t>
            </w:r>
          </w:p>
        </w:tc>
      </w:tr>
      <w:tr>
        <w:trPr>
          <w:cantSplit/>
        </w:trPr>
        <w:tc>
          <w:tcPr>
            <w:tcW w:type="dxa" w:w="1944"/>
            <w:vAlign w:val="center"/>
          </w:tcPr>
          <w:p>
            <w:pPr>
              <w:spacing w:after="20"/>
            </w:pPr>
            <w:r/>
            <w:r>
              <w:rPr>
                <w:rFonts w:ascii="Aptos" w:hAnsi="Aptos"/>
                <w:b w:val="0"/>
                <w:sz w:val="16"/>
              </w:rPr>
              <w:t>Maintainability</w:t>
            </w:r>
          </w:p>
        </w:tc>
        <w:tc>
          <w:tcPr>
            <w:tcW w:type="dxa" w:w="8784"/>
            <w:vAlign w:val="center"/>
          </w:tcPr>
          <w:p>
            <w:pPr>
              <w:spacing w:after="20"/>
            </w:pPr>
            <w:r/>
            <w:r>
              <w:rPr>
                <w:rFonts w:ascii="Aptos" w:hAnsi="Aptos"/>
                <w:b w:val="0"/>
                <w:sz w:val="16"/>
              </w:rPr>
              <w:t>Separate schema, model, policy, execution, evaluation, and presentation layers.</w:t>
            </w:r>
          </w:p>
        </w:tc>
      </w:tr>
      <w:tr>
        <w:trPr>
          <w:cantSplit/>
        </w:trPr>
        <w:tc>
          <w:tcPr>
            <w:tcW w:type="dxa" w:w="1944"/>
            <w:vAlign w:val="center"/>
            <w:shd w:fill="F3F5F8"/>
          </w:tcPr>
          <w:p>
            <w:pPr>
              <w:spacing w:after="20"/>
            </w:pPr>
            <w:r/>
            <w:r>
              <w:rPr>
                <w:rFonts w:ascii="Aptos" w:hAnsi="Aptos"/>
                <w:b w:val="0"/>
                <w:sz w:val="16"/>
              </w:rPr>
              <w:t>Privacy</w:t>
            </w:r>
          </w:p>
        </w:tc>
        <w:tc>
          <w:tcPr>
            <w:tcW w:type="dxa" w:w="8784"/>
            <w:vAlign w:val="center"/>
            <w:shd w:fill="F3F5F8"/>
          </w:tcPr>
          <w:p>
            <w:pPr>
              <w:spacing w:after="20"/>
            </w:pPr>
            <w:r/>
            <w:r>
              <w:rPr>
                <w:rFonts w:ascii="Aptos" w:hAnsi="Aptos"/>
                <w:b w:val="0"/>
                <w:sz w:val="16"/>
              </w:rPr>
              <w:t>Minimize data passed to model and logs; apply row/column restrictions where needed.</w:t>
            </w:r>
          </w:p>
        </w:tc>
      </w:tr>
      <w:tr>
        <w:trPr>
          <w:cantSplit/>
        </w:trPr>
        <w:tc>
          <w:tcPr>
            <w:tcW w:type="dxa" w:w="1944"/>
            <w:vAlign w:val="center"/>
          </w:tcPr>
          <w:p>
            <w:pPr>
              <w:spacing w:after="20"/>
            </w:pPr>
            <w:r/>
            <w:r>
              <w:rPr>
                <w:rFonts w:ascii="Aptos" w:hAnsi="Aptos"/>
                <w:b w:val="0"/>
                <w:sz w:val="16"/>
              </w:rPr>
              <w:t>Resource bounds</w:t>
            </w:r>
          </w:p>
        </w:tc>
        <w:tc>
          <w:tcPr>
            <w:tcW w:type="dxa" w:w="8784"/>
            <w:vAlign w:val="center"/>
          </w:tcPr>
          <w:p>
            <w:pPr>
              <w:spacing w:after="20"/>
            </w:pPr>
            <w:r/>
            <w:r>
              <w:rPr>
                <w:rFonts w:ascii="Aptos" w:hAnsi="Aptos"/>
                <w:b w:val="0"/>
                <w:sz w:val="16"/>
              </w:rPr>
              <w:t>Initial proposal: 30-second query timeout and 1,000-row cap, configurable by authorized admin.</w:t>
            </w:r>
          </w:p>
        </w:tc>
      </w:tr>
    </w:tbl>
    <w:p>
      <w:pPr>
        <w:spacing w:after="20"/>
      </w:pPr>
    </w:p>
    <w:p>
      <w:pPr>
        <w:pStyle w:val="Heading1"/>
      </w:pPr>
      <w:r>
        <w:t>8. Benchmark and Acceptance Strategy</w:t>
      </w:r>
    </w:p>
    <w:p>
      <w:pPr>
        <w:pStyle w:val="Heading2"/>
      </w:pPr>
      <w:r>
        <w:t>8.1 Benchmark categories</w:t>
      </w:r>
    </w:p>
    <w:p>
      <w:pPr>
        <w:pStyle w:val="ListBullet"/>
        <w:spacing w:after="40"/>
      </w:pPr>
      <w:r>
        <w:t>Simple filtering, grouping, and aggregation.</w:t>
      </w:r>
    </w:p>
    <w:p>
      <w:pPr>
        <w:pStyle w:val="ListBullet"/>
        <w:spacing w:after="40"/>
      </w:pPr>
      <w:r>
        <w:t>Multi-table joins and join fan-out / duplicate-row traps.</w:t>
      </w:r>
    </w:p>
    <w:p>
      <w:pPr>
        <w:pStyle w:val="ListBullet"/>
        <w:spacing w:after="40"/>
      </w:pPr>
      <w:r>
        <w:t>Inconsistent names, missing descriptions, and undocumented relationships.</w:t>
      </w:r>
    </w:p>
    <w:p>
      <w:pPr>
        <w:pStyle w:val="ListBullet"/>
        <w:spacing w:after="40"/>
      </w:pPr>
      <w:r>
        <w:t>Duplicate entities and identity reconciliation across tables.</w:t>
      </w:r>
    </w:p>
    <w:p>
      <w:pPr>
        <w:pStyle w:val="ListBullet"/>
        <w:spacing w:after="40"/>
      </w:pPr>
      <w:r>
        <w:t>Null values, inconsistent date formats, refunds/cancellations, and conflicting business definitions.</w:t>
      </w:r>
    </w:p>
    <w:p>
      <w:pPr>
        <w:pStyle w:val="ListBullet"/>
        <w:spacing w:after="40"/>
      </w:pPr>
      <w:r>
        <w:t>Time-period comparisons, fiscal calendars, retention, ARR/MRR, and revenue calculations.</w:t>
      </w:r>
    </w:p>
    <w:p>
      <w:pPr>
        <w:pStyle w:val="ListBullet"/>
        <w:spacing w:after="40"/>
      </w:pPr>
      <w:r>
        <w:t>Ambiguous questions that should trigger clarification.</w:t>
      </w:r>
    </w:p>
    <w:p>
      <w:pPr>
        <w:pStyle w:val="ListBullet"/>
        <w:spacing w:after="40"/>
      </w:pPr>
      <w:r>
        <w:t>Empty results, schema drift, permissions errors, slow queries, and truncated results.</w:t>
      </w:r>
    </w:p>
    <w:p>
      <w:pPr>
        <w:pStyle w:val="ListBullet"/>
        <w:spacing w:after="40"/>
      </w:pPr>
      <w:r>
        <w:t>SQL injection attempts, multi-statement SQL, write operations, prohibited functions, and prompt injection in metadata.</w:t>
      </w:r>
    </w:p>
    <w:p>
      <w:pPr>
        <w:pStyle w:val="ListBullet"/>
        <w:spacing w:after="40"/>
      </w:pPr>
      <w:r>
        <w:t>Follow-up questions and context contamination between sessions.</w:t>
      </w:r>
    </w:p>
    <w:p>
      <w:pPr>
        <w:pStyle w:val="Heading2"/>
      </w:pPr>
      <w:r>
        <w:t>8.2 Metrics that should be shown</w:t>
      </w:r>
    </w:p>
    <w:tbl>
      <w:tblPr>
        <w:tblStyle w:val="TableGrid"/>
        <w:tblW w:type="auto" w:w="0"/>
        <w:jc w:val="center"/>
        <w:tblLook w:firstColumn="1" w:firstRow="1" w:lastColumn="0" w:lastRow="0" w:noHBand="0" w:noVBand="1" w:val="04A0"/>
      </w:tblPr>
      <w:tblGrid>
        <w:gridCol w:w="4997"/>
        <w:gridCol w:w="4997"/>
      </w:tblGrid>
      <w:tr>
        <w:trPr>
          <w:cantSplit/>
        </w:trPr>
        <w:tc>
          <w:tcPr>
            <w:tcW w:type="dxa" w:w="2232"/>
            <w:vAlign w:val="center"/>
            <w:shd w:fill="202A44"/>
          </w:tcPr>
          <w:p>
            <w:pPr>
              <w:spacing w:after="20"/>
            </w:pPr>
            <w:r/>
            <w:r>
              <w:rPr>
                <w:rFonts w:ascii="Aptos" w:hAnsi="Aptos"/>
                <w:b/>
                <w:color w:val="FFFFFF"/>
                <w:sz w:val="16"/>
              </w:rPr>
              <w:t>Metric</w:t>
            </w:r>
          </w:p>
        </w:tc>
        <w:tc>
          <w:tcPr>
            <w:tcW w:type="dxa" w:w="8496"/>
            <w:vAlign w:val="center"/>
            <w:shd w:fill="202A44"/>
          </w:tcPr>
          <w:p>
            <w:pPr>
              <w:spacing w:after="20"/>
            </w:pPr>
            <w:r/>
            <w:r>
              <w:rPr>
                <w:rFonts w:ascii="Aptos" w:hAnsi="Aptos"/>
                <w:b/>
                <w:color w:val="FFFFFF"/>
                <w:sz w:val="16"/>
              </w:rPr>
              <w:t>Definition / rule</w:t>
            </w:r>
          </w:p>
        </w:tc>
      </w:tr>
      <w:tr>
        <w:trPr>
          <w:cantSplit/>
        </w:trPr>
        <w:tc>
          <w:tcPr>
            <w:tcW w:type="dxa" w:w="2232"/>
            <w:vAlign w:val="center"/>
          </w:tcPr>
          <w:p>
            <w:pPr>
              <w:spacing w:after="20"/>
            </w:pPr>
            <w:r/>
            <w:r>
              <w:rPr>
                <w:rFonts w:ascii="Aptos" w:hAnsi="Aptos"/>
                <w:b w:val="0"/>
                <w:sz w:val="16"/>
              </w:rPr>
              <w:t>Semantic correctness</w:t>
            </w:r>
          </w:p>
        </w:tc>
        <w:tc>
          <w:tcPr>
            <w:tcW w:type="dxa" w:w="8496"/>
            <w:vAlign w:val="center"/>
          </w:tcPr>
          <w:p>
            <w:pPr>
              <w:spacing w:after="20"/>
            </w:pPr>
            <w:r/>
            <w:r>
              <w:rPr>
                <w:rFonts w:ascii="Aptos" w:hAnsi="Aptos"/>
                <w:b w:val="0"/>
                <w:sz w:val="16"/>
              </w:rPr>
              <w:t>Result matches the answer key under documented tolerance and equivalence rules.</w:t>
            </w:r>
          </w:p>
        </w:tc>
      </w:tr>
      <w:tr>
        <w:trPr>
          <w:cantSplit/>
        </w:trPr>
        <w:tc>
          <w:tcPr>
            <w:tcW w:type="dxa" w:w="2232"/>
            <w:vAlign w:val="center"/>
            <w:shd w:fill="F3F5F8"/>
          </w:tcPr>
          <w:p>
            <w:pPr>
              <w:spacing w:after="20"/>
            </w:pPr>
            <w:r/>
            <w:r>
              <w:rPr>
                <w:rFonts w:ascii="Aptos" w:hAnsi="Aptos"/>
                <w:b w:val="0"/>
                <w:sz w:val="16"/>
              </w:rPr>
              <w:t>Execution success</w:t>
            </w:r>
          </w:p>
        </w:tc>
        <w:tc>
          <w:tcPr>
            <w:tcW w:type="dxa" w:w="8496"/>
            <w:vAlign w:val="center"/>
            <w:shd w:fill="F3F5F8"/>
          </w:tcPr>
          <w:p>
            <w:pPr>
              <w:spacing w:after="20"/>
            </w:pPr>
            <w:r/>
            <w:r>
              <w:rPr>
                <w:rFonts w:ascii="Aptos" w:hAnsi="Aptos"/>
                <w:b w:val="0"/>
                <w:sz w:val="16"/>
              </w:rPr>
              <w:t>Queries completed successfully / attempted eligible cases; report setup failures separately.</w:t>
            </w:r>
          </w:p>
        </w:tc>
      </w:tr>
      <w:tr>
        <w:trPr>
          <w:cantSplit/>
        </w:trPr>
        <w:tc>
          <w:tcPr>
            <w:tcW w:type="dxa" w:w="2232"/>
            <w:vAlign w:val="center"/>
          </w:tcPr>
          <w:p>
            <w:pPr>
              <w:spacing w:after="20"/>
            </w:pPr>
            <w:r/>
            <w:r>
              <w:rPr>
                <w:rFonts w:ascii="Aptos" w:hAnsi="Aptos"/>
                <w:b w:val="0"/>
                <w:sz w:val="16"/>
              </w:rPr>
              <w:t>Safety block rate</w:t>
            </w:r>
          </w:p>
        </w:tc>
        <w:tc>
          <w:tcPr>
            <w:tcW w:type="dxa" w:w="8496"/>
            <w:vAlign w:val="center"/>
          </w:tcPr>
          <w:p>
            <w:pPr>
              <w:spacing w:after="20"/>
            </w:pPr>
            <w:r/>
            <w:r>
              <w:rPr>
                <w:rFonts w:ascii="Aptos" w:hAnsi="Aptos"/>
                <w:b w:val="0"/>
                <w:sz w:val="16"/>
              </w:rPr>
              <w:t>Unsafe attempts blocked before execution / total unsafe attempts; also show any unsafe executions.</w:t>
            </w:r>
          </w:p>
        </w:tc>
      </w:tr>
      <w:tr>
        <w:trPr>
          <w:cantSplit/>
        </w:trPr>
        <w:tc>
          <w:tcPr>
            <w:tcW w:type="dxa" w:w="2232"/>
            <w:vAlign w:val="center"/>
            <w:shd w:fill="F3F5F8"/>
          </w:tcPr>
          <w:p>
            <w:pPr>
              <w:spacing w:after="20"/>
            </w:pPr>
            <w:r/>
            <w:r>
              <w:rPr>
                <w:rFonts w:ascii="Aptos" w:hAnsi="Aptos"/>
                <w:b w:val="0"/>
                <w:sz w:val="16"/>
              </w:rPr>
              <w:t>Clarification quality</w:t>
            </w:r>
          </w:p>
        </w:tc>
        <w:tc>
          <w:tcPr>
            <w:tcW w:type="dxa" w:w="8496"/>
            <w:vAlign w:val="center"/>
            <w:shd w:fill="F3F5F8"/>
          </w:tcPr>
          <w:p>
            <w:pPr>
              <w:spacing w:after="20"/>
            </w:pPr>
            <w:r/>
            <w:r>
              <w:rPr>
                <w:rFonts w:ascii="Aptos" w:hAnsi="Aptos"/>
                <w:b w:val="0"/>
                <w:sz w:val="16"/>
              </w:rPr>
              <w:t>Agent clarifies materially ambiguous prompts instead of guessing.</w:t>
            </w:r>
          </w:p>
        </w:tc>
      </w:tr>
      <w:tr>
        <w:trPr>
          <w:cantSplit/>
        </w:trPr>
        <w:tc>
          <w:tcPr>
            <w:tcW w:type="dxa" w:w="2232"/>
            <w:vAlign w:val="center"/>
          </w:tcPr>
          <w:p>
            <w:pPr>
              <w:spacing w:after="20"/>
            </w:pPr>
            <w:r/>
            <w:r>
              <w:rPr>
                <w:rFonts w:ascii="Aptos" w:hAnsi="Aptos"/>
                <w:b w:val="0"/>
                <w:sz w:val="16"/>
              </w:rPr>
              <w:t>Latency</w:t>
            </w:r>
          </w:p>
        </w:tc>
        <w:tc>
          <w:tcPr>
            <w:tcW w:type="dxa" w:w="8496"/>
            <w:vAlign w:val="center"/>
          </w:tcPr>
          <w:p>
            <w:pPr>
              <w:spacing w:after="20"/>
            </w:pPr>
            <w:r/>
            <w:r>
              <w:rPr>
                <w:rFonts w:ascii="Aptos" w:hAnsi="Aptos"/>
                <w:b w:val="0"/>
                <w:sz w:val="16"/>
              </w:rPr>
              <w:t>Median and p95 from request start to completed answer; report model and DB components separately.</w:t>
            </w:r>
          </w:p>
        </w:tc>
      </w:tr>
      <w:tr>
        <w:trPr>
          <w:cantSplit/>
        </w:trPr>
        <w:tc>
          <w:tcPr>
            <w:tcW w:type="dxa" w:w="2232"/>
            <w:vAlign w:val="center"/>
            <w:shd w:fill="F3F5F8"/>
          </w:tcPr>
          <w:p>
            <w:pPr>
              <w:spacing w:after="20"/>
            </w:pPr>
            <w:r/>
            <w:r>
              <w:rPr>
                <w:rFonts w:ascii="Aptos" w:hAnsi="Aptos"/>
                <w:b w:val="0"/>
                <w:sz w:val="16"/>
              </w:rPr>
              <w:t>Result-grounding</w:t>
            </w:r>
          </w:p>
        </w:tc>
        <w:tc>
          <w:tcPr>
            <w:tcW w:type="dxa" w:w="8496"/>
            <w:vAlign w:val="center"/>
            <w:shd w:fill="F3F5F8"/>
          </w:tcPr>
          <w:p>
            <w:pPr>
              <w:spacing w:after="20"/>
            </w:pPr>
            <w:r/>
            <w:r>
              <w:rPr>
                <w:rFonts w:ascii="Aptos" w:hAnsi="Aptos"/>
                <w:b w:val="0"/>
                <w:sz w:val="16"/>
              </w:rPr>
              <w:t>Displayed metrics and narrative reconcile with actual returned rows.</w:t>
            </w:r>
          </w:p>
        </w:tc>
      </w:tr>
      <w:tr>
        <w:trPr>
          <w:cantSplit/>
        </w:trPr>
        <w:tc>
          <w:tcPr>
            <w:tcW w:type="dxa" w:w="2232"/>
            <w:vAlign w:val="center"/>
          </w:tcPr>
          <w:p>
            <w:pPr>
              <w:spacing w:after="20"/>
            </w:pPr>
            <w:r/>
            <w:r>
              <w:rPr>
                <w:rFonts w:ascii="Aptos" w:hAnsi="Aptos"/>
                <w:b w:val="0"/>
                <w:sz w:val="16"/>
              </w:rPr>
              <w:t>Robustness</w:t>
            </w:r>
          </w:p>
        </w:tc>
        <w:tc>
          <w:tcPr>
            <w:tcW w:type="dxa" w:w="8496"/>
            <w:vAlign w:val="center"/>
          </w:tcPr>
          <w:p>
            <w:pPr>
              <w:spacing w:after="20"/>
            </w:pPr>
            <w:r/>
            <w:r>
              <w:rPr>
                <w:rFonts w:ascii="Aptos" w:hAnsi="Aptos"/>
                <w:b w:val="0"/>
                <w:sz w:val="16"/>
              </w:rPr>
              <w:t>Performance broken down by difficulty and messiness category, not only aggregate score.</w:t>
            </w:r>
          </w:p>
        </w:tc>
      </w:tr>
    </w:tbl>
    <w:p>
      <w:pPr>
        <w:spacing w:after="20"/>
      </w:pPr>
    </w:p>
    <w:p>
      <w:pPr>
        <w:pStyle w:val="Heading2"/>
      </w:pPr>
      <w:r>
        <w:t>8.3 31-case evaluation protocol</w:t>
      </w:r>
    </w:p>
    <w:p>
      <w:pPr>
        <w:pStyle w:val="ListNumber"/>
        <w:spacing w:after="40"/>
      </w:pPr>
      <w:r>
        <w:t>Assign stable IDs and expected behavior to all 31 cases.</w:t>
      </w:r>
    </w:p>
    <w:p>
      <w:pPr>
        <w:pStyle w:val="ListNumber"/>
        <w:spacing w:after="40"/>
      </w:pPr>
      <w:r>
        <w:t>Run from a clean, documented database snapshot and fixed configuration.</w:t>
      </w:r>
    </w:p>
    <w:p>
      <w:pPr>
        <w:pStyle w:val="ListNumber"/>
        <w:spacing w:after="40"/>
      </w:pPr>
      <w:r>
        <w:t>Capture question, generated SQL, policy decision, execution result, expected output, actual output, latency, and error classification.</w:t>
      </w:r>
    </w:p>
    <w:p>
      <w:pPr>
        <w:pStyle w:val="ListNumber"/>
        <w:spacing w:after="40"/>
      </w:pPr>
      <w:r>
        <w:t>Record model identifier, prompt/config version, application commit, and run timestamp.</w:t>
      </w:r>
    </w:p>
    <w:p>
      <w:pPr>
        <w:pStyle w:val="ListNumber"/>
        <w:spacing w:after="40"/>
      </w:pPr>
      <w:r>
        <w:t>Classify each failure: interpretation, schema retrieval, SQL generation, join/metric logic, policy, execution, result rendering, or evaluation harness.</w:t>
      </w:r>
    </w:p>
    <w:p>
      <w:pPr>
        <w:pStyle w:val="ListNumber"/>
        <w:spacing w:after="40"/>
      </w:pPr>
      <w:r>
        <w:t>Report exact-match and partial-credit scoring separately; do not label a rubric index as a percentage of exact answers.</w:t>
      </w:r>
    </w:p>
    <w:p>
      <w:pPr>
        <w:pStyle w:val="ListNumber"/>
        <w:spacing w:after="40"/>
      </w:pPr>
      <w:r>
        <w:t>Keep skipped cases visible and explain why they were skipped.</w:t>
      </w:r>
    </w:p>
    <w:p>
      <w:pPr>
        <w:pStyle w:val="ListNumber"/>
        <w:spacing w:after="40"/>
      </w:pPr>
      <w:r>
        <w:t>Re-run after fixes and compare the same cases against the baseline.</w:t>
      </w:r>
    </w:p>
    <w:tbl>
      <w:tblPr>
        <w:tblStyle w:val="TableGrid"/>
        <w:tblW w:type="auto" w:w="0"/>
        <w:tblLook w:firstColumn="1" w:firstRow="1" w:lastColumn="0" w:lastRow="0" w:noHBand="0" w:noVBand="1" w:val="04A0"/>
      </w:tblPr>
      <w:tblGrid>
        <w:gridCol w:w="9994"/>
      </w:tblGrid>
      <w:tr>
        <w:trPr>
          <w:cantSplit/>
        </w:trPr>
        <w:tc>
          <w:tcPr>
            <w:tcW w:type="dxa" w:w="9994"/>
            <w:shd w:fill="FFF0F0"/>
          </w:tcPr>
          <w:p>
            <w:r/>
            <w:r>
              <w:rPr>
                <w:b/>
                <w:color w:val="202A44"/>
                <w:sz w:val="20"/>
              </w:rPr>
              <w:t>Current evidence caveat</w:t>
              <w:br/>
            </w:r>
            <w:r>
              <w:rPr>
                <w:sz w:val="18"/>
              </w:rPr>
              <w:t>The conversation reports a 31-case harness and 9/9 passing backend/security tests, but the benchmark UI was previously seen with zero evaluated cases. Until a real run is saved, benchmark accuracy, coverage, and reported latency remain unverified.</w:t>
            </w:r>
          </w:p>
        </w:tc>
      </w:tr>
    </w:tbl>
    <w:p>
      <w:pPr>
        <w:spacing w:after="20"/>
      </w:pPr>
    </w:p>
    <w:p>
      <w:pPr>
        <w:pStyle w:val="Heading1"/>
      </w:pPr>
      <w:r>
        <w:t>9. Competitive Landscape: Existing Tools and Approaches</w:t>
      </w:r>
    </w:p>
    <w:p>
      <w:r>
        <w:t>The competitive set below covers commercial conversational BI products, SQL-agent frameworks, general-purpose assistants, and a recent published messy-database comparison. It is not a verified list of submissions to the user's specific hackathon, because the organizer and official PS URL are still unknown.</w:t>
      </w:r>
    </w:p>
    <w:p>
      <w:pPr>
        <w:pStyle w:val="Heading2"/>
      </w:pPr>
      <w:r>
        <w:t>9.1 Product and framework comparison</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1944"/>
            <w:vAlign w:val="center"/>
            <w:shd w:fill="202A44"/>
          </w:tcPr>
          <w:p>
            <w:pPr>
              <w:spacing w:after="20"/>
            </w:pPr>
            <w:r/>
            <w:r>
              <w:rPr>
                <w:rFonts w:ascii="Aptos" w:hAnsi="Aptos"/>
                <w:b/>
                <w:color w:val="FFFFFF"/>
                <w:sz w:val="14"/>
              </w:rPr>
              <w:t>Tool / approach</w:t>
            </w:r>
          </w:p>
        </w:tc>
        <w:tc>
          <w:tcPr>
            <w:tcW w:type="dxa" w:w="3672"/>
            <w:vAlign w:val="center"/>
            <w:shd w:fill="202A44"/>
          </w:tcPr>
          <w:p>
            <w:pPr>
              <w:spacing w:after="20"/>
            </w:pPr>
            <w:r/>
            <w:r>
              <w:rPr>
                <w:rFonts w:ascii="Aptos" w:hAnsi="Aptos"/>
                <w:b/>
                <w:color w:val="FFFFFF"/>
                <w:sz w:val="14"/>
              </w:rPr>
              <w:t>What public sources indicate</w:t>
            </w:r>
          </w:p>
        </w:tc>
        <w:tc>
          <w:tcPr>
            <w:tcW w:type="dxa" w:w="2520"/>
            <w:vAlign w:val="center"/>
            <w:shd w:fill="202A44"/>
          </w:tcPr>
          <w:p>
            <w:pPr>
              <w:spacing w:after="20"/>
            </w:pPr>
            <w:r/>
            <w:r>
              <w:rPr>
                <w:rFonts w:ascii="Aptos" w:hAnsi="Aptos"/>
                <w:b/>
                <w:color w:val="FFFFFF"/>
                <w:sz w:val="14"/>
              </w:rPr>
              <w:t>Strength to learn from</w:t>
            </w:r>
          </w:p>
        </w:tc>
        <w:tc>
          <w:tcPr>
            <w:tcW w:type="dxa" w:w="2664"/>
            <w:vAlign w:val="center"/>
            <w:shd w:fill="202A44"/>
          </w:tcPr>
          <w:p>
            <w:pPr>
              <w:spacing w:after="20"/>
            </w:pPr>
            <w:r/>
            <w:r>
              <w:rPr>
                <w:rFonts w:ascii="Aptos" w:hAnsi="Aptos"/>
                <w:b/>
                <w:color w:val="FFFFFF"/>
                <w:sz w:val="14"/>
              </w:rPr>
              <w:t>Opportunity for QueryPilot</w:t>
            </w:r>
          </w:p>
        </w:tc>
      </w:tr>
      <w:tr>
        <w:trPr>
          <w:cantSplit/>
        </w:trPr>
        <w:tc>
          <w:tcPr>
            <w:tcW w:type="dxa" w:w="1944"/>
            <w:vAlign w:val="center"/>
          </w:tcPr>
          <w:p>
            <w:pPr>
              <w:spacing w:after="20"/>
            </w:pPr>
            <w:r/>
            <w:r>
              <w:rPr>
                <w:rFonts w:ascii="Aptos" w:hAnsi="Aptos"/>
                <w:b w:val="0"/>
                <w:sz w:val="14"/>
              </w:rPr>
              <w:t>Supaboard</w:t>
            </w:r>
          </w:p>
        </w:tc>
        <w:tc>
          <w:tcPr>
            <w:tcW w:type="dxa" w:w="3672"/>
            <w:vAlign w:val="center"/>
          </w:tcPr>
          <w:p>
            <w:pPr>
              <w:spacing w:after="20"/>
            </w:pPr>
            <w:r/>
            <w:r>
              <w:rPr>
                <w:rFonts w:ascii="Aptos" w:hAnsi="Aptos"/>
                <w:b w:val="0"/>
                <w:sz w:val="14"/>
              </w:rPr>
              <w:t>Its Oct 21, 2026 article reports a benchmark across nine configurations on a deliberately messy ~20-table Postgres SaaS database.</w:t>
            </w:r>
          </w:p>
        </w:tc>
        <w:tc>
          <w:tcPr>
            <w:tcW w:type="dxa" w:w="2520"/>
            <w:vAlign w:val="center"/>
          </w:tcPr>
          <w:p>
            <w:pPr>
              <w:spacing w:after="20"/>
            </w:pPr>
            <w:r/>
            <w:r>
              <w:rPr>
                <w:rFonts w:ascii="Aptos" w:hAnsi="Aptos"/>
                <w:b w:val="0"/>
                <w:sz w:val="14"/>
              </w:rPr>
              <w:t>Integrated analysis, business definitions, evals, saved knowledge, and evidence-focused workflow.</w:t>
            </w:r>
          </w:p>
        </w:tc>
        <w:tc>
          <w:tcPr>
            <w:tcW w:type="dxa" w:w="2664"/>
            <w:vAlign w:val="center"/>
          </w:tcPr>
          <w:p>
            <w:pPr>
              <w:spacing w:after="20"/>
            </w:pPr>
            <w:r/>
            <w:r>
              <w:rPr>
                <w:rFonts w:ascii="Aptos" w:hAnsi="Aptos"/>
                <w:b w:val="0"/>
                <w:sz w:val="14"/>
              </w:rPr>
              <w:t>Use independent reproducible grading; publish case-level results and openly report misses.</w:t>
            </w:r>
          </w:p>
        </w:tc>
      </w:tr>
      <w:tr>
        <w:trPr>
          <w:cantSplit/>
        </w:trPr>
        <w:tc>
          <w:tcPr>
            <w:tcW w:type="dxa" w:w="1944"/>
            <w:vAlign w:val="center"/>
            <w:shd w:fill="F3F5F8"/>
          </w:tcPr>
          <w:p>
            <w:pPr>
              <w:spacing w:after="20"/>
            </w:pPr>
            <w:r/>
            <w:r>
              <w:rPr>
                <w:rFonts w:ascii="Aptos" w:hAnsi="Aptos"/>
                <w:b w:val="0"/>
                <w:sz w:val="14"/>
              </w:rPr>
              <w:t>Databricks AI/BI Genie</w:t>
            </w:r>
          </w:p>
        </w:tc>
        <w:tc>
          <w:tcPr>
            <w:tcW w:type="dxa" w:w="3672"/>
            <w:vAlign w:val="center"/>
            <w:shd w:fill="F3F5F8"/>
          </w:tcPr>
          <w:p>
            <w:pPr>
              <w:spacing w:after="20"/>
            </w:pPr>
            <w:r/>
            <w:r>
              <w:rPr>
                <w:rFonts w:ascii="Aptos" w:hAnsi="Aptos"/>
                <w:b w:val="0"/>
                <w:sz w:val="14"/>
              </w:rPr>
              <w:t>Official docs describe conversational data questions, adaptable visualizations, clarifications, trusted assets, semantic context, governance, and monitoring.</w:t>
            </w:r>
          </w:p>
        </w:tc>
        <w:tc>
          <w:tcPr>
            <w:tcW w:type="dxa" w:w="2520"/>
            <w:vAlign w:val="center"/>
            <w:shd w:fill="F3F5F8"/>
          </w:tcPr>
          <w:p>
            <w:pPr>
              <w:spacing w:after="20"/>
            </w:pPr>
            <w:r/>
            <w:r>
              <w:rPr>
                <w:rFonts w:ascii="Aptos" w:hAnsi="Aptos"/>
                <w:b w:val="0"/>
                <w:sz w:val="14"/>
              </w:rPr>
              <w:t>Semantic definitions and governed context improve business interpretation.</w:t>
            </w:r>
          </w:p>
        </w:tc>
        <w:tc>
          <w:tcPr>
            <w:tcW w:type="dxa" w:w="2664"/>
            <w:vAlign w:val="center"/>
            <w:shd w:fill="F3F5F8"/>
          </w:tcPr>
          <w:p>
            <w:pPr>
              <w:spacing w:after="20"/>
            </w:pPr>
            <w:r/>
            <w:r>
              <w:rPr>
                <w:rFonts w:ascii="Aptos" w:hAnsi="Aptos"/>
                <w:b w:val="0"/>
                <w:sz w:val="14"/>
              </w:rPr>
              <w:t>Focus on automatic schema investigation before semantic configuration; support local/self-hosted deployment if verified.</w:t>
            </w:r>
          </w:p>
        </w:tc>
      </w:tr>
      <w:tr>
        <w:trPr>
          <w:cantSplit/>
        </w:trPr>
        <w:tc>
          <w:tcPr>
            <w:tcW w:type="dxa" w:w="1944"/>
            <w:vAlign w:val="center"/>
          </w:tcPr>
          <w:p>
            <w:pPr>
              <w:spacing w:after="20"/>
            </w:pPr>
            <w:r/>
            <w:r>
              <w:rPr>
                <w:rFonts w:ascii="Aptos" w:hAnsi="Aptos"/>
                <w:b w:val="0"/>
                <w:sz w:val="14"/>
              </w:rPr>
              <w:t>ThoughtSpot Spotter</w:t>
            </w:r>
          </w:p>
        </w:tc>
        <w:tc>
          <w:tcPr>
            <w:tcW w:type="dxa" w:w="3672"/>
            <w:vAlign w:val="center"/>
          </w:tcPr>
          <w:p>
            <w:pPr>
              <w:spacing w:after="20"/>
            </w:pPr>
            <w:r/>
            <w:r>
              <w:rPr>
                <w:rFonts w:ascii="Aptos" w:hAnsi="Aptos"/>
                <w:b w:val="0"/>
                <w:sz w:val="14"/>
              </w:rPr>
              <w:t>Official docs describe AI agents for exploring/analyzing data, building visualizations, and modeling data.</w:t>
            </w:r>
          </w:p>
        </w:tc>
        <w:tc>
          <w:tcPr>
            <w:tcW w:type="dxa" w:w="2520"/>
            <w:vAlign w:val="center"/>
          </w:tcPr>
          <w:p>
            <w:pPr>
              <w:spacing w:after="20"/>
            </w:pPr>
            <w:r/>
            <w:r>
              <w:rPr>
                <w:rFonts w:ascii="Aptos" w:hAnsi="Aptos"/>
                <w:b w:val="0"/>
                <w:sz w:val="14"/>
              </w:rPr>
              <w:t>End-to-end analytics agent experience, not only SQL output.</w:t>
            </w:r>
          </w:p>
        </w:tc>
        <w:tc>
          <w:tcPr>
            <w:tcW w:type="dxa" w:w="2664"/>
            <w:vAlign w:val="center"/>
          </w:tcPr>
          <w:p>
            <w:pPr>
              <w:spacing w:after="20"/>
            </w:pPr>
            <w:r/>
            <w:r>
              <w:rPr>
                <w:rFonts w:ascii="Aptos" w:hAnsi="Aptos"/>
                <w:b w:val="0"/>
                <w:sz w:val="14"/>
              </w:rPr>
              <w:t>Demonstrate difficult messy-schema tasks and transparent low-level execution evidence.</w:t>
            </w:r>
          </w:p>
        </w:tc>
      </w:tr>
      <w:tr>
        <w:trPr>
          <w:cantSplit/>
        </w:trPr>
        <w:tc>
          <w:tcPr>
            <w:tcW w:type="dxa" w:w="1944"/>
            <w:vAlign w:val="center"/>
            <w:shd w:fill="F3F5F8"/>
          </w:tcPr>
          <w:p>
            <w:pPr>
              <w:spacing w:after="20"/>
            </w:pPr>
            <w:r/>
            <w:r>
              <w:rPr>
                <w:rFonts w:ascii="Aptos" w:hAnsi="Aptos"/>
                <w:b w:val="0"/>
                <w:sz w:val="14"/>
              </w:rPr>
              <w:t>Vanna AI</w:t>
            </w:r>
          </w:p>
        </w:tc>
        <w:tc>
          <w:tcPr>
            <w:tcW w:type="dxa" w:w="3672"/>
            <w:vAlign w:val="center"/>
            <w:shd w:fill="F3F5F8"/>
          </w:tcPr>
          <w:p>
            <w:pPr>
              <w:spacing w:after="20"/>
            </w:pPr>
            <w:r/>
            <w:r>
              <w:rPr>
                <w:rFonts w:ascii="Aptos" w:hAnsi="Aptos"/>
                <w:b w:val="0"/>
                <w:sz w:val="14"/>
              </w:rPr>
              <w:t>Official docs describe a user-aware database agent, SQL/chart tools, permissions, and memory of successful interactions.</w:t>
            </w:r>
          </w:p>
        </w:tc>
        <w:tc>
          <w:tcPr>
            <w:tcW w:type="dxa" w:w="2520"/>
            <w:vAlign w:val="center"/>
            <w:shd w:fill="F3F5F8"/>
          </w:tcPr>
          <w:p>
            <w:pPr>
              <w:spacing w:after="20"/>
            </w:pPr>
            <w:r/>
            <w:r>
              <w:rPr>
                <w:rFonts w:ascii="Aptos" w:hAnsi="Aptos"/>
                <w:b w:val="0"/>
                <w:sz w:val="14"/>
              </w:rPr>
              <w:t>Reusable examples, tool memory, permissions flow.</w:t>
            </w:r>
          </w:p>
        </w:tc>
        <w:tc>
          <w:tcPr>
            <w:tcW w:type="dxa" w:w="2664"/>
            <w:vAlign w:val="center"/>
            <w:shd w:fill="F3F5F8"/>
          </w:tcPr>
          <w:p>
            <w:pPr>
              <w:spacing w:after="20"/>
            </w:pPr>
            <w:r/>
            <w:r>
              <w:rPr>
                <w:rFonts w:ascii="Aptos" w:hAnsi="Aptos"/>
                <w:b w:val="0"/>
                <w:sz w:val="14"/>
              </w:rPr>
              <w:t>Make memory/eval improvements measurable and guard against storing incorrect queries.</w:t>
            </w:r>
          </w:p>
        </w:tc>
      </w:tr>
      <w:tr>
        <w:trPr>
          <w:cantSplit/>
        </w:trPr>
        <w:tc>
          <w:tcPr>
            <w:tcW w:type="dxa" w:w="1944"/>
            <w:vAlign w:val="center"/>
          </w:tcPr>
          <w:p>
            <w:pPr>
              <w:spacing w:after="20"/>
            </w:pPr>
            <w:r/>
            <w:r>
              <w:rPr>
                <w:rFonts w:ascii="Aptos" w:hAnsi="Aptos"/>
                <w:b w:val="0"/>
                <w:sz w:val="14"/>
              </w:rPr>
              <w:t>Defog SQLCoder</w:t>
            </w:r>
          </w:p>
        </w:tc>
        <w:tc>
          <w:tcPr>
            <w:tcW w:type="dxa" w:w="3672"/>
            <w:vAlign w:val="center"/>
          </w:tcPr>
          <w:p>
            <w:pPr>
              <w:spacing w:after="20"/>
            </w:pPr>
            <w:r/>
            <w:r>
              <w:rPr>
                <w:rFonts w:ascii="Aptos" w:hAnsi="Aptos"/>
                <w:b w:val="0"/>
                <w:sz w:val="14"/>
              </w:rPr>
              <w:t>Open-source model family focused on natural-language-to-SQL generation.</w:t>
            </w:r>
          </w:p>
        </w:tc>
        <w:tc>
          <w:tcPr>
            <w:tcW w:type="dxa" w:w="2520"/>
            <w:vAlign w:val="center"/>
          </w:tcPr>
          <w:p>
            <w:pPr>
              <w:spacing w:after="20"/>
            </w:pPr>
            <w:r/>
            <w:r>
              <w:rPr>
                <w:rFonts w:ascii="Aptos" w:hAnsi="Aptos"/>
                <w:b w:val="0"/>
                <w:sz w:val="14"/>
              </w:rPr>
              <w:t>Specialized SQL model and reproducible SQL-generation evaluation.</w:t>
            </w:r>
          </w:p>
        </w:tc>
        <w:tc>
          <w:tcPr>
            <w:tcW w:type="dxa" w:w="2664"/>
            <w:vAlign w:val="center"/>
          </w:tcPr>
          <w:p>
            <w:pPr>
              <w:spacing w:after="20"/>
            </w:pPr>
            <w:r/>
            <w:r>
              <w:rPr>
                <w:rFonts w:ascii="Aptos" w:hAnsi="Aptos"/>
                <w:b w:val="0"/>
                <w:sz w:val="14"/>
              </w:rPr>
              <w:t>Benchmark model choice against the current local model on the same 31+ cases.</w:t>
            </w:r>
          </w:p>
        </w:tc>
      </w:tr>
      <w:tr>
        <w:trPr>
          <w:cantSplit/>
        </w:trPr>
        <w:tc>
          <w:tcPr>
            <w:tcW w:type="dxa" w:w="1944"/>
            <w:vAlign w:val="center"/>
            <w:shd w:fill="F3F5F8"/>
          </w:tcPr>
          <w:p>
            <w:pPr>
              <w:spacing w:after="20"/>
            </w:pPr>
            <w:r/>
            <w:r>
              <w:rPr>
                <w:rFonts w:ascii="Aptos" w:hAnsi="Aptos"/>
                <w:b w:val="0"/>
                <w:sz w:val="14"/>
              </w:rPr>
              <w:t>Basedash / Lightdash / Hex / Sigma / Metabase / general assistants</w:t>
            </w:r>
          </w:p>
        </w:tc>
        <w:tc>
          <w:tcPr>
            <w:tcW w:type="dxa" w:w="3672"/>
            <w:vAlign w:val="center"/>
            <w:shd w:fill="F3F5F8"/>
          </w:tcPr>
          <w:p>
            <w:pPr>
              <w:spacing w:after="20"/>
            </w:pPr>
            <w:r/>
            <w:r>
              <w:rPr>
                <w:rFonts w:ascii="Aptos" w:hAnsi="Aptos"/>
                <w:b w:val="0"/>
                <w:sz w:val="14"/>
              </w:rPr>
              <w:t>Named in the published Supaboard comparison; capabilities and benchmark outcomes vary by configuration and test protocol.</w:t>
            </w:r>
          </w:p>
        </w:tc>
        <w:tc>
          <w:tcPr>
            <w:tcW w:type="dxa" w:w="2520"/>
            <w:vAlign w:val="center"/>
            <w:shd w:fill="F3F5F8"/>
          </w:tcPr>
          <w:p>
            <w:pPr>
              <w:spacing w:after="20"/>
            </w:pPr>
            <w:r/>
            <w:r>
              <w:rPr>
                <w:rFonts w:ascii="Aptos" w:hAnsi="Aptos"/>
                <w:b w:val="0"/>
                <w:sz w:val="14"/>
              </w:rPr>
              <w:t>Different tradeoffs in speed, BI workflow, execution, and semantic modeling.</w:t>
            </w:r>
          </w:p>
        </w:tc>
        <w:tc>
          <w:tcPr>
            <w:tcW w:type="dxa" w:w="2664"/>
            <w:vAlign w:val="center"/>
            <w:shd w:fill="F3F5F8"/>
          </w:tcPr>
          <w:p>
            <w:pPr>
              <w:spacing w:after="20"/>
            </w:pPr>
            <w:r/>
            <w:r>
              <w:rPr>
                <w:rFonts w:ascii="Aptos" w:hAnsi="Aptos"/>
                <w:b w:val="0"/>
                <w:sz w:val="14"/>
              </w:rPr>
              <w:t>Do not compare by marketing claims; use identical tasks, access, execution requirements, and rubric.</w:t>
            </w:r>
          </w:p>
        </w:tc>
      </w:tr>
    </w:tbl>
    <w:p>
      <w:pPr>
        <w:spacing w:after="20"/>
      </w:pPr>
    </w:p>
    <w:p>
      <w:pPr>
        <w:pStyle w:val="Heading2"/>
      </w:pPr>
      <w:r>
        <w:t>9.2 What the published messy-database comparison teaches us</w:t>
      </w:r>
    </w:p>
    <w:p>
      <w:r>
        <w:t>Supaboard's article (published 21 October 2026) says its benchmark used a fictional company database with roughly 20 PostgreSQL tables, deliberately inconsistent records, missing shared keys, and no documentation or semantic layer. Nine configurations answered the same 13 questions. The article discloses that the benchmark was commissioned by Supaboard, that Supaboard participated, and that no independent grading audit had been published; results should therefore be treated as vendor-reported rather than neutral ground truth.</w:t>
      </w:r>
    </w:p>
    <w:p>
      <w:r>
        <w:t>The article reports that customer reconciliation and industry-level ARR were particularly difficult. For the CRM-gap question, its answer key was 214 customers and $59,658.33 MRR; published answers varied substantially across tools. It also reports that none of the nine configurations received full credit for ARR by industry. This is directly relevant to QueryPilot: joins, entity identity, and metric definitions are harder than a clean SQL syntax demo.</w:t>
      </w:r>
    </w:p>
    <w:tbl>
      <w:tblPr>
        <w:tblStyle w:val="TableGrid"/>
        <w:tblW w:type="auto" w:w="0"/>
        <w:jc w:val="center"/>
        <w:tblLook w:firstColumn="1" w:firstRow="1" w:lastColumn="0" w:lastRow="0" w:noHBand="0" w:noVBand="1" w:val="04A0"/>
      </w:tblPr>
      <w:tblGrid>
        <w:gridCol w:w="4997"/>
        <w:gridCol w:w="4997"/>
      </w:tblGrid>
      <w:tr>
        <w:trPr>
          <w:cantSplit/>
        </w:trPr>
        <w:tc>
          <w:tcPr>
            <w:tcW w:type="dxa" w:w="4896"/>
            <w:vAlign w:val="center"/>
            <w:shd w:fill="202A44"/>
          </w:tcPr>
          <w:p>
            <w:pPr>
              <w:spacing w:after="20"/>
            </w:pPr>
            <w:r/>
            <w:r>
              <w:rPr>
                <w:rFonts w:ascii="Aptos" w:hAnsi="Aptos"/>
                <w:b/>
                <w:color w:val="FFFFFF"/>
                <w:sz w:val="16"/>
              </w:rPr>
              <w:t>Publicly reported finding</w:t>
            </w:r>
          </w:p>
        </w:tc>
        <w:tc>
          <w:tcPr>
            <w:tcW w:type="dxa" w:w="5328"/>
            <w:vAlign w:val="center"/>
            <w:shd w:fill="202A44"/>
          </w:tcPr>
          <w:p>
            <w:pPr>
              <w:spacing w:after="20"/>
            </w:pPr>
            <w:r/>
            <w:r>
              <w:rPr>
                <w:rFonts w:ascii="Aptos" w:hAnsi="Aptos"/>
                <w:b/>
                <w:color w:val="FFFFFF"/>
                <w:sz w:val="16"/>
              </w:rPr>
              <w:t>Implication for QueryPilot</w:t>
            </w:r>
          </w:p>
        </w:tc>
      </w:tr>
      <w:tr>
        <w:trPr>
          <w:cantSplit/>
        </w:trPr>
        <w:tc>
          <w:tcPr>
            <w:tcW w:type="dxa" w:w="4896"/>
            <w:vAlign w:val="center"/>
          </w:tcPr>
          <w:p>
            <w:pPr>
              <w:spacing w:after="20"/>
            </w:pPr>
            <w:r/>
            <w:r>
              <w:rPr>
                <w:rFonts w:ascii="Aptos" w:hAnsi="Aptos"/>
                <w:b w:val="0"/>
                <w:sz w:val="16"/>
              </w:rPr>
              <w:t>Customer identity/reconciliation results differed materially across tools.</w:t>
            </w:r>
          </w:p>
        </w:tc>
        <w:tc>
          <w:tcPr>
            <w:tcW w:type="dxa" w:w="5328"/>
            <w:vAlign w:val="center"/>
          </w:tcPr>
          <w:p>
            <w:pPr>
              <w:spacing w:after="20"/>
            </w:pPr>
            <w:r/>
            <w:r>
              <w:rPr>
                <w:rFonts w:ascii="Aptos" w:hAnsi="Aptos"/>
                <w:b w:val="0"/>
                <w:sz w:val="16"/>
              </w:rPr>
              <w:t>Include duplicate entities and cross-system matching in benchmark cases.</w:t>
            </w:r>
          </w:p>
        </w:tc>
      </w:tr>
      <w:tr>
        <w:trPr>
          <w:cantSplit/>
        </w:trPr>
        <w:tc>
          <w:tcPr>
            <w:tcW w:type="dxa" w:w="4896"/>
            <w:vAlign w:val="center"/>
            <w:shd w:fill="F3F5F8"/>
          </w:tcPr>
          <w:p>
            <w:pPr>
              <w:spacing w:after="20"/>
            </w:pPr>
            <w:r/>
            <w:r>
              <w:rPr>
                <w:rFonts w:ascii="Aptos" w:hAnsi="Aptos"/>
                <w:b w:val="0"/>
                <w:sz w:val="16"/>
              </w:rPr>
              <w:t>ARR-by-industry was difficult across all tested configurations.</w:t>
            </w:r>
          </w:p>
        </w:tc>
        <w:tc>
          <w:tcPr>
            <w:tcW w:type="dxa" w:w="5328"/>
            <w:vAlign w:val="center"/>
            <w:shd w:fill="F3F5F8"/>
          </w:tcPr>
          <w:p>
            <w:pPr>
              <w:spacing w:after="20"/>
            </w:pPr>
            <w:r/>
            <w:r>
              <w:rPr>
                <w:rFonts w:ascii="Aptos" w:hAnsi="Aptos"/>
                <w:b w:val="0"/>
                <w:sz w:val="16"/>
              </w:rPr>
              <w:t>Define metric semantics, dates, cancellation/refund rules, and joins explicitly.</w:t>
            </w:r>
          </w:p>
        </w:tc>
      </w:tr>
      <w:tr>
        <w:trPr>
          <w:cantSplit/>
        </w:trPr>
        <w:tc>
          <w:tcPr>
            <w:tcW w:type="dxa" w:w="4896"/>
            <w:vAlign w:val="center"/>
          </w:tcPr>
          <w:p>
            <w:pPr>
              <w:spacing w:after="20"/>
            </w:pPr>
            <w:r/>
            <w:r>
              <w:rPr>
                <w:rFonts w:ascii="Aptos" w:hAnsi="Aptos"/>
                <w:b w:val="0"/>
                <w:sz w:val="16"/>
              </w:rPr>
              <w:t>Fast answers did not always mean correct answers.</w:t>
            </w:r>
          </w:p>
        </w:tc>
        <w:tc>
          <w:tcPr>
            <w:tcW w:type="dxa" w:w="5328"/>
            <w:vAlign w:val="center"/>
          </w:tcPr>
          <w:p>
            <w:pPr>
              <w:spacing w:after="20"/>
            </w:pPr>
            <w:r/>
            <w:r>
              <w:rPr>
                <w:rFonts w:ascii="Aptos" w:hAnsi="Aptos"/>
                <w:b w:val="0"/>
                <w:sz w:val="16"/>
              </w:rPr>
              <w:t>Optimize for correctness and useful uncertainty, then latency.</w:t>
            </w:r>
          </w:p>
        </w:tc>
      </w:tr>
      <w:tr>
        <w:trPr>
          <w:cantSplit/>
        </w:trPr>
        <w:tc>
          <w:tcPr>
            <w:tcW w:type="dxa" w:w="4896"/>
            <w:vAlign w:val="center"/>
            <w:shd w:fill="F3F5F8"/>
          </w:tcPr>
          <w:p>
            <w:pPr>
              <w:spacing w:after="20"/>
            </w:pPr>
            <w:r/>
            <w:r>
              <w:rPr>
                <w:rFonts w:ascii="Aptos" w:hAnsi="Aptos"/>
                <w:b w:val="0"/>
                <w:sz w:val="16"/>
              </w:rPr>
              <w:t>Scoring included partial credit and had caveats.</w:t>
            </w:r>
          </w:p>
        </w:tc>
        <w:tc>
          <w:tcPr>
            <w:tcW w:type="dxa" w:w="5328"/>
            <w:vAlign w:val="center"/>
            <w:shd w:fill="F3F5F8"/>
          </w:tcPr>
          <w:p>
            <w:pPr>
              <w:spacing w:after="20"/>
            </w:pPr>
            <w:r/>
            <w:r>
              <w:rPr>
                <w:rFonts w:ascii="Aptos" w:hAnsi="Aptos"/>
                <w:b w:val="0"/>
                <w:sz w:val="16"/>
              </w:rPr>
              <w:t>Show exact match separately from partial-credit index.</w:t>
            </w:r>
          </w:p>
        </w:tc>
      </w:tr>
      <w:tr>
        <w:trPr>
          <w:cantSplit/>
        </w:trPr>
        <w:tc>
          <w:tcPr>
            <w:tcW w:type="dxa" w:w="4896"/>
            <w:vAlign w:val="center"/>
          </w:tcPr>
          <w:p>
            <w:pPr>
              <w:spacing w:after="20"/>
            </w:pPr>
            <w:r/>
            <w:r>
              <w:rPr>
                <w:rFonts w:ascii="Aptos" w:hAnsi="Aptos"/>
                <w:b w:val="0"/>
                <w:sz w:val="16"/>
              </w:rPr>
              <w:t>Benchmark author disclosed commercial participation and grading limitations.</w:t>
            </w:r>
          </w:p>
        </w:tc>
        <w:tc>
          <w:tcPr>
            <w:tcW w:type="dxa" w:w="5328"/>
            <w:vAlign w:val="center"/>
          </w:tcPr>
          <w:p>
            <w:pPr>
              <w:spacing w:after="20"/>
            </w:pPr>
            <w:r/>
            <w:r>
              <w:rPr>
                <w:rFonts w:ascii="Aptos" w:hAnsi="Aptos"/>
                <w:b w:val="0"/>
                <w:sz w:val="16"/>
              </w:rPr>
              <w:t>Run our own reproducible test suite and make raw evidence available.</w:t>
            </w:r>
          </w:p>
        </w:tc>
      </w:tr>
    </w:tbl>
    <w:p>
      <w:pPr>
        <w:spacing w:after="20"/>
      </w:pPr>
    </w:p>
    <w:p>
      <w:pPr>
        <w:pStyle w:val="Heading2"/>
      </w:pPr>
      <w:r>
        <w:t>9.3 Competitive baseline, not a promise</w:t>
      </w:r>
    </w:p>
    <w:p>
      <w:r>
        <w:t>The sources show that QueryPilot is entering a mature and active category. Commercial products already offer natural-language analysis, visualization, governed data context, reusable definitions, and evaluation-oriented features. Therefore, simply having a chat box, generating SQL, drawing charts, or using a local model is not enough to establish superiority.</w:t>
      </w:r>
    </w:p>
    <w:p>
      <w:r>
        <w:t>A defensible differentiator is a measured workflow specifically designed for unfamiliar/messy schemas: schema exploration, ambiguity detection, identity and join validation, safe execution, evidence-linked results, honest uncertainty, and transparent benchmark reports.</w:t>
      </w:r>
    </w:p>
    <w:p>
      <w:pPr>
        <w:pStyle w:val="Heading1"/>
      </w:pPr>
      <w:r>
        <w:t>10. Differentiation Strategy: How QueryPilot Can Compete</w:t>
      </w:r>
    </w:p>
    <w:p>
      <w:r>
        <w:t>The following are recommended differentiators. They become defensible only when implemented and supported by benchmark evidence.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88"/>
            <w:vAlign w:val="center"/>
            <w:shd w:fill="202A44"/>
          </w:tcPr>
          <w:p>
            <w:pPr>
              <w:spacing w:after="20"/>
            </w:pPr>
            <w:r/>
            <w:r>
              <w:rPr>
                <w:rFonts w:ascii="Aptos" w:hAnsi="Aptos"/>
                <w:b/>
                <w:color w:val="FFFFFF"/>
                <w:sz w:val="14"/>
              </w:rPr>
              <w:t>Differentiator</w:t>
            </w:r>
          </w:p>
        </w:tc>
        <w:tc>
          <w:tcPr>
            <w:tcW w:type="dxa" w:w="4824"/>
            <w:vAlign w:val="center"/>
            <w:shd w:fill="202A44"/>
          </w:tcPr>
          <w:p>
            <w:pPr>
              <w:spacing w:after="20"/>
            </w:pPr>
            <w:r/>
            <w:r>
              <w:rPr>
                <w:rFonts w:ascii="Aptos" w:hAnsi="Aptos"/>
                <w:b/>
                <w:color w:val="FFFFFF"/>
                <w:sz w:val="14"/>
              </w:rPr>
              <w:t>Implementation proposal</w:t>
            </w:r>
          </w:p>
        </w:tc>
        <w:tc>
          <w:tcPr>
            <w:tcW w:type="dxa" w:w="3384"/>
            <w:vAlign w:val="center"/>
            <w:shd w:fill="202A44"/>
          </w:tcPr>
          <w:p>
            <w:pPr>
              <w:spacing w:after="20"/>
            </w:pPr>
            <w:r/>
            <w:r>
              <w:rPr>
                <w:rFonts w:ascii="Aptos" w:hAnsi="Aptos"/>
                <w:b/>
                <w:color w:val="FFFFFF"/>
                <w:sz w:val="14"/>
              </w:rPr>
              <w:t>Proof required</w:t>
            </w:r>
          </w:p>
        </w:tc>
      </w:tr>
      <w:tr>
        <w:trPr>
          <w:cantSplit/>
        </w:trPr>
        <w:tc>
          <w:tcPr>
            <w:tcW w:type="dxa" w:w="2088"/>
            <w:vAlign w:val="center"/>
          </w:tcPr>
          <w:p>
            <w:pPr>
              <w:spacing w:after="20"/>
            </w:pPr>
            <w:r/>
            <w:r>
              <w:rPr>
                <w:rFonts w:ascii="Aptos" w:hAnsi="Aptos"/>
                <w:b w:val="0"/>
                <w:sz w:val="14"/>
              </w:rPr>
              <w:t>Messy-schema reconnaissance</w:t>
            </w:r>
          </w:p>
        </w:tc>
        <w:tc>
          <w:tcPr>
            <w:tcW w:type="dxa" w:w="4824"/>
            <w:vAlign w:val="center"/>
          </w:tcPr>
          <w:p>
            <w:pPr>
              <w:spacing w:after="20"/>
            </w:pPr>
            <w:r/>
            <w:r>
              <w:rPr>
                <w:rFonts w:ascii="Aptos" w:hAnsi="Aptos"/>
                <w:b w:val="0"/>
                <w:sz w:val="14"/>
              </w:rPr>
              <w:t>Profile columns, sample distributions safely, inspect keys, infer candidate joins, identify weak/ambiguous relationships.</w:t>
            </w:r>
          </w:p>
        </w:tc>
        <w:tc>
          <w:tcPr>
            <w:tcW w:type="dxa" w:w="3384"/>
            <w:vAlign w:val="center"/>
          </w:tcPr>
          <w:p>
            <w:pPr>
              <w:spacing w:after="20"/>
            </w:pPr>
            <w:r/>
            <w:r>
              <w:rPr>
                <w:rFonts w:ascii="Aptos" w:hAnsi="Aptos"/>
                <w:b w:val="0"/>
                <w:sz w:val="14"/>
              </w:rPr>
              <w:t>Ablation showing accuracy improvement with reconnaissance on messy cases.</w:t>
            </w:r>
          </w:p>
        </w:tc>
      </w:tr>
      <w:tr>
        <w:trPr>
          <w:cantSplit/>
        </w:trPr>
        <w:tc>
          <w:tcPr>
            <w:tcW w:type="dxa" w:w="2088"/>
            <w:vAlign w:val="center"/>
            <w:shd w:fill="F3F5F8"/>
          </w:tcPr>
          <w:p>
            <w:pPr>
              <w:spacing w:after="20"/>
            </w:pPr>
            <w:r/>
            <w:r>
              <w:rPr>
                <w:rFonts w:ascii="Aptos" w:hAnsi="Aptos"/>
                <w:b w:val="0"/>
                <w:sz w:val="14"/>
              </w:rPr>
              <w:t>Join-risk detection</w:t>
            </w:r>
          </w:p>
        </w:tc>
        <w:tc>
          <w:tcPr>
            <w:tcW w:type="dxa" w:w="4824"/>
            <w:vAlign w:val="center"/>
            <w:shd w:fill="F3F5F8"/>
          </w:tcPr>
          <w:p>
            <w:pPr>
              <w:spacing w:after="20"/>
            </w:pPr>
            <w:r/>
            <w:r>
              <w:rPr>
                <w:rFonts w:ascii="Aptos" w:hAnsi="Aptos"/>
                <w:b w:val="0"/>
                <w:sz w:val="14"/>
              </w:rPr>
              <w:t>Estimate fan-out, detect duplicate keys, compare row counts before/after joins, warn about potential double-counting.</w:t>
            </w:r>
          </w:p>
        </w:tc>
        <w:tc>
          <w:tcPr>
            <w:tcW w:type="dxa" w:w="3384"/>
            <w:vAlign w:val="center"/>
            <w:shd w:fill="F3F5F8"/>
          </w:tcPr>
          <w:p>
            <w:pPr>
              <w:spacing w:after="20"/>
            </w:pPr>
            <w:r/>
            <w:r>
              <w:rPr>
                <w:rFonts w:ascii="Aptos" w:hAnsi="Aptos"/>
                <w:b w:val="0"/>
                <w:sz w:val="14"/>
              </w:rPr>
              <w:t>Cases where naive joins fail and QueryPilot detects or avoids the error.</w:t>
            </w:r>
          </w:p>
        </w:tc>
      </w:tr>
      <w:tr>
        <w:trPr>
          <w:cantSplit/>
        </w:trPr>
        <w:tc>
          <w:tcPr>
            <w:tcW w:type="dxa" w:w="2088"/>
            <w:vAlign w:val="center"/>
          </w:tcPr>
          <w:p>
            <w:pPr>
              <w:spacing w:after="20"/>
            </w:pPr>
            <w:r/>
            <w:r>
              <w:rPr>
                <w:rFonts w:ascii="Aptos" w:hAnsi="Aptos"/>
                <w:b w:val="0"/>
                <w:sz w:val="14"/>
              </w:rPr>
              <w:t>Metric/definition ledger</w:t>
            </w:r>
          </w:p>
        </w:tc>
        <w:tc>
          <w:tcPr>
            <w:tcW w:type="dxa" w:w="4824"/>
            <w:vAlign w:val="center"/>
          </w:tcPr>
          <w:p>
            <w:pPr>
              <w:spacing w:after="20"/>
            </w:pPr>
            <w:r/>
            <w:r>
              <w:rPr>
                <w:rFonts w:ascii="Aptos" w:hAnsi="Aptos"/>
                <w:b w:val="0"/>
                <w:sz w:val="14"/>
              </w:rPr>
              <w:t>Record definitions such as active customer, net revenue, ARR, refunds, fiscal year, and date basis.</w:t>
            </w:r>
          </w:p>
        </w:tc>
        <w:tc>
          <w:tcPr>
            <w:tcW w:type="dxa" w:w="3384"/>
            <w:vAlign w:val="center"/>
          </w:tcPr>
          <w:p>
            <w:pPr>
              <w:spacing w:after="20"/>
            </w:pPr>
            <w:r/>
            <w:r>
              <w:rPr>
                <w:rFonts w:ascii="Aptos" w:hAnsi="Aptos"/>
                <w:b w:val="0"/>
                <w:sz w:val="14"/>
              </w:rPr>
              <w:t>Consistent results across paraphrases and follow-ups; user-editable definitions.</w:t>
            </w:r>
          </w:p>
        </w:tc>
      </w:tr>
      <w:tr>
        <w:trPr>
          <w:cantSplit/>
        </w:trPr>
        <w:tc>
          <w:tcPr>
            <w:tcW w:type="dxa" w:w="2088"/>
            <w:vAlign w:val="center"/>
            <w:shd w:fill="F3F5F8"/>
          </w:tcPr>
          <w:p>
            <w:pPr>
              <w:spacing w:after="20"/>
            </w:pPr>
            <w:r/>
            <w:r>
              <w:rPr>
                <w:rFonts w:ascii="Aptos" w:hAnsi="Aptos"/>
                <w:b w:val="0"/>
                <w:sz w:val="14"/>
              </w:rPr>
              <w:t>Clarification-first reasoning</w:t>
            </w:r>
          </w:p>
        </w:tc>
        <w:tc>
          <w:tcPr>
            <w:tcW w:type="dxa" w:w="4824"/>
            <w:vAlign w:val="center"/>
            <w:shd w:fill="F3F5F8"/>
          </w:tcPr>
          <w:p>
            <w:pPr>
              <w:spacing w:after="20"/>
            </w:pPr>
            <w:r/>
            <w:r>
              <w:rPr>
                <w:rFonts w:ascii="Aptos" w:hAnsi="Aptos"/>
                <w:b w:val="0"/>
                <w:sz w:val="14"/>
              </w:rPr>
              <w:t>Ask only when interpretations materially change the result; otherwise disclose assumptions.</w:t>
            </w:r>
          </w:p>
        </w:tc>
        <w:tc>
          <w:tcPr>
            <w:tcW w:type="dxa" w:w="3384"/>
            <w:vAlign w:val="center"/>
            <w:shd w:fill="F3F5F8"/>
          </w:tcPr>
          <w:p>
            <w:pPr>
              <w:spacing w:after="20"/>
            </w:pPr>
            <w:r/>
            <w:r>
              <w:rPr>
                <w:rFonts w:ascii="Aptos" w:hAnsi="Aptos"/>
                <w:b w:val="0"/>
                <w:sz w:val="14"/>
              </w:rPr>
              <w:t>Precision/recall of clarification behavior on a labeled ambiguity set.</w:t>
            </w:r>
          </w:p>
        </w:tc>
      </w:tr>
      <w:tr>
        <w:trPr>
          <w:cantSplit/>
        </w:trPr>
        <w:tc>
          <w:tcPr>
            <w:tcW w:type="dxa" w:w="2088"/>
            <w:vAlign w:val="center"/>
          </w:tcPr>
          <w:p>
            <w:pPr>
              <w:spacing w:after="20"/>
            </w:pPr>
            <w:r/>
            <w:r>
              <w:rPr>
                <w:rFonts w:ascii="Aptos" w:hAnsi="Aptos"/>
                <w:b w:val="0"/>
                <w:sz w:val="14"/>
              </w:rPr>
              <w:t>Evidence-linked answers</w:t>
            </w:r>
          </w:p>
        </w:tc>
        <w:tc>
          <w:tcPr>
            <w:tcW w:type="dxa" w:w="4824"/>
            <w:vAlign w:val="center"/>
          </w:tcPr>
          <w:p>
            <w:pPr>
              <w:spacing w:after="20"/>
            </w:pPr>
            <w:r/>
            <w:r>
              <w:rPr>
                <w:rFonts w:ascii="Aptos" w:hAnsi="Aptos"/>
                <w:b w:val="0"/>
                <w:sz w:val="14"/>
              </w:rPr>
              <w:t>Show query, filters, selected tables, row counts, result-derived facts, and caveats.</w:t>
            </w:r>
          </w:p>
        </w:tc>
        <w:tc>
          <w:tcPr>
            <w:tcW w:type="dxa" w:w="3384"/>
            <w:vAlign w:val="center"/>
          </w:tcPr>
          <w:p>
            <w:pPr>
              <w:spacing w:after="20"/>
            </w:pPr>
            <w:r/>
            <w:r>
              <w:rPr>
                <w:rFonts w:ascii="Aptos" w:hAnsi="Aptos"/>
                <w:b w:val="0"/>
                <w:sz w:val="14"/>
              </w:rPr>
              <w:t>Narrative numbers reconcile automatically to the result table.</w:t>
            </w:r>
          </w:p>
        </w:tc>
      </w:tr>
      <w:tr>
        <w:trPr>
          <w:cantSplit/>
        </w:trPr>
        <w:tc>
          <w:tcPr>
            <w:tcW w:type="dxa" w:w="2088"/>
            <w:vAlign w:val="center"/>
            <w:shd w:fill="F3F5F8"/>
          </w:tcPr>
          <w:p>
            <w:pPr>
              <w:spacing w:after="20"/>
            </w:pPr>
            <w:r/>
            <w:r>
              <w:rPr>
                <w:rFonts w:ascii="Aptos" w:hAnsi="Aptos"/>
                <w:b w:val="0"/>
                <w:sz w:val="14"/>
              </w:rPr>
              <w:t>Safety by construction</w:t>
            </w:r>
          </w:p>
        </w:tc>
        <w:tc>
          <w:tcPr>
            <w:tcW w:type="dxa" w:w="4824"/>
            <w:vAlign w:val="center"/>
            <w:shd w:fill="F3F5F8"/>
          </w:tcPr>
          <w:p>
            <w:pPr>
              <w:spacing w:after="20"/>
            </w:pPr>
            <w:r/>
            <w:r>
              <w:rPr>
                <w:rFonts w:ascii="Aptos" w:hAnsi="Aptos"/>
                <w:b w:val="0"/>
                <w:sz w:val="14"/>
              </w:rPr>
              <w:t>Read-only database account, explicit SQL/object allowlists, statement timeout, row limits, adversarial test suite.</w:t>
            </w:r>
          </w:p>
        </w:tc>
        <w:tc>
          <w:tcPr>
            <w:tcW w:type="dxa" w:w="3384"/>
            <w:vAlign w:val="center"/>
            <w:shd w:fill="F3F5F8"/>
          </w:tcPr>
          <w:p>
            <w:pPr>
              <w:spacing w:after="20"/>
            </w:pPr>
            <w:r/>
            <w:r>
              <w:rPr>
                <w:rFonts w:ascii="Aptos" w:hAnsi="Aptos"/>
                <w:b w:val="0"/>
                <w:sz w:val="14"/>
              </w:rPr>
              <w:t>Zero unsafe executions in repeatable tests; independent review where feasible.</w:t>
            </w:r>
          </w:p>
        </w:tc>
      </w:tr>
      <w:tr>
        <w:trPr>
          <w:cantSplit/>
        </w:trPr>
        <w:tc>
          <w:tcPr>
            <w:tcW w:type="dxa" w:w="2088"/>
            <w:vAlign w:val="center"/>
          </w:tcPr>
          <w:p>
            <w:pPr>
              <w:spacing w:after="20"/>
            </w:pPr>
            <w:r/>
            <w:r>
              <w:rPr>
                <w:rFonts w:ascii="Aptos" w:hAnsi="Aptos"/>
                <w:b w:val="0"/>
                <w:sz w:val="14"/>
              </w:rPr>
              <w:t>Evaluation transparency</w:t>
            </w:r>
          </w:p>
        </w:tc>
        <w:tc>
          <w:tcPr>
            <w:tcW w:type="dxa" w:w="4824"/>
            <w:vAlign w:val="center"/>
          </w:tcPr>
          <w:p>
            <w:pPr>
              <w:spacing w:after="20"/>
            </w:pPr>
            <w:r/>
            <w:r>
              <w:rPr>
                <w:rFonts w:ascii="Aptos" w:hAnsi="Aptos"/>
                <w:b w:val="0"/>
                <w:sz w:val="14"/>
              </w:rPr>
              <w:t>Per-case expected/actual values, failure classes, run IDs, model/config versions, latency distribution.</w:t>
            </w:r>
          </w:p>
        </w:tc>
        <w:tc>
          <w:tcPr>
            <w:tcW w:type="dxa" w:w="3384"/>
            <w:vAlign w:val="center"/>
          </w:tcPr>
          <w:p>
            <w:pPr>
              <w:spacing w:after="20"/>
            </w:pPr>
            <w:r/>
            <w:r>
              <w:rPr>
                <w:rFonts w:ascii="Aptos" w:hAnsi="Aptos"/>
                <w:b w:val="0"/>
                <w:sz w:val="14"/>
              </w:rPr>
              <w:t>One-click reproducible benchmark report; no metrics without a source run.</w:t>
            </w:r>
          </w:p>
        </w:tc>
      </w:tr>
      <w:tr>
        <w:trPr>
          <w:cantSplit/>
        </w:trPr>
        <w:tc>
          <w:tcPr>
            <w:tcW w:type="dxa" w:w="2088"/>
            <w:vAlign w:val="center"/>
            <w:shd w:fill="F3F5F8"/>
          </w:tcPr>
          <w:p>
            <w:pPr>
              <w:spacing w:after="20"/>
            </w:pPr>
            <w:r/>
            <w:r>
              <w:rPr>
                <w:rFonts w:ascii="Aptos" w:hAnsi="Aptos"/>
                <w:b w:val="0"/>
                <w:sz w:val="14"/>
              </w:rPr>
              <w:t>Local/private deployment option</w:t>
            </w:r>
          </w:p>
        </w:tc>
        <w:tc>
          <w:tcPr>
            <w:tcW w:type="dxa" w:w="4824"/>
            <w:vAlign w:val="center"/>
            <w:shd w:fill="F3F5F8"/>
          </w:tcPr>
          <w:p>
            <w:pPr>
              <w:spacing w:after="20"/>
            </w:pPr>
            <w:r/>
            <w:r>
              <w:rPr>
                <w:rFonts w:ascii="Aptos" w:hAnsi="Aptos"/>
                <w:b w:val="0"/>
                <w:sz w:val="14"/>
              </w:rPr>
              <w:t>Keep data and model local where practical; document hardware and model limitations.</w:t>
            </w:r>
          </w:p>
        </w:tc>
        <w:tc>
          <w:tcPr>
            <w:tcW w:type="dxa" w:w="3384"/>
            <w:vAlign w:val="center"/>
            <w:shd w:fill="F3F5F8"/>
          </w:tcPr>
          <w:p>
            <w:pPr>
              <w:spacing w:after="20"/>
            </w:pPr>
            <w:r/>
            <w:r>
              <w:rPr>
                <w:rFonts w:ascii="Aptos" w:hAnsi="Aptos"/>
                <w:b w:val="0"/>
                <w:sz w:val="14"/>
              </w:rPr>
              <w:t>Demonstrate offline/local operation and show no unexpected outbound data transfer.</w:t>
            </w:r>
          </w:p>
        </w:tc>
      </w:tr>
      <w:tr>
        <w:trPr>
          <w:cantSplit/>
        </w:trPr>
        <w:tc>
          <w:tcPr>
            <w:tcW w:type="dxa" w:w="2088"/>
            <w:vAlign w:val="center"/>
          </w:tcPr>
          <w:p>
            <w:pPr>
              <w:spacing w:after="20"/>
            </w:pPr>
            <w:r/>
            <w:r>
              <w:rPr>
                <w:rFonts w:ascii="Aptos" w:hAnsi="Aptos"/>
                <w:b w:val="0"/>
                <w:sz w:val="14"/>
              </w:rPr>
              <w:t>Self-correction with guardrails</w:t>
            </w:r>
          </w:p>
        </w:tc>
        <w:tc>
          <w:tcPr>
            <w:tcW w:type="dxa" w:w="4824"/>
            <w:vAlign w:val="center"/>
          </w:tcPr>
          <w:p>
            <w:pPr>
              <w:spacing w:after="20"/>
            </w:pPr>
            <w:r/>
            <w:r>
              <w:rPr>
                <w:rFonts w:ascii="Aptos" w:hAnsi="Aptos"/>
                <w:b w:val="0"/>
                <w:sz w:val="14"/>
              </w:rPr>
              <w:t>On SQL errors, allow bounded repair attempts; re-validate every candidate query and cap retries.</w:t>
            </w:r>
          </w:p>
        </w:tc>
        <w:tc>
          <w:tcPr>
            <w:tcW w:type="dxa" w:w="3384"/>
            <w:vAlign w:val="center"/>
          </w:tcPr>
          <w:p>
            <w:pPr>
              <w:spacing w:after="20"/>
            </w:pPr>
            <w:r/>
            <w:r>
              <w:rPr>
                <w:rFonts w:ascii="Aptos" w:hAnsi="Aptos"/>
                <w:b w:val="0"/>
                <w:sz w:val="14"/>
              </w:rPr>
              <w:t>Ablation on error-recovery cases; no policy bypass or unbounded loops.</w:t>
            </w:r>
          </w:p>
        </w:tc>
      </w:tr>
    </w:tbl>
    <w:p>
      <w:pPr>
        <w:spacing w:after="20"/>
      </w:pPr>
    </w:p>
    <w:p>
      <w:pPr>
        <w:pStyle w:val="Heading2"/>
      </w:pPr>
      <w:r>
        <w:t>10.1 Recommended unique feature: Join Integrity Guard</w:t>
      </w:r>
    </w:p>
    <w:p>
      <w:r>
        <w:t>A high-value differentiator is a deterministic Join Integrity Guard that runs before or after query execution. It should detect likely many-to-many fan-out, duplicate keys, unexpectedly inflated counts, and metric totals that change materially when a join is introduced. The guard should not silently “fix” the query; it should explain the risk, try a safe alternative when justified, or ask the user to clarify.</w:t>
      </w:r>
    </w:p>
    <w:p>
      <w:pPr>
        <w:pStyle w:val="Heading2"/>
      </w:pPr>
      <w:r>
        <w:t>10.2 Recommended unique feature: Evidence Ledger</w:t>
      </w:r>
    </w:p>
    <w:p>
      <w:r>
        <w:t>Each answer should carry an evidence record: question, chosen metric definition, tables/columns used, date filters, generated SQL hash, policy result, execution timestamp, row count, result digest or bounded evidence, assumptions, and benchmark trace where applicable. This makes an answer auditable without exposing sensitive data.</w:t>
      </w:r>
    </w:p>
    <w:p>
      <w:pPr>
        <w:pStyle w:val="Heading2"/>
      </w:pPr>
      <w:r>
        <w:t>10.3 Recommended demo scenario</w:t>
      </w:r>
    </w:p>
    <w:p>
      <w:r>
        <w:t>Build a deliberately messy demo database with customer records across CRM and billing tables, inconsistent IDs, duplicate companies, cancelled subscriptions, refunds, missing descriptions, and conflicting date fields. Ask a question where a naive join produces the wrong answer. Show QueryPilot detecting the join risk, explaining its chosen definition, asking a clarification if needed, executing a safe query, and linking the final number to evidence. Then run the same task against a baseline and report the result under the same rubric.</w:t>
      </w:r>
    </w:p>
    <w:tbl>
      <w:tblPr>
        <w:tblStyle w:val="TableGrid"/>
        <w:tblW w:type="auto" w:w="0"/>
        <w:tblLook w:firstColumn="1" w:firstRow="1" w:lastColumn="0" w:lastRow="0" w:noHBand="0" w:noVBand="1" w:val="04A0"/>
      </w:tblPr>
      <w:tblGrid>
        <w:gridCol w:w="9994"/>
      </w:tblGrid>
      <w:tr>
        <w:trPr>
          <w:cantSplit/>
        </w:trPr>
        <w:tc>
          <w:tcPr>
            <w:tcW w:type="dxa" w:w="9994"/>
            <w:shd w:fill="EAF5EE"/>
          </w:tcPr>
          <w:p>
            <w:r/>
            <w:r>
              <w:rPr>
                <w:b/>
                <w:color w:val="202A44"/>
                <w:sz w:val="20"/>
              </w:rPr>
              <w:t>Winning strategy</w:t>
              <w:br/>
            </w:r>
            <w:r>
              <w:rPr>
                <w:sz w:val="18"/>
              </w:rPr>
              <w:t>A smaller number of demonstrably correct, auditable workflows is more convincing than a broad feature list with unverified metrics. The judge should see a real failure mode, the system's detection/recovery, and benchmark evidence that the improvement is repeatable.</w:t>
            </w:r>
          </w:p>
        </w:tc>
      </w:tr>
    </w:tbl>
    <w:p>
      <w:pPr>
        <w:spacing w:after="20"/>
      </w:pPr>
    </w:p>
    <w:p>
      <w:pPr>
        <w:pStyle w:val="Heading1"/>
      </w:pPr>
      <w:r>
        <w:t>11. Risks, Roadmap, and Release Gates</w:t>
      </w:r>
    </w:p>
    <w:tbl>
      <w:tblPr>
        <w:tblStyle w:val="TableGrid"/>
        <w:tblW w:type="auto" w:w="0"/>
        <w:jc w:val="center"/>
        <w:tblLook w:firstColumn="1" w:firstRow="1" w:lastColumn="0" w:lastRow="0" w:noHBand="0" w:noVBand="1" w:val="04A0"/>
      </w:tblPr>
      <w:tblGrid>
        <w:gridCol w:w="4997"/>
        <w:gridCol w:w="4997"/>
      </w:tblGrid>
      <w:tr>
        <w:trPr>
          <w:cantSplit/>
        </w:trPr>
        <w:tc>
          <w:tcPr>
            <w:tcW w:type="dxa" w:w="3240"/>
            <w:vAlign w:val="center"/>
            <w:shd w:fill="202A44"/>
          </w:tcPr>
          <w:p>
            <w:pPr>
              <w:spacing w:after="20"/>
            </w:pPr>
            <w:r/>
            <w:r>
              <w:rPr>
                <w:rFonts w:ascii="Aptos" w:hAnsi="Aptos"/>
                <w:b/>
                <w:color w:val="FFFFFF"/>
                <w:sz w:val="16"/>
              </w:rPr>
              <w:t>Risk</w:t>
            </w:r>
          </w:p>
        </w:tc>
        <w:tc>
          <w:tcPr>
            <w:tcW w:type="dxa" w:w="7200"/>
            <w:vAlign w:val="center"/>
            <w:shd w:fill="202A44"/>
          </w:tcPr>
          <w:p>
            <w:pPr>
              <w:spacing w:after="20"/>
            </w:pPr>
            <w:r/>
            <w:r>
              <w:rPr>
                <w:rFonts w:ascii="Aptos" w:hAnsi="Aptos"/>
                <w:b/>
                <w:color w:val="FFFFFF"/>
                <w:sz w:val="16"/>
              </w:rPr>
              <w:t>Mitigation</w:t>
            </w:r>
          </w:p>
        </w:tc>
      </w:tr>
      <w:tr>
        <w:trPr>
          <w:cantSplit/>
        </w:trPr>
        <w:tc>
          <w:tcPr>
            <w:tcW w:type="dxa" w:w="3240"/>
            <w:vAlign w:val="center"/>
          </w:tcPr>
          <w:p>
            <w:pPr>
              <w:spacing w:after="20"/>
            </w:pPr>
            <w:r/>
            <w:r>
              <w:rPr>
                <w:rFonts w:ascii="Aptos" w:hAnsi="Aptos"/>
                <w:b w:val="0"/>
                <w:sz w:val="16"/>
              </w:rPr>
              <w:t>Wrong joins or double-counting</w:t>
            </w:r>
          </w:p>
        </w:tc>
        <w:tc>
          <w:tcPr>
            <w:tcW w:type="dxa" w:w="7200"/>
            <w:vAlign w:val="center"/>
          </w:tcPr>
          <w:p>
            <w:pPr>
              <w:spacing w:after="20"/>
            </w:pPr>
            <w:r/>
            <w:r>
              <w:rPr>
                <w:rFonts w:ascii="Aptos" w:hAnsi="Aptos"/>
                <w:b w:val="0"/>
                <w:sz w:val="16"/>
              </w:rPr>
              <w:t>Join Integrity Guard, duplicate-key profiling, regression fixtures</w:t>
            </w:r>
          </w:p>
        </w:tc>
      </w:tr>
      <w:tr>
        <w:trPr>
          <w:cantSplit/>
        </w:trPr>
        <w:tc>
          <w:tcPr>
            <w:tcW w:type="dxa" w:w="3240"/>
            <w:vAlign w:val="center"/>
            <w:shd w:fill="F3F5F8"/>
          </w:tcPr>
          <w:p>
            <w:pPr>
              <w:spacing w:after="20"/>
            </w:pPr>
            <w:r/>
            <w:r>
              <w:rPr>
                <w:rFonts w:ascii="Aptos" w:hAnsi="Aptos"/>
                <w:b w:val="0"/>
                <w:sz w:val="16"/>
              </w:rPr>
              <w:t>Ambiguous business definitions</w:t>
            </w:r>
          </w:p>
        </w:tc>
        <w:tc>
          <w:tcPr>
            <w:tcW w:type="dxa" w:w="7200"/>
            <w:vAlign w:val="center"/>
            <w:shd w:fill="F3F5F8"/>
          </w:tcPr>
          <w:p>
            <w:pPr>
              <w:spacing w:after="20"/>
            </w:pPr>
            <w:r/>
            <w:r>
              <w:rPr>
                <w:rFonts w:ascii="Aptos" w:hAnsi="Aptos"/>
                <w:b w:val="0"/>
                <w:sz w:val="16"/>
              </w:rPr>
              <w:t>Clarification workflow, metric ledger, assumption disclosure</w:t>
            </w:r>
          </w:p>
        </w:tc>
      </w:tr>
      <w:tr>
        <w:trPr>
          <w:cantSplit/>
        </w:trPr>
        <w:tc>
          <w:tcPr>
            <w:tcW w:type="dxa" w:w="3240"/>
            <w:vAlign w:val="center"/>
          </w:tcPr>
          <w:p>
            <w:pPr>
              <w:spacing w:after="20"/>
            </w:pPr>
            <w:r/>
            <w:r>
              <w:rPr>
                <w:rFonts w:ascii="Aptos" w:hAnsi="Aptos"/>
                <w:b w:val="0"/>
                <w:sz w:val="16"/>
              </w:rPr>
              <w:t>Unsafe SQL / prompt injection</w:t>
            </w:r>
          </w:p>
        </w:tc>
        <w:tc>
          <w:tcPr>
            <w:tcW w:type="dxa" w:w="7200"/>
            <w:vAlign w:val="center"/>
          </w:tcPr>
          <w:p>
            <w:pPr>
              <w:spacing w:after="20"/>
            </w:pPr>
            <w:r/>
            <w:r>
              <w:rPr>
                <w:rFonts w:ascii="Aptos" w:hAnsi="Aptos"/>
                <w:b w:val="0"/>
                <w:sz w:val="16"/>
              </w:rPr>
              <w:t>Read-only credentials, backend policy, allowlists, adversarial tests</w:t>
            </w:r>
          </w:p>
        </w:tc>
      </w:tr>
      <w:tr>
        <w:trPr>
          <w:cantSplit/>
        </w:trPr>
        <w:tc>
          <w:tcPr>
            <w:tcW w:type="dxa" w:w="3240"/>
            <w:vAlign w:val="center"/>
            <w:shd w:fill="F3F5F8"/>
          </w:tcPr>
          <w:p>
            <w:pPr>
              <w:spacing w:after="20"/>
            </w:pPr>
            <w:r/>
            <w:r>
              <w:rPr>
                <w:rFonts w:ascii="Aptos" w:hAnsi="Aptos"/>
                <w:b w:val="0"/>
                <w:sz w:val="16"/>
              </w:rPr>
              <w:t>Hallucinated narrative</w:t>
            </w:r>
          </w:p>
        </w:tc>
        <w:tc>
          <w:tcPr>
            <w:tcW w:type="dxa" w:w="7200"/>
            <w:vAlign w:val="center"/>
            <w:shd w:fill="F3F5F8"/>
          </w:tcPr>
          <w:p>
            <w:pPr>
              <w:spacing w:after="20"/>
            </w:pPr>
            <w:r/>
            <w:r>
              <w:rPr>
                <w:rFonts w:ascii="Aptos" w:hAnsi="Aptos"/>
                <w:b w:val="0"/>
                <w:sz w:val="16"/>
              </w:rPr>
              <w:t>Result-derived summaries, evidence checks, separate observations from causal claims</w:t>
            </w:r>
          </w:p>
        </w:tc>
      </w:tr>
      <w:tr>
        <w:trPr>
          <w:cantSplit/>
        </w:trPr>
        <w:tc>
          <w:tcPr>
            <w:tcW w:type="dxa" w:w="3240"/>
            <w:vAlign w:val="center"/>
          </w:tcPr>
          <w:p>
            <w:pPr>
              <w:spacing w:after="20"/>
            </w:pPr>
            <w:r/>
            <w:r>
              <w:rPr>
                <w:rFonts w:ascii="Aptos" w:hAnsi="Aptos"/>
                <w:b w:val="0"/>
                <w:sz w:val="16"/>
              </w:rPr>
              <w:t>Misleading benchmark UI</w:t>
            </w:r>
          </w:p>
        </w:tc>
        <w:tc>
          <w:tcPr>
            <w:tcW w:type="dxa" w:w="7200"/>
            <w:vAlign w:val="center"/>
          </w:tcPr>
          <w:p>
            <w:pPr>
              <w:spacing w:after="20"/>
            </w:pPr>
            <w:r/>
            <w:r>
              <w:rPr>
                <w:rFonts w:ascii="Aptos" w:hAnsi="Aptos"/>
                <w:b w:val="0"/>
                <w:sz w:val="16"/>
              </w:rPr>
              <w:t>Metrics sourced only from persisted runs; empty state for zero cases</w:t>
            </w:r>
          </w:p>
        </w:tc>
      </w:tr>
      <w:tr>
        <w:trPr>
          <w:cantSplit/>
        </w:trPr>
        <w:tc>
          <w:tcPr>
            <w:tcW w:type="dxa" w:w="3240"/>
            <w:vAlign w:val="center"/>
            <w:shd w:fill="F3F5F8"/>
          </w:tcPr>
          <w:p>
            <w:pPr>
              <w:spacing w:after="20"/>
            </w:pPr>
            <w:r/>
            <w:r>
              <w:rPr>
                <w:rFonts w:ascii="Aptos" w:hAnsi="Aptos"/>
                <w:b w:val="0"/>
                <w:sz w:val="16"/>
              </w:rPr>
              <w:t>Model or schema drift</w:t>
            </w:r>
          </w:p>
        </w:tc>
        <w:tc>
          <w:tcPr>
            <w:tcW w:type="dxa" w:w="7200"/>
            <w:vAlign w:val="center"/>
            <w:shd w:fill="F3F5F8"/>
          </w:tcPr>
          <w:p>
            <w:pPr>
              <w:spacing w:after="20"/>
            </w:pPr>
            <w:r/>
            <w:r>
              <w:rPr>
                <w:rFonts w:ascii="Aptos" w:hAnsi="Aptos"/>
                <w:b w:val="0"/>
                <w:sz w:val="16"/>
              </w:rPr>
              <w:t>Versioned prompts/config, schema refresh, benchmark regression checks</w:t>
            </w:r>
          </w:p>
        </w:tc>
      </w:tr>
      <w:tr>
        <w:trPr>
          <w:cantSplit/>
        </w:trPr>
        <w:tc>
          <w:tcPr>
            <w:tcW w:type="dxa" w:w="3240"/>
            <w:vAlign w:val="center"/>
          </w:tcPr>
          <w:p>
            <w:pPr>
              <w:spacing w:after="20"/>
            </w:pPr>
            <w:r/>
            <w:r>
              <w:rPr>
                <w:rFonts w:ascii="Aptos" w:hAnsi="Aptos"/>
                <w:b w:val="0"/>
                <w:sz w:val="16"/>
              </w:rPr>
              <w:t>Competitor comparison is unfair</w:t>
            </w:r>
          </w:p>
        </w:tc>
        <w:tc>
          <w:tcPr>
            <w:tcW w:type="dxa" w:w="7200"/>
            <w:vAlign w:val="center"/>
          </w:tcPr>
          <w:p>
            <w:pPr>
              <w:spacing w:after="20"/>
            </w:pPr>
            <w:r/>
            <w:r>
              <w:rPr>
                <w:rFonts w:ascii="Aptos" w:hAnsi="Aptos"/>
                <w:b w:val="0"/>
                <w:sz w:val="16"/>
              </w:rPr>
              <w:t>Same DB snapshot, questions, permissions, retry policy, time limits, and rubric</w:t>
            </w:r>
          </w:p>
        </w:tc>
      </w:tr>
    </w:tbl>
    <w:p>
      <w:pPr>
        <w:spacing w:after="20"/>
      </w:pPr>
    </w:p>
    <w:p>
      <w:pPr>
        <w:pStyle w:val="Heading2"/>
      </w:pPr>
      <w:r>
        <w:t>11.1 Suggested roadmap</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00"/>
            <w:vAlign w:val="center"/>
            <w:shd w:fill="202A44"/>
          </w:tcPr>
          <w:p>
            <w:pPr>
              <w:spacing w:after="20"/>
            </w:pPr>
            <w:r/>
            <w:r>
              <w:rPr>
                <w:rFonts w:ascii="Aptos" w:hAnsi="Aptos"/>
                <w:b/>
                <w:color w:val="FFFFFF"/>
                <w:sz w:val="16"/>
              </w:rPr>
              <w:t>Phase</w:t>
            </w:r>
          </w:p>
        </w:tc>
        <w:tc>
          <w:tcPr>
            <w:tcW w:type="dxa" w:w="5328"/>
            <w:vAlign w:val="center"/>
            <w:shd w:fill="202A44"/>
          </w:tcPr>
          <w:p>
            <w:pPr>
              <w:spacing w:after="20"/>
            </w:pPr>
            <w:r/>
            <w:r>
              <w:rPr>
                <w:rFonts w:ascii="Aptos" w:hAnsi="Aptos"/>
                <w:b/>
                <w:color w:val="FFFFFF"/>
                <w:sz w:val="16"/>
              </w:rPr>
              <w:t>Work</w:t>
            </w:r>
          </w:p>
        </w:tc>
        <w:tc>
          <w:tcPr>
            <w:tcW w:type="dxa" w:w="3312"/>
            <w:vAlign w:val="center"/>
            <w:shd w:fill="202A44"/>
          </w:tcPr>
          <w:p>
            <w:pPr>
              <w:spacing w:after="20"/>
            </w:pPr>
            <w:r/>
            <w:r>
              <w:rPr>
                <w:rFonts w:ascii="Aptos" w:hAnsi="Aptos"/>
                <w:b/>
                <w:color w:val="FFFFFF"/>
                <w:sz w:val="16"/>
              </w:rPr>
              <w:t>Exit gate</w:t>
            </w:r>
          </w:p>
        </w:tc>
      </w:tr>
      <w:tr>
        <w:trPr>
          <w:cantSplit/>
        </w:trPr>
        <w:tc>
          <w:tcPr>
            <w:tcW w:type="dxa" w:w="1800"/>
            <w:vAlign w:val="center"/>
          </w:tcPr>
          <w:p>
            <w:pPr>
              <w:spacing w:after="20"/>
            </w:pPr>
            <w:r/>
            <w:r>
              <w:rPr>
                <w:rFonts w:ascii="Aptos" w:hAnsi="Aptos"/>
                <w:b w:val="0"/>
                <w:sz w:val="16"/>
              </w:rPr>
              <w:t>P0 — Verify core</w:t>
            </w:r>
          </w:p>
        </w:tc>
        <w:tc>
          <w:tcPr>
            <w:tcW w:type="dxa" w:w="5328"/>
            <w:vAlign w:val="center"/>
          </w:tcPr>
          <w:p>
            <w:pPr>
              <w:spacing w:after="20"/>
            </w:pPr>
            <w:r/>
            <w:r>
              <w:rPr>
                <w:rFonts w:ascii="Aptos" w:hAnsi="Aptos"/>
                <w:b w:val="0"/>
                <w:sz w:val="16"/>
              </w:rPr>
              <w:t>Audit repository, real DB connection, schema discovery, generation, policy, execution, result UI.</w:t>
            </w:r>
          </w:p>
        </w:tc>
        <w:tc>
          <w:tcPr>
            <w:tcW w:type="dxa" w:w="3312"/>
            <w:vAlign w:val="center"/>
          </w:tcPr>
          <w:p>
            <w:pPr>
              <w:spacing w:after="20"/>
            </w:pPr>
            <w:r/>
            <w:r>
              <w:rPr>
                <w:rFonts w:ascii="Aptos" w:hAnsi="Aptos"/>
                <w:b w:val="0"/>
                <w:sz w:val="16"/>
              </w:rPr>
              <w:t>End-to-end test cases run against actual database.</w:t>
            </w:r>
          </w:p>
        </w:tc>
      </w:tr>
      <w:tr>
        <w:trPr>
          <w:cantSplit/>
        </w:trPr>
        <w:tc>
          <w:tcPr>
            <w:tcW w:type="dxa" w:w="1800"/>
            <w:vAlign w:val="center"/>
            <w:shd w:fill="F3F5F8"/>
          </w:tcPr>
          <w:p>
            <w:pPr>
              <w:spacing w:after="20"/>
            </w:pPr>
            <w:r/>
            <w:r>
              <w:rPr>
                <w:rFonts w:ascii="Aptos" w:hAnsi="Aptos"/>
                <w:b w:val="0"/>
                <w:sz w:val="16"/>
              </w:rPr>
              <w:t>P1 — Benchmark truth</w:t>
            </w:r>
          </w:p>
        </w:tc>
        <w:tc>
          <w:tcPr>
            <w:tcW w:type="dxa" w:w="5328"/>
            <w:vAlign w:val="center"/>
            <w:shd w:fill="F3F5F8"/>
          </w:tcPr>
          <w:p>
            <w:pPr>
              <w:spacing w:after="20"/>
            </w:pPr>
            <w:r/>
            <w:r>
              <w:rPr>
                <w:rFonts w:ascii="Aptos" w:hAnsi="Aptos"/>
                <w:b w:val="0"/>
                <w:sz w:val="16"/>
              </w:rPr>
              <w:t>Run all 31 cases, fix empty benchmark display, persist case-level artifacts.</w:t>
            </w:r>
          </w:p>
        </w:tc>
        <w:tc>
          <w:tcPr>
            <w:tcW w:type="dxa" w:w="3312"/>
            <w:vAlign w:val="center"/>
            <w:shd w:fill="F3F5F8"/>
          </w:tcPr>
          <w:p>
            <w:pPr>
              <w:spacing w:after="20"/>
            </w:pPr>
            <w:r/>
            <w:r>
              <w:rPr>
                <w:rFonts w:ascii="Aptos" w:hAnsi="Aptos"/>
                <w:b w:val="0"/>
                <w:sz w:val="16"/>
              </w:rPr>
              <w:t>Reproducible run with all cases classified.</w:t>
            </w:r>
          </w:p>
        </w:tc>
      </w:tr>
      <w:tr>
        <w:trPr>
          <w:cantSplit/>
        </w:trPr>
        <w:tc>
          <w:tcPr>
            <w:tcW w:type="dxa" w:w="1800"/>
            <w:vAlign w:val="center"/>
          </w:tcPr>
          <w:p>
            <w:pPr>
              <w:spacing w:after="20"/>
            </w:pPr>
            <w:r/>
            <w:r>
              <w:rPr>
                <w:rFonts w:ascii="Aptos" w:hAnsi="Aptos"/>
                <w:b w:val="0"/>
                <w:sz w:val="16"/>
              </w:rPr>
              <w:t>P2 — Messy-schema advantage</w:t>
            </w:r>
          </w:p>
        </w:tc>
        <w:tc>
          <w:tcPr>
            <w:tcW w:type="dxa" w:w="5328"/>
            <w:vAlign w:val="center"/>
          </w:tcPr>
          <w:p>
            <w:pPr>
              <w:spacing w:after="20"/>
            </w:pPr>
            <w:r/>
            <w:r>
              <w:rPr>
                <w:rFonts w:ascii="Aptos" w:hAnsi="Aptos"/>
                <w:b w:val="0"/>
                <w:sz w:val="16"/>
              </w:rPr>
              <w:t>Join Integrity Guard, duplicate-entity cases, clarification and metric definitions.</w:t>
            </w:r>
          </w:p>
        </w:tc>
        <w:tc>
          <w:tcPr>
            <w:tcW w:type="dxa" w:w="3312"/>
            <w:vAlign w:val="center"/>
          </w:tcPr>
          <w:p>
            <w:pPr>
              <w:spacing w:after="20"/>
            </w:pPr>
            <w:r/>
            <w:r>
              <w:rPr>
                <w:rFonts w:ascii="Aptos" w:hAnsi="Aptos"/>
                <w:b w:val="0"/>
                <w:sz w:val="16"/>
              </w:rPr>
              <w:t>Measured improvement against baseline on difficult cases.</w:t>
            </w:r>
          </w:p>
        </w:tc>
      </w:tr>
      <w:tr>
        <w:trPr>
          <w:cantSplit/>
        </w:trPr>
        <w:tc>
          <w:tcPr>
            <w:tcW w:type="dxa" w:w="1800"/>
            <w:vAlign w:val="center"/>
            <w:shd w:fill="F3F5F8"/>
          </w:tcPr>
          <w:p>
            <w:pPr>
              <w:spacing w:after="20"/>
            </w:pPr>
            <w:r/>
            <w:r>
              <w:rPr>
                <w:rFonts w:ascii="Aptos" w:hAnsi="Aptos"/>
                <w:b w:val="0"/>
                <w:sz w:val="16"/>
              </w:rPr>
              <w:t>P3 — Trust and polish</w:t>
            </w:r>
          </w:p>
        </w:tc>
        <w:tc>
          <w:tcPr>
            <w:tcW w:type="dxa" w:w="5328"/>
            <w:vAlign w:val="center"/>
            <w:shd w:fill="F3F5F8"/>
          </w:tcPr>
          <w:p>
            <w:pPr>
              <w:spacing w:after="20"/>
            </w:pPr>
            <w:r/>
            <w:r>
              <w:rPr>
                <w:rFonts w:ascii="Aptos" w:hAnsi="Aptos"/>
                <w:b w:val="0"/>
                <w:sz w:val="16"/>
              </w:rPr>
              <w:t>Evidence Ledger, history/audit, error states, export and health screens.</w:t>
            </w:r>
          </w:p>
        </w:tc>
        <w:tc>
          <w:tcPr>
            <w:tcW w:type="dxa" w:w="3312"/>
            <w:vAlign w:val="center"/>
            <w:shd w:fill="F3F5F8"/>
          </w:tcPr>
          <w:p>
            <w:pPr>
              <w:spacing w:after="20"/>
            </w:pPr>
            <w:r/>
            <w:r>
              <w:rPr>
                <w:rFonts w:ascii="Aptos" w:hAnsi="Aptos"/>
                <w:b w:val="0"/>
                <w:sz w:val="16"/>
              </w:rPr>
              <w:t>Acceptance checklist passes; no placeholder success data.</w:t>
            </w:r>
          </w:p>
        </w:tc>
      </w:tr>
      <w:tr>
        <w:trPr>
          <w:cantSplit/>
        </w:trPr>
        <w:tc>
          <w:tcPr>
            <w:tcW w:type="dxa" w:w="1800"/>
            <w:vAlign w:val="center"/>
          </w:tcPr>
          <w:p>
            <w:pPr>
              <w:spacing w:after="20"/>
            </w:pPr>
            <w:r/>
            <w:r>
              <w:rPr>
                <w:rFonts w:ascii="Aptos" w:hAnsi="Aptos"/>
                <w:b w:val="0"/>
                <w:sz w:val="16"/>
              </w:rPr>
              <w:t>P4 — Competitive validation</w:t>
            </w:r>
          </w:p>
        </w:tc>
        <w:tc>
          <w:tcPr>
            <w:tcW w:type="dxa" w:w="5328"/>
            <w:vAlign w:val="center"/>
          </w:tcPr>
          <w:p>
            <w:pPr>
              <w:spacing w:after="20"/>
            </w:pPr>
            <w:r/>
            <w:r>
              <w:rPr>
                <w:rFonts w:ascii="Aptos" w:hAnsi="Aptos"/>
                <w:b w:val="0"/>
                <w:sz w:val="16"/>
              </w:rPr>
              <w:t>Compare with 2–4 relevant alternatives or public baselines using fixed protocol.</w:t>
            </w:r>
          </w:p>
        </w:tc>
        <w:tc>
          <w:tcPr>
            <w:tcW w:type="dxa" w:w="3312"/>
            <w:vAlign w:val="center"/>
          </w:tcPr>
          <w:p>
            <w:pPr>
              <w:spacing w:after="20"/>
            </w:pPr>
            <w:r/>
            <w:r>
              <w:rPr>
                <w:rFonts w:ascii="Aptos" w:hAnsi="Aptos"/>
                <w:b w:val="0"/>
                <w:sz w:val="16"/>
              </w:rPr>
              <w:t>Publish honest scorecard with limitations.</w:t>
            </w:r>
          </w:p>
        </w:tc>
      </w:tr>
    </w:tbl>
    <w:p>
      <w:pPr>
        <w:spacing w:after="20"/>
      </w:pPr>
    </w:p>
    <w:p>
      <w:pPr>
        <w:pStyle w:val="Heading2"/>
      </w:pPr>
      <w:r>
        <w:t>11.2 Release acceptance checklist</w:t>
      </w:r>
    </w:p>
    <w:p>
      <w:pPr>
        <w:pStyle w:val="ListBullet"/>
        <w:spacing w:after="40"/>
      </w:pPr>
      <w:r>
        <w:t>☐ Real database connection and schema metadata verified.</w:t>
      </w:r>
    </w:p>
    <w:p>
      <w:pPr>
        <w:pStyle w:val="ListBullet"/>
        <w:spacing w:after="40"/>
      </w:pPr>
      <w:r>
        <w:t>☐ Supported natural-language questions execute end-to-end.</w:t>
      </w:r>
    </w:p>
    <w:p>
      <w:pPr>
        <w:pStyle w:val="ListBullet"/>
        <w:spacing w:after="40"/>
      </w:pPr>
      <w:r>
        <w:t>☐ Unsafe SQL is blocked before execution; read-only role verified at database level.</w:t>
      </w:r>
    </w:p>
    <w:p>
      <w:pPr>
        <w:pStyle w:val="ListBullet"/>
        <w:spacing w:after="40"/>
      </w:pPr>
      <w:r>
        <w:t>☐ Timeouts, row limits, empty results, and errors are tested.</w:t>
      </w:r>
    </w:p>
    <w:p>
      <w:pPr>
        <w:pStyle w:val="ListBullet"/>
        <w:spacing w:after="40"/>
      </w:pPr>
      <w:r>
        <w:t>☐ Narrative and charts reconcile with returned data.</w:t>
      </w:r>
    </w:p>
    <w:p>
      <w:pPr>
        <w:pStyle w:val="ListBullet"/>
        <w:spacing w:after="40"/>
      </w:pPr>
      <w:r>
        <w:t>☐ Benchmark shows real run records and case-level evidence.</w:t>
      </w:r>
    </w:p>
    <w:p>
      <w:pPr>
        <w:pStyle w:val="ListBullet"/>
        <w:spacing w:after="40"/>
      </w:pPr>
      <w:r>
        <w:t>☐ All 31 cases are classified; skipped and setup-failed cases are visible.</w:t>
      </w:r>
    </w:p>
    <w:p>
      <w:pPr>
        <w:pStyle w:val="ListBullet"/>
        <w:spacing w:after="40"/>
      </w:pPr>
      <w:r>
        <w:t>☐ Security suite includes adversarial SQL and prompt-injection scenarios.</w:t>
      </w:r>
    </w:p>
    <w:p>
      <w:pPr>
        <w:pStyle w:val="ListBullet"/>
        <w:spacing w:after="40"/>
      </w:pPr>
      <w:r>
        <w:t>☐ Performance is measured with a documented environment and repeat count.</w:t>
      </w:r>
    </w:p>
    <w:p>
      <w:pPr>
        <w:pStyle w:val="ListBullet"/>
        <w:spacing w:after="40"/>
      </w:pPr>
      <w:r>
        <w:t>☐ Competitive claims are limited to tests actually performed.</w:t>
      </w:r>
    </w:p>
    <w:p>
      <w:pPr>
        <w:pStyle w:val="Heading1"/>
      </w:pPr>
      <w:r>
        <w:t>12. Decisions Required</w:t>
      </w:r>
    </w:p>
    <w:p>
      <w:pPr>
        <w:pStyle w:val="ListNumber"/>
        <w:spacing w:after="40"/>
      </w:pPr>
      <w:r>
        <w:t>Provide the official hackathon name and exact problem-statement URL so same-PS submissions, finalists, winners, and judging criteria can be checked accurately.</w:t>
      </w:r>
    </w:p>
    <w:p>
      <w:pPr>
        <w:pStyle w:val="ListNumber"/>
        <w:spacing w:after="40"/>
      </w:pPr>
      <w:r>
        <w:t>Confirm whether the target is only PostgreSQL or whether CSV/Excel and other databases are part of the official PS.</w:t>
      </w:r>
    </w:p>
    <w:p>
      <w:pPr>
        <w:pStyle w:val="ListNumber"/>
        <w:spacing w:after="40"/>
      </w:pPr>
      <w:r>
        <w:t>Confirm deployment constraints: local-only, cloud-hosted, or hybrid.</w:t>
      </w:r>
    </w:p>
    <w:p>
      <w:pPr>
        <w:pStyle w:val="ListNumber"/>
        <w:spacing w:after="40"/>
      </w:pPr>
      <w:r>
        <w:t>Decide whether user-defined semantic definitions are allowed in the benchmark or whether the agent must infer them from raw schemas.</w:t>
      </w:r>
    </w:p>
    <w:p>
      <w:pPr>
        <w:pStyle w:val="ListNumber"/>
        <w:spacing w:after="40"/>
      </w:pPr>
      <w:r>
        <w:t>Define the final scoring rubric: exact semantic correctness, safety, robustness, latency, usability, and reproducibility.</w:t>
      </w:r>
    </w:p>
    <w:p>
      <w:pPr>
        <w:pStyle w:val="ListNumber"/>
        <w:spacing w:after="40"/>
      </w:pPr>
      <w:r>
        <w:t>Capture the actual 31-case benchmark output and repository commit before making accuracy claims.</w:t>
      </w:r>
    </w:p>
    <w:p>
      <w:pPr>
        <w:pStyle w:val="Heading1"/>
      </w:pPr>
      <w:r>
        <w:t>Appendix A. Public Sources</w:t>
      </w:r>
    </w:p>
    <w:p>
      <w:pPr>
        <w:pStyle w:val="ListBullet"/>
      </w:pPr>
      <w:r>
        <w:t xml:space="preserve">Supaboard — AI data analytics benchmark: 9 agents, one messy database (21 Oct 2026). Vendor-commissioned benchmark; disclosures and methodology caveats noted in the document. </w:t>
      </w:r>
      <w:hyperlink r:id="rId11">
        <w:r>
          <w:rPr>
            <w:color w:val="0563C1"/>
            <w:u w:val="single"/>
          </w:rPr>
          <w:t>Open source</w:t>
        </w:r>
      </w:hyperlink>
    </w:p>
    <w:p>
      <w:pPr>
        <w:pStyle w:val="ListBullet"/>
      </w:pPr>
      <w:r>
        <w:t xml:space="preserve">Databricks AI/BI official documentation — Genie Agents, semantic context, monitoring, governance. </w:t>
      </w:r>
      <w:hyperlink r:id="rId12">
        <w:r>
          <w:rPr>
            <w:color w:val="0563C1"/>
            <w:u w:val="single"/>
          </w:rPr>
          <w:t>Open source</w:t>
        </w:r>
      </w:hyperlink>
    </w:p>
    <w:p>
      <w:pPr>
        <w:pStyle w:val="ListBullet"/>
      </w:pPr>
      <w:r>
        <w:t xml:space="preserve">Databricks Genie Agents developer documentation — schema context, synonyms, example SQL, clarification, query execution. </w:t>
      </w:r>
      <w:hyperlink r:id="rId13">
        <w:r>
          <w:rPr>
            <w:color w:val="0563C1"/>
            <w:u w:val="single"/>
          </w:rPr>
          <w:t>Open source</w:t>
        </w:r>
      </w:hyperlink>
    </w:p>
    <w:p>
      <w:pPr>
        <w:pStyle w:val="ListBullet"/>
      </w:pPr>
      <w:r>
        <w:t xml:space="preserve">ThoughtSpot Cloud documentation — Spotter agents and AI-powered analytics. </w:t>
      </w:r>
      <w:hyperlink r:id="rId14">
        <w:r>
          <w:rPr>
            <w:color w:val="0563C1"/>
            <w:u w:val="single"/>
          </w:rPr>
          <w:t>Open source</w:t>
        </w:r>
      </w:hyperlink>
    </w:p>
    <w:p>
      <w:pPr>
        <w:pStyle w:val="ListBullet"/>
      </w:pPr>
      <w:r>
        <w:t xml:space="preserve">Vanna AI documentation — database-connected agents, tool memory, permissions. </w:t>
      </w:r>
      <w:hyperlink r:id="rId15">
        <w:r>
          <w:rPr>
            <w:color w:val="0563C1"/>
            <w:u w:val="single"/>
          </w:rPr>
          <w:t>Open source</w:t>
        </w:r>
      </w:hyperlink>
    </w:p>
    <w:p>
      <w:pPr>
        <w:pStyle w:val="ListBullet"/>
      </w:pPr>
      <w:r>
        <w:t xml:space="preserve">Defog SQLCoder GitHub — natural-language-to-SQL model family and project claims. </w:t>
      </w:r>
      <w:hyperlink r:id="rId16">
        <w:r>
          <w:rPr>
            <w:color w:val="0563C1"/>
            <w:u w:val="single"/>
          </w:rPr>
          <w:t>Open source</w:t>
        </w:r>
      </w:hyperlink>
    </w:p>
    <w:p>
      <w:pPr>
        <w:pStyle w:val="ListBullet"/>
      </w:pPr>
      <w:r>
        <w:t xml:space="preserve">SpectoV National Hackathon AI track — public SNH-AI-02 result; included only to flag a naming collision, not assumed to be the user's PS. </w:t>
      </w:r>
      <w:hyperlink r:id="rId17">
        <w:r>
          <w:rPr>
            <w:color w:val="0563C1"/>
            <w:u w:val="single"/>
          </w:rPr>
          <w:t>Open source</w:t>
        </w:r>
      </w:hyperlink>
    </w:p>
    <w:p>
      <w:pPr>
        <w:pStyle w:val="Heading1"/>
      </w:pPr>
      <w:r>
        <w:t>Appendix B. Research Limitations</w:t>
      </w:r>
    </w:p>
    <w:p>
      <w:r>
        <w:t>This document uses public product documentation and one recent vendor-published benchmark. Public documentation establishes product positioning and described features, not independent performance. The vendor benchmark itself discloses commercial participation and limitations in independent grading. No claim is made that the listed products are official competitors or submissions in the user's exact hackathon. The official event link is required to inspect same-PS projects, winners, and formal judging criteria.</w:t>
      </w:r>
    </w:p>
    <w:p>
      <w:r>
        <w:t>Prepared as a working BRD and competitive strategy document. Update requirements and status after repository inspection, live demonstration, and a reproducible benchmark run.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Confidential working document  •  Version 1.1  •  24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C78"/>
        <w:sz w:val="16"/>
      </w:rPr>
      <w:t>QUERYPILOT AI  |  BUSINESS REQUIREMENTS &amp; COMPETITIVE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4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02A44"/>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E06B3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0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19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oard.ai/blog/ai-data-analytics-benchmark" TargetMode="External"/><Relationship Id="rId12" Type="http://schemas.openxmlformats.org/officeDocument/2006/relationships/hyperlink" Target="https://docs.databricks.com/aws/en/ai-bi" TargetMode="External"/><Relationship Id="rId13" Type="http://schemas.openxmlformats.org/officeDocument/2006/relationships/hyperlink" Target="https://developers.databricks.com/docs/lakehouse/genie" TargetMode="External"/><Relationship Id="rId14" Type="http://schemas.openxmlformats.org/officeDocument/2006/relationships/hyperlink" Target="https://docs.thoughtspot.com/" TargetMode="External"/><Relationship Id="rId15" Type="http://schemas.openxmlformats.org/officeDocument/2006/relationships/hyperlink" Target="https://vanna.ai/docs" TargetMode="External"/><Relationship Id="rId16" Type="http://schemas.openxmlformats.org/officeDocument/2006/relationships/hyperlink" Target="https://github.com/defog-ai/sqlcoder" TargetMode="External"/><Relationship Id="rId17" Type="http://schemas.openxmlformats.org/officeDocument/2006/relationships/hyperlink" Target="https://snh.hiringspectov.com/track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QueryPilot AI — Business Requirements Document and Competitive Analysis</dc:title>
  <dc:subject>BRD, screen requirements, benchmark plan, and competitive landscape for an AI data analyst for messy databases</dc:subject>
  <dc:creator>QueryPilot AI Product Team</dc:creator>
  <cp:keywords>QueryPilot AI, BRD, messy database, natural language to SQL, AI analyst, hackathon</cp:keywords>
  <dc:description>generated by python-docx</dc:description>
  <cp:lastModifiedBy/>
  <cp:revision>1</cp:revision>
  <dcterms:created xsi:type="dcterms:W3CDTF">2013-12-23T23:15:00Z</dcterms:created>
  <dcterms:modified xsi:type="dcterms:W3CDTF">2013-12-23T23:15:00Z</dcterms:modified>
  <cp:category/>
</cp:coreProperties>
</file>