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t xml:space="preserve"/>
      </w:r>
    </w:p>
    <w:p>
      <w:pPr>
        <w:spacing w:after="80" w:before="0"/>
        <w:jc w:val="center"/>
      </w:pPr>
      <w:r>
        <w:rPr>
          <w:rFonts w:ascii="Arial" w:cs="Arial" w:eastAsia="Arial" w:hAnsi="Arial"/>
          <w:sz w:val="80"/>
          <w:szCs w:val="80"/>
        </w:rPr>
        <w:t xml:space="preserve">⚙️</w:t>
      </w:r>
    </w:p>
    <w:p>
      <w:pPr>
        <w:spacing w:after="80" w:before="120"/>
        <w:jc w:val="center"/>
      </w:pPr>
      <w:r>
        <w:rPr>
          <w:rFonts w:ascii="Arial" w:cs="Arial" w:eastAsia="Arial" w:hAnsi="Arial"/>
          <w:b/>
          <w:bCs/>
          <w:color w:val="1E3A5F"/>
          <w:sz w:val="52"/>
          <w:szCs w:val="52"/>
        </w:rPr>
        <w:t xml:space="preserve">IPL SCORE PREDICTION SYSTEM</w:t>
      </w:r>
    </w:p>
    <w:p>
      <w:pPr>
        <w:spacing w:after="80" w:before="80"/>
        <w:jc w:val="center"/>
      </w:pPr>
      <w:r>
        <w:rPr>
          <w:rFonts w:ascii="Arial" w:cs="Arial" w:eastAsia="Arial" w:hAnsi="Arial"/>
          <w:color w:val="2E75B6"/>
          <w:sz w:val="32"/>
          <w:szCs w:val="32"/>
        </w:rPr>
        <w:t xml:space="preserve">Technical Requirements Document (TRD)</w:t>
      </w:r>
    </w:p>
    <w:p>
      <w:pPr>
        <w:pBdr>
          <w:bottom w:val="single" w:color="2E75B6" w:sz="6" w:space="4"/>
        </w:pBdr>
        <w:spacing w:after="40" w:before="40"/>
        <w:jc w:val="center"/>
      </w:pPr>
      <w:r>
        <w:rPr>
          <w:rFonts w:ascii="Arial" w:cs="Arial" w:eastAsia="Arial" w:hAnsi="Arial"/>
          <w:sz w:val="22"/>
          <w:szCs w:val="22"/>
        </w:rPr>
        <w:t xml:space="preserve"> </w:t>
      </w:r>
    </w:p>
    <w:p>
      <w:pPr>
        <w:spacing w:after="0" w:before="160"/>
      </w:pPr>
      <w:r>
        <w:t xml:space="preserve"/>
      </w:r>
    </w:p>
    <w:p>
      <w:pPr>
        <w:spacing w:after="60" w:before="80"/>
        <w:jc w:val="center"/>
      </w:pPr>
      <w:r>
        <w:rPr>
          <w:rFonts w:ascii="Arial" w:cs="Arial" w:eastAsia="Arial" w:hAnsi="Arial"/>
          <w:color w:val="555555"/>
          <w:sz w:val="24"/>
          <w:szCs w:val="24"/>
        </w:rPr>
        <w:t xml:space="preserve">Version 1.0  •  March 2025</w:t>
      </w:r>
    </w:p>
    <w:p>
      <w:pPr>
        <w:jc w:val="center"/>
      </w:pPr>
      <w:r>
        <w:rPr>
          <w:rFonts w:ascii="Arial" w:cs="Arial" w:eastAsia="Arial" w:hAnsi="Arial"/>
          <w:color w:val="777777"/>
          <w:sz w:val="22"/>
          <w:szCs w:val="22"/>
        </w:rPr>
        <w:t xml:space="preserve">ML Stack: Python 3.11  |  scikit-learn  |  pandas  |  numpy</w:t>
      </w:r>
    </w:p>
    <w:p>
      <w:r>
        <w:br w:type="page"/>
      </w:r>
    </w:p>
    <w:p>
      <w:pPr>
        <w:pStyle w:val="Heading1"/>
        <w:pBdr>
          <w:bottom w:val="thick" w:color="2E75B6" w:sz="8" w:space="4"/>
        </w:pBdr>
        <w:spacing w:after="200" w:before="360"/>
      </w:pPr>
      <w:r>
        <w:rPr>
          <w:rFonts w:ascii="Arial" w:cs="Arial" w:eastAsia="Arial" w:hAnsi="Arial"/>
          <w:b/>
          <w:bCs/>
          <w:color w:val="1E3A5F"/>
          <w:sz w:val="32"/>
          <w:szCs w:val="32"/>
        </w:rPr>
        <w:t xml:space="preserve">1. System Architecture Overview</w:t>
      </w:r>
    </w:p>
    <w:p>
      <w:pPr>
        <w:spacing w:after="80" w:before="80"/>
      </w:pPr>
      <w:r>
        <w:rPr>
          <w:rFonts w:ascii="Arial" w:cs="Arial" w:eastAsia="Arial" w:hAnsi="Arial"/>
          <w:sz w:val="22"/>
          <w:szCs w:val="22"/>
        </w:rPr>
        <w:t xml:space="preserve">The IPL Score Prediction System follows a sequential ETL → Feature Engineering → Model Training → Evaluation pipeline. The architecture is single-node Python-based and can be extended to a distributed architecture using Spark or Dask for real-time ingestion.</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1.1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680"/>
        <w:gridCol w:w="3280"/>
      </w:tblGrid>
      <w:tr>
        <w:tc>
          <w:tcPr>
            <w:tcW w:type="dxa" w:w="10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Stage</w:t>
            </w:r>
          </w:p>
        </w:tc>
        <w:tc>
          <w:tcPr>
            <w:tcW w:type="dxa" w:w="24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Module</w:t>
            </w:r>
          </w:p>
        </w:tc>
        <w:tc>
          <w:tcPr>
            <w:tcW w:type="dxa" w:w="268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Input</w:t>
            </w:r>
          </w:p>
        </w:tc>
        <w:tc>
          <w:tcPr>
            <w:tcW w:type="dxa" w:w="328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Output</w:t>
            </w:r>
          </w:p>
        </w:tc>
      </w:tr>
      <w:tr>
        <w:tc>
          <w:tcPr>
            <w:tcW w:type="dxa" w:w="1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center"/>
            </w:pPr>
            <w:r>
              <w:rPr>
                <w:rFonts w:ascii="Arial" w:cs="Arial" w:eastAsia="Arial" w:hAnsi="Arial"/>
                <w:color w:val="111111"/>
                <w:sz w:val="20"/>
                <w:szCs w:val="20"/>
              </w:rPr>
              <w:t xml:space="preserve">1</w:t>
            </w:r>
          </w:p>
        </w:tc>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Data Ingestion</w:t>
            </w:r>
          </w:p>
        </w:tc>
        <w:tc>
          <w:tcPr>
            <w:tcW w:type="dxa" w:w="2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matches.csv, deliveries.csv</w:t>
            </w:r>
          </w:p>
        </w:tc>
        <w:tc>
          <w:tcPr>
            <w:tcW w:type="dxa" w:w="328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Raw DataFrames</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center"/>
            </w:pPr>
            <w:r>
              <w:rPr>
                <w:rFonts w:ascii="Arial" w:cs="Arial" w:eastAsia="Arial" w:hAnsi="Arial"/>
                <w:color w:val="111111"/>
                <w:sz w:val="20"/>
                <w:szCs w:val="20"/>
              </w:rPr>
              <w:t xml:space="preserve">2</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Preprocessing</w:t>
            </w:r>
          </w:p>
        </w:tc>
        <w:tc>
          <w:tcPr>
            <w:tcW w:type="dxa" w:w="268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Raw DataFrames</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Clean DataFrames</w:t>
            </w:r>
          </w:p>
        </w:tc>
      </w:tr>
      <w:tr>
        <w:tc>
          <w:tcPr>
            <w:tcW w:type="dxa" w:w="1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center"/>
            </w:pPr>
            <w:r>
              <w:rPr>
                <w:rFonts w:ascii="Arial" w:cs="Arial" w:eastAsia="Arial" w:hAnsi="Arial"/>
                <w:color w:val="111111"/>
                <w:sz w:val="20"/>
                <w:szCs w:val="20"/>
              </w:rPr>
              <w:t xml:space="preserve">3</w:t>
            </w:r>
          </w:p>
        </w:tc>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Feature Engineering</w:t>
            </w:r>
          </w:p>
        </w:tc>
        <w:tc>
          <w:tcPr>
            <w:tcW w:type="dxa" w:w="2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Clean DataFrames</w:t>
            </w:r>
          </w:p>
        </w:tc>
        <w:tc>
          <w:tcPr>
            <w:tcW w:type="dxa" w:w="328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Feature matrix X, target y</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center"/>
            </w:pPr>
            <w:r>
              <w:rPr>
                <w:rFonts w:ascii="Arial" w:cs="Arial" w:eastAsia="Arial" w:hAnsi="Arial"/>
                <w:color w:val="111111"/>
                <w:sz w:val="20"/>
                <w:szCs w:val="20"/>
              </w:rPr>
              <w:t xml:space="preserve">4</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Model Training</w:t>
            </w:r>
          </w:p>
        </w:tc>
        <w:tc>
          <w:tcPr>
            <w:tcW w:type="dxa" w:w="268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X_train, y_train</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4 trained model objects</w:t>
            </w:r>
          </w:p>
        </w:tc>
      </w:tr>
      <w:tr>
        <w:tc>
          <w:tcPr>
            <w:tcW w:type="dxa" w:w="1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center"/>
            </w:pPr>
            <w:r>
              <w:rPr>
                <w:rFonts w:ascii="Arial" w:cs="Arial" w:eastAsia="Arial" w:hAnsi="Arial"/>
                <w:color w:val="111111"/>
                <w:sz w:val="20"/>
                <w:szCs w:val="20"/>
              </w:rPr>
              <w:t xml:space="preserve">5</w:t>
            </w:r>
          </w:p>
        </w:tc>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Evaluation</w:t>
            </w:r>
          </w:p>
        </w:tc>
        <w:tc>
          <w:tcPr>
            <w:tcW w:type="dxa" w:w="26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X_test, y_test, models</w:t>
            </w:r>
          </w:p>
        </w:tc>
        <w:tc>
          <w:tcPr>
            <w:tcW w:type="dxa" w:w="328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MSE, RMSE, R² per model</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center"/>
            </w:pPr>
            <w:r>
              <w:rPr>
                <w:rFonts w:ascii="Arial" w:cs="Arial" w:eastAsia="Arial" w:hAnsi="Arial"/>
                <w:color w:val="111111"/>
                <w:sz w:val="20"/>
                <w:szCs w:val="20"/>
              </w:rPr>
              <w:t xml:space="preserve">6</w:t>
            </w:r>
          </w:p>
        </w:tc>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Stacking Ensemble</w:t>
            </w:r>
          </w:p>
        </w:tc>
        <w:tc>
          <w:tcPr>
            <w:tcW w:type="dxa" w:w="268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Top-2 model objects</w:t>
            </w:r>
          </w:p>
        </w:tc>
        <w:tc>
          <w:tcPr>
            <w:tcW w:type="dxa" w:w="328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Stacked model + final metrics</w:t>
            </w:r>
          </w:p>
        </w:tc>
      </w:tr>
    </w:tbl>
    <w:p>
      <w:pPr>
        <w:spacing w:after="0" w:before="160"/>
      </w:pPr>
      <w:r>
        <w:t xml:space="preserve"/>
      </w:r>
    </w:p>
    <w:p>
      <w:pPr>
        <w:pStyle w:val="Heading1"/>
        <w:pBdr>
          <w:bottom w:val="thick" w:color="2E75B6" w:sz="8" w:space="4"/>
        </w:pBdr>
        <w:spacing w:after="200" w:before="360"/>
      </w:pPr>
      <w:r>
        <w:rPr>
          <w:rFonts w:ascii="Arial" w:cs="Arial" w:eastAsia="Arial" w:hAnsi="Arial"/>
          <w:b/>
          <w:bCs/>
          <w:color w:val="1E3A5F"/>
          <w:sz w:val="32"/>
          <w:szCs w:val="32"/>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20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Library / Version</w:t>
            </w:r>
          </w:p>
        </w:tc>
        <w:tc>
          <w:tcPr>
            <w:tcW w:type="dxa" w:w="516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Usage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Language</w:t>
            </w:r>
          </w:p>
        </w:tc>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Python 3.11+</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Core language for all pipeline steps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Data Manipulation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pandas 2.x</w:t>
            </w:r>
          </w:p>
        </w:tc>
        <w:tc>
          <w:tcPr>
            <w:tcW w:type="dxa" w:w="51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DataFrame operations, groupby, merging, type casting</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Numerical</w:t>
            </w:r>
          </w:p>
        </w:tc>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numpy 1.26+</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sqrt, array ops, epsilon padding</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ML Models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scikit-learn 1.4+</w:t>
            </w:r>
          </w:p>
        </w:tc>
        <w:tc>
          <w:tcPr>
            <w:tcW w:type="dxa" w:w="51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LinearRegression, DecisionTreeRegressor, RandomForestRegressor, SVR, StackingRegressor</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Preprocessing</w:t>
            </w:r>
          </w:p>
        </w:tc>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scikit-learn</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LabelEncoder, StandardScaler, train_test_split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Metrics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scikit-learn</w:t>
            </w:r>
          </w:p>
        </w:tc>
        <w:tc>
          <w:tcPr>
            <w:tcW w:type="dxa" w:w="51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mean_squared_error, r2_score</w:t>
            </w:r>
          </w:p>
        </w:tc>
      </w:tr>
      <w:tr>
        <w:tc>
          <w:tcPr>
            <w:tcW w:type="dxa" w:w="2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Serialization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json (stdlib)</w:t>
            </w:r>
          </w:p>
        </w:tc>
        <w:tc>
          <w:tcPr>
            <w:tcW w:type="dxa" w:w="51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Exporting model metrics to JSON report</w:t>
            </w:r>
          </w:p>
        </w:tc>
      </w:tr>
    </w:tbl>
    <w:p>
      <w:pPr>
        <w:spacing w:after="0" w:before="160"/>
      </w:pPr>
      <w:r>
        <w:t xml:space="preserve"/>
      </w:r>
    </w:p>
    <w:p>
      <w:pPr>
        <w:pStyle w:val="Heading1"/>
        <w:pBdr>
          <w:bottom w:val="thick" w:color="2E75B6" w:sz="8" w:space="4"/>
        </w:pBdr>
        <w:spacing w:after="200" w:before="360"/>
      </w:pPr>
      <w:r>
        <w:rPr>
          <w:rFonts w:ascii="Arial" w:cs="Arial" w:eastAsia="Arial" w:hAnsi="Arial"/>
          <w:b/>
          <w:bCs/>
          <w:color w:val="1E3A5F"/>
          <w:sz w:val="32"/>
          <w:szCs w:val="32"/>
        </w:rPr>
        <w:t xml:space="preserve">3. Preprocessing — Detailed Technical Specification</w:t>
      </w:r>
    </w:p>
    <w:p>
      <w:pPr>
        <w:pStyle w:val="Heading2"/>
        <w:spacing w:after="120" w:before="280"/>
      </w:pPr>
      <w:r>
        <w:rPr>
          <w:rFonts w:ascii="Arial" w:cs="Arial" w:eastAsia="Arial" w:hAnsi="Arial"/>
          <w:b/>
          <w:bCs/>
          <w:color w:val="2E75B6"/>
          <w:sz w:val="26"/>
          <w:szCs w:val="26"/>
        </w:rPr>
        <w:t xml:space="preserve">3.1 matches.csv Preprocessing</w:t>
      </w:r>
    </w:p>
    <w:p>
      <w:pPr>
        <w:pStyle w:val="Heading3"/>
        <w:spacing w:after="80" w:before="200"/>
      </w:pPr>
      <w:r>
        <w:rPr>
          <w:rFonts w:ascii="Arial" w:cs="Arial" w:eastAsia="Arial" w:hAnsi="Arial"/>
          <w:b/>
          <w:bCs/>
          <w:color w:val="1E3A5F"/>
          <w:sz w:val="22"/>
          <w:szCs w:val="22"/>
        </w:rPr>
        <w:t xml:space="preserve">Step P1 — Drop Abandoned Matches (winner column)</w:t>
      </w:r>
    </w:p>
    <w:p>
      <w:pPr>
        <w:spacing w:after="80" w:before="80"/>
      </w:pPr>
      <w:r>
        <w:rPr>
          <w:rFonts w:ascii="Arial" w:cs="Arial" w:eastAsia="Arial" w:hAnsi="Arial"/>
          <w:b/>
          <w:bCs/>
          <w:color w:val="1E3A5F"/>
          <w:sz w:val="22"/>
          <w:szCs w:val="22"/>
        </w:rPr>
        <w:t xml:space="preserve">Column: </w:t>
      </w:r>
      <w:r>
        <w:rPr>
          <w:rFonts w:ascii="Courier New" w:cs="Courier New" w:eastAsia="Courier New" w:hAnsi="Courier New"/>
          <w:color w:val="1A1A6E"/>
          <w:sz w:val="20"/>
          <w:szCs w:val="20"/>
        </w:rPr>
        <w:t xml:space="preserve">winner</w:t>
      </w:r>
      <w:r>
        <w:rPr>
          <w:rFonts w:ascii="Arial" w:cs="Arial" w:eastAsia="Arial" w:hAnsi="Arial"/>
          <w:sz w:val="22"/>
          <w:szCs w:val="22"/>
        </w:rPr>
        <w:t xml:space="preserve"> | Operation: dropna(subset=['winner'])</w:t>
      </w:r>
    </w:p>
    <w:p>
      <w:pPr>
        <w:spacing w:after="80" w:before="80"/>
      </w:pPr>
      <w:r>
        <w:rPr>
          <w:rFonts w:ascii="Arial" w:cs="Arial" w:eastAsia="Arial" w:hAnsi="Arial"/>
          <w:sz w:val="22"/>
          <w:szCs w:val="22"/>
        </w:rPr>
        <w:t xml:space="preserve">Why: 5 rows have NaN winner, meaning these matches were abandoned with no result. These rows contain no valid innings score to predict, so including them would introduce NaN targets that break model training.</w:t>
      </w:r>
    </w:p>
    <w:p>
      <w:pPr>
        <w:spacing w:after="0" w:before="80"/>
      </w:pPr>
      <w:r>
        <w:t xml:space="preserve"/>
      </w:r>
    </w:p>
    <w:p>
      <w:pPr>
        <w:pStyle w:val="Heading3"/>
        <w:spacing w:after="80" w:before="200"/>
      </w:pPr>
      <w:r>
        <w:rPr>
          <w:rFonts w:ascii="Arial" w:cs="Arial" w:eastAsia="Arial" w:hAnsi="Arial"/>
          <w:b/>
          <w:bCs/>
          <w:color w:val="1E3A5F"/>
          <w:sz w:val="22"/>
          <w:szCs w:val="22"/>
        </w:rPr>
        <w:t xml:space="preserve">Step P2 — Impute City Nulls</w:t>
      </w:r>
    </w:p>
    <w:p>
      <w:pPr>
        <w:spacing w:after="80" w:before="80"/>
      </w:pPr>
      <w:r>
        <w:rPr>
          <w:rFonts w:ascii="Arial" w:cs="Arial" w:eastAsia="Arial" w:hAnsi="Arial"/>
          <w:b/>
          <w:bCs/>
          <w:color w:val="1E3A5F"/>
          <w:sz w:val="22"/>
          <w:szCs w:val="22"/>
        </w:rPr>
        <w:t xml:space="preserve">Column: </w:t>
      </w:r>
      <w:r>
        <w:rPr>
          <w:rFonts w:ascii="Courier New" w:cs="Courier New" w:eastAsia="Courier New" w:hAnsi="Courier New"/>
          <w:color w:val="1A1A6E"/>
          <w:sz w:val="20"/>
          <w:szCs w:val="20"/>
        </w:rPr>
        <w:t xml:space="preserve">city</w:t>
      </w:r>
      <w:r>
        <w:rPr>
          <w:rFonts w:ascii="Arial" w:cs="Arial" w:eastAsia="Arial" w:hAnsi="Arial"/>
          <w:sz w:val="22"/>
          <w:szCs w:val="22"/>
        </w:rPr>
        <w:t xml:space="preserve"> | Operation: fillna('Unknown')</w:t>
      </w:r>
    </w:p>
    <w:p>
      <w:pPr>
        <w:spacing w:after="80" w:before="80"/>
      </w:pPr>
      <w:r>
        <w:rPr>
          <w:rFonts w:ascii="Arial" w:cs="Arial" w:eastAsia="Arial" w:hAnsi="Arial"/>
          <w:sz w:val="22"/>
          <w:szCs w:val="22"/>
        </w:rPr>
        <w:t xml:space="preserve">Why: 51 rows (4.7%) have no city. These mostly correspond to neutral venue matches or data collection gaps. Dropping 51 rows is wasteful; replacing with 'Unknown' allows them to be label-encoded as a valid category. After encoding, the model will learn the average score contribution of the 'Unknown' city.</w:t>
      </w:r>
    </w:p>
    <w:p>
      <w:pPr>
        <w:spacing w:after="0" w:before="80"/>
      </w:pPr>
      <w:r>
        <w:t xml:space="preserve"/>
      </w:r>
    </w:p>
    <w:p>
      <w:pPr>
        <w:pStyle w:val="Heading3"/>
        <w:spacing w:after="80" w:before="200"/>
      </w:pPr>
      <w:r>
        <w:rPr>
          <w:rFonts w:ascii="Arial" w:cs="Arial" w:eastAsia="Arial" w:hAnsi="Arial"/>
          <w:b/>
          <w:bCs/>
          <w:color w:val="1E3A5F"/>
          <w:sz w:val="22"/>
          <w:szCs w:val="22"/>
        </w:rPr>
        <w:t xml:space="preserve">Step P3 — Impute Method Nulls</w:t>
      </w:r>
    </w:p>
    <w:p>
      <w:pPr>
        <w:spacing w:after="80" w:before="80"/>
      </w:pPr>
      <w:r>
        <w:rPr>
          <w:rFonts w:ascii="Arial" w:cs="Arial" w:eastAsia="Arial" w:hAnsi="Arial"/>
          <w:b/>
          <w:bCs/>
          <w:color w:val="1E3A5F"/>
          <w:sz w:val="22"/>
          <w:szCs w:val="22"/>
        </w:rPr>
        <w:t xml:space="preserve">Column: </w:t>
      </w:r>
      <w:r>
        <w:rPr>
          <w:rFonts w:ascii="Courier New" w:cs="Courier New" w:eastAsia="Courier New" w:hAnsi="Courier New"/>
          <w:color w:val="1A1A6E"/>
          <w:sz w:val="20"/>
          <w:szCs w:val="20"/>
        </w:rPr>
        <w:t xml:space="preserve">method</w:t>
      </w:r>
      <w:r>
        <w:rPr>
          <w:rFonts w:ascii="Arial" w:cs="Arial" w:eastAsia="Arial" w:hAnsi="Arial"/>
          <w:sz w:val="22"/>
          <w:szCs w:val="22"/>
        </w:rPr>
        <w:t xml:space="preserve"> | Operation: fillna('Normal')</w:t>
      </w:r>
    </w:p>
    <w:p>
      <w:pPr>
        <w:spacing w:after="80" w:before="80"/>
      </w:pPr>
      <w:r>
        <w:rPr>
          <w:rFonts w:ascii="Arial" w:cs="Arial" w:eastAsia="Arial" w:hAnsi="Arial"/>
          <w:sz w:val="22"/>
          <w:szCs w:val="22"/>
        </w:rPr>
        <w:t xml:space="preserve">Why: 1,074 of 1,095 matches are normal (no DLS or rain rule). The 21 non-null matches used DLS. Since the majority are 'Normal', filling NaN with 'Normal' is statistically sound and avoids introducing a third category for what is effectively missing data.</w:t>
      </w:r>
    </w:p>
    <w:p>
      <w:pPr>
        <w:spacing w:after="0" w:before="80"/>
      </w:pPr>
      <w:r>
        <w:t xml:space="preserve"/>
      </w:r>
    </w:p>
    <w:p>
      <w:pPr>
        <w:pStyle w:val="Heading3"/>
        <w:spacing w:after="80" w:before="200"/>
      </w:pPr>
      <w:r>
        <w:rPr>
          <w:rFonts w:ascii="Arial" w:cs="Arial" w:eastAsia="Arial" w:hAnsi="Arial"/>
          <w:b/>
          <w:bCs/>
          <w:color w:val="1E3A5F"/>
          <w:sz w:val="22"/>
          <w:szCs w:val="22"/>
        </w:rPr>
        <w:t xml:space="preserve">Step P4 — Parse Date Column</w:t>
      </w:r>
    </w:p>
    <w:p>
      <w:pPr>
        <w:spacing w:after="80" w:before="80"/>
      </w:pPr>
      <w:r>
        <w:rPr>
          <w:rFonts w:ascii="Arial" w:cs="Arial" w:eastAsia="Arial" w:hAnsi="Arial"/>
          <w:b/>
          <w:bCs/>
          <w:color w:val="1E3A5F"/>
          <w:sz w:val="22"/>
          <w:szCs w:val="22"/>
        </w:rPr>
        <w:t xml:space="preserve">Column: </w:t>
      </w:r>
      <w:r>
        <w:rPr>
          <w:rFonts w:ascii="Courier New" w:cs="Courier New" w:eastAsia="Courier New" w:hAnsi="Courier New"/>
          <w:color w:val="1A1A6E"/>
          <w:sz w:val="20"/>
          <w:szCs w:val="20"/>
        </w:rPr>
        <w:t xml:space="preserve">date</w:t>
      </w:r>
      <w:r>
        <w:rPr>
          <w:rFonts w:ascii="Arial" w:cs="Arial" w:eastAsia="Arial" w:hAnsi="Arial"/>
          <w:sz w:val="22"/>
          <w:szCs w:val="22"/>
        </w:rPr>
        <w:t xml:space="preserve"> | Operation: pd.to_datetime → extract match_year, match_month</w:t>
      </w:r>
    </w:p>
    <w:p>
      <w:pPr>
        <w:spacing w:after="80" w:before="80"/>
      </w:pPr>
      <w:r>
        <w:rPr>
          <w:rFonts w:ascii="Arial" w:cs="Arial" w:eastAsia="Arial" w:hAnsi="Arial"/>
          <w:sz w:val="22"/>
          <w:szCs w:val="22"/>
        </w:rPr>
        <w:t xml:space="preserve">Why: The raw date is a string. Converting it to datetime enables extraction of temporal features. match_year captures the season evolution (e.g., rule changes, DRS introduction). match_month helps distinguish early-season form from playoff pressure performance.</w:t>
      </w:r>
    </w:p>
    <w:p>
      <w:pPr>
        <w:spacing w:after="0" w:before="80"/>
      </w:pPr>
      <w:r>
        <w:t xml:space="preserve"/>
      </w:r>
    </w:p>
    <w:p>
      <w:pPr>
        <w:pStyle w:val="Heading3"/>
        <w:spacing w:after="80" w:before="200"/>
      </w:pPr>
      <w:r>
        <w:rPr>
          <w:rFonts w:ascii="Arial" w:cs="Arial" w:eastAsia="Arial" w:hAnsi="Arial"/>
          <w:b/>
          <w:bCs/>
          <w:color w:val="1E3A5F"/>
          <w:sz w:val="22"/>
          <w:szCs w:val="22"/>
        </w:rPr>
        <w:t xml:space="preserve">Step P5 — Team Name Normalization</w:t>
      </w:r>
    </w:p>
    <w:p>
      <w:pPr>
        <w:spacing w:after="80" w:before="80"/>
      </w:pPr>
      <w:r>
        <w:rPr>
          <w:rFonts w:ascii="Arial" w:cs="Arial" w:eastAsia="Arial" w:hAnsi="Arial"/>
          <w:b/>
          <w:bCs/>
          <w:color w:val="1E3A5F"/>
          <w:sz w:val="22"/>
          <w:szCs w:val="22"/>
        </w:rPr>
        <w:t xml:space="preserve">Columns: </w:t>
      </w:r>
      <w:r>
        <w:rPr>
          <w:rFonts w:ascii="Courier New" w:cs="Courier New" w:eastAsia="Courier New" w:hAnsi="Courier New"/>
          <w:color w:val="1A1A6E"/>
          <w:sz w:val="20"/>
          <w:szCs w:val="20"/>
        </w:rPr>
        <w:t xml:space="preserve">team1, team2, toss_winner, winner, batting_team, bowling_team</w:t>
      </w:r>
    </w:p>
    <w:p>
      <w:pPr>
        <w:spacing w:after="80" w:before="80"/>
      </w:pPr>
      <w:r>
        <w:rPr>
          <w:rFonts w:ascii="Arial" w:cs="Arial" w:eastAsia="Arial" w:hAnsi="Arial"/>
          <w:sz w:val="22"/>
          <w:szCs w:val="22"/>
        </w:rPr>
        <w:t xml:space="preserve">Why: IPL franchises have been renamed over 17 seasons. 'Delhi Daredevils' (2008–2018) and 'Delhi Capitals' (2019–) are the same team. Without normalization, the LabelEncoder sees them as 2 different entities, causing the model to fail to learn historical performance carried across renamings.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Old Name</w:t>
            </w:r>
          </w:p>
        </w:tc>
        <w:tc>
          <w:tcPr>
            <w:tcW w:type="dxa" w:w="536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Normalized Name</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Delhi Daredevils</w:t>
            </w:r>
          </w:p>
        </w:tc>
        <w:tc>
          <w:tcPr>
            <w:tcW w:type="dxa" w:w="5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Delhi Capitals</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Kings XI Punjab</w:t>
            </w:r>
          </w:p>
        </w:tc>
        <w:tc>
          <w:tcPr>
            <w:tcW w:type="dxa" w:w="5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Punjab Kings</w:t>
            </w:r>
          </w:p>
        </w:tc>
      </w:tr>
      <w:tr>
        <w:tc>
          <w:tcPr>
            <w:tcW w:type="dxa" w:w="4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Rising Pune Supergiant</w:t>
            </w:r>
          </w:p>
        </w:tc>
        <w:tc>
          <w:tcPr>
            <w:tcW w:type="dxa" w:w="5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Rising Pune Supergiants</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Royal Challengers Bangalore</w:t>
            </w:r>
          </w:p>
        </w:tc>
        <w:tc>
          <w:tcPr>
            <w:tcW w:type="dxa" w:w="5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Royal Challengers Bengaluru</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3.2 deliveries.csv Preprocessing</w:t>
      </w:r>
    </w:p>
    <w:p>
      <w:pPr>
        <w:pStyle w:val="Heading3"/>
        <w:spacing w:after="80" w:before="200"/>
      </w:pPr>
      <w:r>
        <w:rPr>
          <w:rFonts w:ascii="Arial" w:cs="Arial" w:eastAsia="Arial" w:hAnsi="Arial"/>
          <w:b/>
          <w:bCs/>
          <w:color w:val="1E3A5F"/>
          <w:sz w:val="22"/>
          <w:szCs w:val="22"/>
        </w:rPr>
        <w:t xml:space="preserve">Step P6 — Remove Super-Over Deliveries</w:t>
      </w:r>
    </w:p>
    <w:p>
      <w:pPr>
        <w:spacing w:after="80" w:before="80"/>
      </w:pPr>
      <w:r>
        <w:rPr>
          <w:rFonts w:ascii="Arial" w:cs="Arial" w:eastAsia="Arial" w:hAnsi="Arial"/>
          <w:b/>
          <w:bCs/>
          <w:color w:val="1E3A5F"/>
          <w:sz w:val="22"/>
          <w:szCs w:val="22"/>
        </w:rPr>
        <w:t xml:space="preserve">Column: </w:t>
      </w:r>
      <w:r>
        <w:rPr>
          <w:rFonts w:ascii="Courier New" w:cs="Courier New" w:eastAsia="Courier New" w:hAnsi="Courier New"/>
          <w:color w:val="1A1A6E"/>
          <w:sz w:val="20"/>
          <w:szCs w:val="20"/>
        </w:rPr>
        <w:t xml:space="preserve">inning</w:t>
      </w:r>
      <w:r>
        <w:rPr>
          <w:rFonts w:ascii="Arial" w:cs="Arial" w:eastAsia="Arial" w:hAnsi="Arial"/>
          <w:sz w:val="22"/>
          <w:szCs w:val="22"/>
        </w:rPr>
        <w:t xml:space="preserve"> | Operation: filter inning ∈ {1, 2}</w:t>
      </w:r>
    </w:p>
    <w:p>
      <w:pPr>
        <w:spacing w:after="80" w:before="80"/>
      </w:pPr>
      <w:r>
        <w:rPr>
          <w:rFonts w:ascii="Arial" w:cs="Arial" w:eastAsia="Arial" w:hAnsi="Arial"/>
          <w:sz w:val="22"/>
          <w:szCs w:val="22"/>
        </w:rPr>
        <w:t xml:space="preserve">Why: Innings 3–6 are super-over deliveries (only 161 rows). Super-overs follow different scoring rules (6 balls, wicket = innings end), making them incomparable to regular T20 innings. Including them would corrupt innings score aggregations.</w:t>
      </w:r>
    </w:p>
    <w:p>
      <w:pPr>
        <w:spacing w:after="0" w:before="80"/>
      </w:pPr>
      <w:r>
        <w:t xml:space="preserve"/>
      </w:r>
    </w:p>
    <w:p>
      <w:pPr>
        <w:pStyle w:val="Heading3"/>
        <w:spacing w:after="80" w:before="200"/>
      </w:pPr>
      <w:r>
        <w:rPr>
          <w:rFonts w:ascii="Arial" w:cs="Arial" w:eastAsia="Arial" w:hAnsi="Arial"/>
          <w:b/>
          <w:bCs/>
          <w:color w:val="1E3A5F"/>
          <w:sz w:val="22"/>
          <w:szCs w:val="22"/>
        </w:rPr>
        <w:t xml:space="preserve">Step P7 — Impute extras_type</w:t>
      </w:r>
    </w:p>
    <w:p>
      <w:pPr>
        <w:spacing w:after="80" w:before="80"/>
      </w:pPr>
      <w:r>
        <w:rPr>
          <w:rFonts w:ascii="Arial" w:cs="Arial" w:eastAsia="Arial" w:hAnsi="Arial"/>
          <w:b/>
          <w:bCs/>
          <w:color w:val="1E3A5F"/>
          <w:sz w:val="22"/>
          <w:szCs w:val="22"/>
        </w:rPr>
        <w:t xml:space="preserve">Column: </w:t>
      </w:r>
      <w:r>
        <w:rPr>
          <w:rFonts w:ascii="Courier New" w:cs="Courier New" w:eastAsia="Courier New" w:hAnsi="Courier New"/>
          <w:color w:val="1A1A6E"/>
          <w:sz w:val="20"/>
          <w:szCs w:val="20"/>
        </w:rPr>
        <w:t xml:space="preserve">extras_type</w:t>
      </w:r>
      <w:r>
        <w:rPr>
          <w:rFonts w:ascii="Arial" w:cs="Arial" w:eastAsia="Arial" w:hAnsi="Arial"/>
          <w:sz w:val="22"/>
          <w:szCs w:val="22"/>
        </w:rPr>
        <w:t xml:space="preserve"> | Operation: fillna('normal')</w:t>
      </w:r>
    </w:p>
    <w:p>
      <w:pPr>
        <w:spacing w:after="80" w:before="80"/>
      </w:pPr>
      <w:r>
        <w:rPr>
          <w:rFonts w:ascii="Arial" w:cs="Arial" w:eastAsia="Arial" w:hAnsi="Arial"/>
          <w:sz w:val="22"/>
          <w:szCs w:val="22"/>
        </w:rPr>
        <w:t xml:space="preserve">Why: 246,795 of 260,920 deliveries have no extras_type, meaning they were regular deliveries (no extras). The NaN is not missing data — it's a valid category ('normal ball'). Replacing NaN with 'normal' correctly represents this.</w:t>
      </w:r>
    </w:p>
    <w:p>
      <w:pPr>
        <w:spacing w:after="0" w:before="80"/>
      </w:pPr>
      <w:r>
        <w:t xml:space="preserve"/>
      </w:r>
    </w:p>
    <w:p>
      <w:pPr>
        <w:pStyle w:val="Heading3"/>
        <w:spacing w:after="80" w:before="200"/>
      </w:pPr>
      <w:r>
        <w:rPr>
          <w:rFonts w:ascii="Arial" w:cs="Arial" w:eastAsia="Arial" w:hAnsi="Arial"/>
          <w:b/>
          <w:bCs/>
          <w:color w:val="1E3A5F"/>
          <w:sz w:val="22"/>
          <w:szCs w:val="22"/>
        </w:rPr>
        <w:t xml:space="preserve">Step P8 — Impute Dismissal Columns</w:t>
      </w:r>
    </w:p>
    <w:p>
      <w:pPr>
        <w:spacing w:after="80" w:before="80"/>
      </w:pPr>
      <w:r>
        <w:rPr>
          <w:rFonts w:ascii="Arial" w:cs="Arial" w:eastAsia="Arial" w:hAnsi="Arial"/>
          <w:b/>
          <w:bCs/>
          <w:color w:val="1E3A5F"/>
          <w:sz w:val="22"/>
          <w:szCs w:val="22"/>
        </w:rPr>
        <w:t xml:space="preserve">Columns: </w:t>
      </w:r>
      <w:r>
        <w:rPr>
          <w:rFonts w:ascii="Courier New" w:cs="Courier New" w:eastAsia="Courier New" w:hAnsi="Courier New"/>
          <w:color w:val="1A1A6E"/>
          <w:sz w:val="20"/>
          <w:szCs w:val="20"/>
        </w:rPr>
        <w:t xml:space="preserve">player_dismissed, dismissal_kind, fielder</w:t>
      </w:r>
      <w:r>
        <w:rPr>
          <w:rFonts w:ascii="Arial" w:cs="Arial" w:eastAsia="Arial" w:hAnsi="Arial"/>
          <w:sz w:val="22"/>
          <w:szCs w:val="22"/>
        </w:rPr>
        <w:t xml:space="preserve"> | Operation: fillna('none')</w:t>
      </w:r>
    </w:p>
    <w:p>
      <w:pPr>
        <w:spacing w:after="80" w:before="80"/>
      </w:pPr>
      <w:r>
        <w:rPr>
          <w:rFonts w:ascii="Arial" w:cs="Arial" w:eastAsia="Arial" w:hAnsi="Arial"/>
          <w:sz w:val="22"/>
          <w:szCs w:val="22"/>
        </w:rPr>
        <w:t xml:space="preserve">Why: These three columns are null on all non-wicket deliveries (247,970 rows out of 260,920). NaN here means 'no dismissal occurred', not 'data is missing'. Filling with 'none' preserves this meaning and allows the columns to be used in aggregations or further encoding if needed.</w:t>
      </w:r>
    </w:p>
    <w:p>
      <w:pPr>
        <w:spacing w:after="0" w:before="160"/>
      </w:pPr>
      <w:r>
        <w:t xml:space="preserve"/>
      </w:r>
    </w:p>
    <w:p>
      <w:pPr>
        <w:pStyle w:val="Heading1"/>
        <w:pBdr>
          <w:bottom w:val="thick" w:color="2E75B6" w:sz="8" w:space="4"/>
        </w:pBdr>
        <w:spacing w:after="200" w:before="360"/>
      </w:pPr>
      <w:r>
        <w:rPr>
          <w:rFonts w:ascii="Arial" w:cs="Arial" w:eastAsia="Arial" w:hAnsi="Arial"/>
          <w:b/>
          <w:bCs/>
          <w:color w:val="1E3A5F"/>
          <w:sz w:val="32"/>
          <w:szCs w:val="32"/>
        </w:rPr>
        <w:t xml:space="preserve">4. Feature Engineering — All 28 Features Explained</w:t>
      </w:r>
    </w:p>
    <w:p>
      <w:pPr>
        <w:spacing w:after="80" w:before="80"/>
      </w:pPr>
      <w:r>
        <w:rPr>
          <w:rFonts w:ascii="Arial" w:cs="Arial" w:eastAsia="Arial" w:hAnsi="Arial"/>
          <w:sz w:val="22"/>
          <w:szCs w:val="22"/>
        </w:rPr>
        <w:t xml:space="preserve">All features are computed from data available up to the end of over 9 (i.e., the first 10 overs — deliveries where over &lt; 10). This simulates a real prediction scenario: given what has happened so far, predict the final innings score.</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4.1 Historical Team Features (Pre-Match)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2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576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Explanation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bat_team_avg_score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float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Expanding historical mean innings score for the batting team, computed from all previous matches (shift(1) to prevent leakage). Captures team's batting strength over their entire IPL history. New teams use the overall league average as fallback.</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bowl_team_avg_conceded</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float</w:t>
            </w:r>
          </w:p>
        </w:tc>
        <w:tc>
          <w:tcPr>
            <w:tcW w:type="dxa" w:w="5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Expanding historical mean of runs conceded by the bowling team across all previous matches. Higher value = weaker bowling team, expected to concede more. Complements bat_team_avg_score.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venue_avg_score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float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Overall mean innings score at this specific stadium. Accounts for ground dimensions, pitch type, and boundary length. High-scoring venues (e.g., Chinnaswamy) have a demonstrably higher average than low-scoring venues.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team_toss_bat_win_rate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float</w:t>
            </w:r>
          </w:p>
        </w:tc>
        <w:tc>
          <w:tcPr>
            <w:tcW w:type="dxa" w:w="5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Proportion of matches where the batting team won when they chose to bat first after winning the toss. Captures team's strategic batting confidence. Default 0.5 for teams with no toss-bat history.</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4.2 Match Context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2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576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Explanation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toss_advantage</w:t>
            </w:r>
          </w:p>
        </w:tc>
        <w:tc>
          <w:tcPr>
            <w:tcW w:type="dxa" w:w="1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int (0/1)</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Binary flag: 1 if the batting team won the toss, else 0. Winning the toss and choosing to bat gives psychological and tactical advantage (chosen conditions).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is_first_innings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int (0/1)</w:t>
            </w:r>
          </w:p>
        </w:tc>
        <w:tc>
          <w:tcPr>
            <w:tcW w:type="dxa" w:w="5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1 if this is inning 1 (setting the target), 0 if inning 2 (chasing). First innings teams often play more aggressively without a target. Second innings teams modulate pace based on required run rate.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season_num</w:t>
            </w:r>
          </w:p>
        </w:tc>
        <w:tc>
          <w:tcPr>
            <w:tcW w:type="dxa" w:w="1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Ordinal encoding of the IPL season (0 = 2007/08, 16 = 2024). Captures the scoring evolution over time: average scores have increased as batters became more aggressive and pitches became more batting-friendly.</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match_year</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Actual calendar year of the match. Complements season_num by providing linear time signal. Also useful for detecting COVID season anomalies (2020/21).</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match_month</w:t>
            </w:r>
          </w:p>
        </w:tc>
        <w:tc>
          <w:tcPr>
            <w:tcW w:type="dxa" w:w="1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Month of year (3=March, 6=June). IPL moves from spring to summer — later months have different pitch and weather conditions. Playoffs tend to be in May–June.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inning</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int (1/2)</w:t>
            </w:r>
          </w:p>
        </w:tc>
        <w:tc>
          <w:tcPr>
            <w:tcW w:type="dxa" w:w="5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Raw innings number. Redundant with is_first_innings but retained as a linear numeric signal (distinct from binary). Helps models learn ordinal inning-specific patterns.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toss_decision_enc</w:t>
            </w:r>
          </w:p>
        </w:tc>
        <w:tc>
          <w:tcPr>
            <w:tcW w:type="dxa" w:w="1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Label encoded 'bat' or 'field'. Encodes the strategic decision: teams that choose to bat typically aim for a dominant total, while teams fielding first have seen conditions. Interacts with toss_advantage.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match_type_enc</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Encoded match stage: League, Qualifier, Semi Final, Final, Eliminator, etc. Playoff matches tend to be tighter and lower scoring due to higher pressure and strategic bowling.</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batting_team_enc</w:t>
            </w:r>
          </w:p>
        </w:tc>
        <w:tc>
          <w:tcPr>
            <w:tcW w:type="dxa" w:w="1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LabelEncoded batting team ID. Allows the model to learn team-specific effects not fully captured by historical averages.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bowling_team_enc</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LabelEncoded bowling team ID. Captures team-level bowling quality beyond conceded averages.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city_enc</w:t>
            </w:r>
          </w:p>
        </w:tc>
        <w:tc>
          <w:tcPr>
            <w:tcW w:type="dxa" w:w="1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LabelEncoded host city. Cities vary in humidity, altitude, and pitch type. Multiple venues share the same city.</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venue_enc</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LabelEncoded stadium. More granular than city. Different ends at the same ground can be bowling/batting friendly.</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4.3 Partial Innings Features (Overs 0–9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2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576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Explanation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runs_first10</w:t>
            </w:r>
          </w:p>
        </w:tc>
        <w:tc>
          <w:tcPr>
            <w:tcW w:type="dxa" w:w="1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Total runs (batsman + extras) scored in overs 0–9. The single most predictive feature: a team scoring 90 in 10 overs is on track for 180+ while a team scoring 50 is unlikely to cross 130.</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wickets_first10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Total wickets fallen in overs 0–9. Losing 4+ wickets in 10 overs severely limits the final score: fewer experienced batters remain and risk-taking decreases. Strong negative correlation with final score.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powerplay_runs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Runs scored in overs 0–5 (mandatory powerplay, 2 fielders outside circle). High powerplay runs indicate the batting team capitalised on fielding restrictions — strong momentum indicator.</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powerplay_wickets</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Wickets fallen in overs 0–5. Losing an opener or top-order batter in the powerplay disrupts scoring momentum. 2+ powerplay wickets is typically a red flag for a low final total.</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boundaries_first10</w:t>
            </w:r>
          </w:p>
        </w:tc>
        <w:tc>
          <w:tcPr>
            <w:tcW w:type="dxa" w:w="1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Count of 4s and 6s hit in overs 0–9. Boundaries are the most efficient scoring method — each boundary contributes 4–6 runs without consuming wickets. Higher boundary count suggests an aggressive, attack-oriented innings.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dots_first10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Dot balls (0 runs off bat, 0 extras) in overs 0–9. Dot balls represent wasted deliveries — the higher the dot rate, the more constrained the batting team. Strong negative indicator for final score.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extras_first10</w:t>
            </w:r>
          </w:p>
        </w:tc>
        <w:tc>
          <w:tcPr>
            <w:tcW w:type="dxa" w:w="1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Extra runs (wides, no-balls, byes, leg-byes) in first 10 overs. Extras from sloppy bowling add to the batting total at no cost to batters. Positively correlated with final score.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batters_used_10</w:t>
            </w:r>
          </w:p>
        </w:tc>
        <w:tc>
          <w:tcPr>
            <w:tcW w:type="dxa" w:w="12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Unique batters who faced a delivery in overs 0–9. More batters = more wickets fallen. A team that has used 7+ batters in 10 overs is in significant trouble.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legal_balls_10</w:t>
            </w:r>
          </w:p>
        </w:tc>
        <w:tc>
          <w:tcPr>
            <w:tcW w:type="dxa" w:w="12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int</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Number of legal deliveries (excluding wides and no-balls) in first 10 overs. Should be ~60 for a normal innings. Used as denominator for rate features. Deviations indicate significant extras being bowled.</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4.4 Derived Rate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2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Formula</w:t>
            </w:r>
          </w:p>
        </w:tc>
        <w:tc>
          <w:tcPr>
            <w:tcW w:type="dxa" w:w="576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Explanation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run_rate_10</w:t>
            </w:r>
          </w:p>
        </w:tc>
        <w:tc>
          <w:tcPr>
            <w:tcW w:type="dxa" w:w="4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r>
              <w:rPr>
                <w:rFonts w:ascii="Courier New" w:cs="Courier New" w:eastAsia="Courier New" w:hAnsi="Courier New"/>
                <w:color w:val="1A1A6E"/>
                <w:sz w:val="19"/>
                <w:szCs w:val="19"/>
              </w:rPr>
              <w:t xml:space="preserve">runs_first10 / (legal_balls/6)</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Runs Per Over in the first 10 overs. More stable than raw runs — normalises for innings where fewer legal balls were bowled due to extras.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boundary_rate_10</w:t>
            </w:r>
          </w:p>
        </w:tc>
        <w:tc>
          <w:tcPr>
            <w:tcW w:type="dxa" w:w="4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Courier New" w:cs="Courier New" w:eastAsia="Courier New" w:hAnsi="Courier New"/>
                <w:color w:val="1A1A6E"/>
                <w:sz w:val="19"/>
                <w:szCs w:val="19"/>
              </w:rPr>
              <w:t xml:space="preserve">boundaries / (legal_balls/6)</w:t>
            </w:r>
          </w:p>
        </w:tc>
        <w:tc>
          <w:tcPr>
            <w:tcW w:type="dxa" w:w="5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Boundaries per over in first 10 overs. Normalised measure of aggressive batting. Teams averaging 5+ boundaries/over in powerplay typically end up with high totals.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dot_rate_10</w:t>
            </w:r>
          </w:p>
        </w:tc>
        <w:tc>
          <w:tcPr>
            <w:tcW w:type="dxa" w:w="4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r>
              <w:rPr>
                <w:rFonts w:ascii="Courier New" w:cs="Courier New" w:eastAsia="Courier New" w:hAnsi="Courier New"/>
                <w:color w:val="1A1A6E"/>
                <w:sz w:val="19"/>
                <w:szCs w:val="19"/>
              </w:rPr>
              <w:t xml:space="preserve">dots / legal_balls</w:t>
            </w:r>
          </w:p>
        </w:tc>
        <w:tc>
          <w:tcPr>
            <w:tcW w:type="dxa" w:w="57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Proportion of legal balls that are dot balls. A dot rate &gt; 0.4 (40%+ of balls going for no score) indicates a team under pressure from tight bowling.</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pp_rr</w:t>
            </w:r>
          </w:p>
        </w:tc>
        <w:tc>
          <w:tcPr>
            <w:tcW w:type="dxa" w:w="4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r>
              <w:rPr>
                <w:rFonts w:ascii="Courier New" w:cs="Courier New" w:eastAsia="Courier New" w:hAnsi="Courier New"/>
                <w:color w:val="1A1A6E"/>
                <w:sz w:val="19"/>
                <w:szCs w:val="19"/>
              </w:rPr>
              <w:t xml:space="preserve">powerplay_runs / 6</w:t>
            </w:r>
          </w:p>
        </w:tc>
        <w:tc>
          <w:tcPr>
            <w:tcW w:type="dxa" w:w="57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Powerplay run rate (runs per over in first 6 overs). Isolated from overall run_rate_10 because the powerplay follows different fielding rules and thus has different scoring dynamics.</w:t>
            </w:r>
          </w:p>
        </w:tc>
      </w:tr>
    </w:tbl>
    <w:p>
      <w:pPr>
        <w:spacing w:after="0" w:before="160"/>
      </w:pPr>
      <w:r>
        <w:t xml:space="preserve"/>
      </w:r>
    </w:p>
    <w:p>
      <w:pPr>
        <w:pStyle w:val="Heading1"/>
        <w:pBdr>
          <w:bottom w:val="thick" w:color="2E75B6" w:sz="8" w:space="4"/>
        </w:pBdr>
        <w:spacing w:after="200" w:before="360"/>
      </w:pPr>
      <w:r>
        <w:rPr>
          <w:rFonts w:ascii="Arial" w:cs="Arial" w:eastAsia="Arial" w:hAnsi="Arial"/>
          <w:b/>
          <w:bCs/>
          <w:color w:val="1E3A5F"/>
          <w:sz w:val="32"/>
          <w:szCs w:val="32"/>
        </w:rPr>
        <w:t xml:space="preserve">5. Model Specifications</w:t>
      </w:r>
    </w:p>
    <w:p>
      <w:pPr>
        <w:pStyle w:val="Heading2"/>
        <w:spacing w:after="120" w:before="280"/>
      </w:pPr>
      <w:r>
        <w:rPr>
          <w:rFonts w:ascii="Arial" w:cs="Arial" w:eastAsia="Arial" w:hAnsi="Arial"/>
          <w:b/>
          <w:bCs/>
          <w:color w:val="2E75B6"/>
          <w:sz w:val="26"/>
          <w:szCs w:val="26"/>
        </w:rPr>
        <w:t xml:space="preserve">5.1 Train-Test Split</w:t>
      </w:r>
    </w:p>
    <w:p>
      <w:pPr>
        <w:spacing w:after="80" w:before="80"/>
      </w:pPr>
      <w:r>
        <w:rPr>
          <w:rFonts w:ascii="Arial" w:cs="Arial" w:eastAsia="Arial" w:hAnsi="Arial"/>
          <w:b/>
          <w:bCs/>
          <w:color w:val="1E3A5F"/>
          <w:sz w:val="22"/>
          <w:szCs w:val="22"/>
        </w:rPr>
        <w:t xml:space="preserve">Split: </w:t>
      </w:r>
      <w:r>
        <w:rPr>
          <w:rFonts w:ascii="Courier New" w:cs="Courier New" w:eastAsia="Courier New" w:hAnsi="Courier New"/>
          <w:color w:val="1A1A6E"/>
          <w:sz w:val="20"/>
          <w:szCs w:val="20"/>
        </w:rPr>
        <w:t xml:space="preserve">train_test_split(X, y, test_size=0.2, random_state=42)</w:t>
      </w:r>
    </w:p>
    <w:p>
      <w:pPr>
        <w:spacing w:after="80" w:before="80"/>
      </w:pPr>
      <w:r>
        <w:rPr>
          <w:rFonts w:ascii="Arial" w:cs="Arial" w:eastAsia="Arial" w:hAnsi="Arial"/>
          <w:sz w:val="22"/>
          <w:szCs w:val="22"/>
        </w:rPr>
        <w:t xml:space="preserve">80% of 2,180 samples (1,744 rows) for training; 20% (436 rows) for testing. Random seed 42 ensures reproducibility. Stratification is not applied (regression task).</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5.2 Model 1 — Linear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Parameter</w:t>
            </w:r>
          </w:p>
        </w:tc>
        <w:tc>
          <w:tcPr>
            <w:tcW w:type="dxa" w:w="686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 / Description</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Class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sklearn.linear_model.LinearRegression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Hyperparameters</w:t>
            </w:r>
          </w:p>
        </w:tc>
        <w:tc>
          <w:tcPr>
            <w:tcW w:type="dxa" w:w="68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Default (fit_intercept=True, normalize deprecated in 1.4)</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Preprocessing</w:t>
            </w:r>
          </w:p>
        </w:tc>
        <w:tc>
          <w:tcPr>
            <w:tcW w:type="dxa" w:w="6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StandardScaler applied (zero mean, unit variance) — required for LR to converge properly</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How it works</w:t>
            </w:r>
          </w:p>
        </w:tc>
        <w:tc>
          <w:tcPr>
            <w:tcW w:type="dxa" w:w="68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Minimizes Residual Sum of Squares (RSS) = Σ(yᵢ - ŷᵢ)². Fits a hyperplane in 28-dimensional feature space. Assumes linear relationship between features and target. Fast and interpretable — coefficient magnitudes reveal feature importance.</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Strengths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Fast training O(n·p²), highly interpretable coefficients, no overfitting with regularization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Weaknesses</w:t>
            </w:r>
          </w:p>
        </w:tc>
        <w:tc>
          <w:tcPr>
            <w:tcW w:type="dxa" w:w="68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Cannot capture non-linear interactions (e.g., runs_first10 × wickets_first10 interaction)</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5.3 Model 2 — Decision Tree Regressor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Parameter</w:t>
            </w:r>
          </w:p>
        </w:tc>
        <w:tc>
          <w:tcPr>
            <w:tcW w:type="dxa" w:w="686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 / Description</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Class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sklearn.tree.DecisionTreeRegressor</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max_depth</w:t>
            </w:r>
          </w:p>
        </w:tc>
        <w:tc>
          <w:tcPr>
            <w:tcW w:type="dxa" w:w="68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10 — limits tree depth to prevent overfitting (without limit, DT memorizes training data)</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random_state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42 — reproducible splits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Preprocessing</w:t>
            </w:r>
          </w:p>
        </w:tc>
        <w:tc>
          <w:tcPr>
            <w:tcW w:type="dxa" w:w="68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None — decision trees are scale-invariant</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How it works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Recursively partitions feature space using binary splits that minimize MSE at each node. Each leaf node predicts the mean of samples reaching it. Captures non-linear and interaction effects automatically.</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Strengths</w:t>
            </w:r>
          </w:p>
        </w:tc>
        <w:tc>
          <w:tcPr>
            <w:tcW w:type="dxa" w:w="68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Captures non-linearities, no scaling needed, interpretable via tree visualization</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Weaknesses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High variance — small data changes can produce very different trees. Prone to overfitting even with max_depth constraint.</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5.4 Model 3 — Random Forest Regressor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Parameter</w:t>
            </w:r>
          </w:p>
        </w:tc>
        <w:tc>
          <w:tcPr>
            <w:tcW w:type="dxa" w:w="686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 / Description</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Class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sklearn.ensemble.RandomForestRegressor</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n_estimators</w:t>
            </w:r>
          </w:p>
        </w:tc>
        <w:tc>
          <w:tcPr>
            <w:tcW w:type="dxa" w:w="68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200 — builds 200 decision trees, averaging their predictions to reduce variance</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max_depth</w:t>
            </w:r>
          </w:p>
        </w:tc>
        <w:tc>
          <w:tcPr>
            <w:tcW w:type="dxa" w:w="6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15 — allows individual trees to grow deep enough to model complexity</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random_state</w:t>
            </w:r>
          </w:p>
        </w:tc>
        <w:tc>
          <w:tcPr>
            <w:tcW w:type="dxa" w:w="68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42</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n_jobs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-1 — uses all CPU cores for parallel tree building</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Preprocessing</w:t>
            </w:r>
          </w:p>
        </w:tc>
        <w:tc>
          <w:tcPr>
            <w:tcW w:type="dxa" w:w="68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None — ensemble of trees is scale-invariant</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How it works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Bagging: trains 200 trees on random bootstrap samples of training data. Each split uses a random subset of features (√28 ≈ 5 features). Final prediction = mean of 200 tree predictions. This averaging drastically reduces variance vs. single DT.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Strengths</w:t>
            </w:r>
          </w:p>
        </w:tc>
        <w:tc>
          <w:tcPr>
            <w:tcW w:type="dxa" w:w="68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Robust to outliers, handles non-linearities, built-in feature importance, low variance</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Weaknesses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Slower training than DT/LR, less interpretable than single tree, can still overfit on small datasets</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5.5 Model 4 — Support Vector Regression (SVR)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Parameter</w:t>
            </w:r>
          </w:p>
        </w:tc>
        <w:tc>
          <w:tcPr>
            <w:tcW w:type="dxa" w:w="686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 / Description</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Class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sklearn.svm.SVR</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kernel</w:t>
            </w:r>
          </w:p>
        </w:tc>
        <w:tc>
          <w:tcPr>
            <w:tcW w:type="dxa" w:w="68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'rbf' (Radial Basis Function) — maps data to infinite-dimensional space for non-linear decision boundary</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C</w:t>
            </w:r>
          </w:p>
        </w:tc>
        <w:tc>
          <w:tcPr>
            <w:tcW w:type="dxa" w:w="6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200 — regularization: high C = fits training data closely (lower bias, higher variance)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gamma</w:t>
            </w:r>
          </w:p>
        </w:tc>
        <w:tc>
          <w:tcPr>
            <w:tcW w:type="dxa" w:w="68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0.05 — controls influence radius of each support vector. Lower = smoother, more generalized</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epsilon</w:t>
            </w:r>
          </w:p>
        </w:tc>
        <w:tc>
          <w:tcPr>
            <w:tcW w:type="dxa" w:w="6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0.1 — insensitive tube: predictions within ±0.1 of actual are not penalized</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Preprocessing</w:t>
            </w:r>
          </w:p>
        </w:tc>
        <w:tc>
          <w:tcPr>
            <w:tcW w:type="dxa" w:w="68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StandardScaler required — SVR is highly sensitive to feature scale</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How it works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Finds a function that deviates from actual values by at most ε (epsilon) for as many points as possible, while being as flat as possible. Uses kernel trick to handle non-linearity without explicitly computing high-dimensional features.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Strengths</w:t>
            </w:r>
          </w:p>
        </w:tc>
        <w:tc>
          <w:tcPr>
            <w:tcW w:type="dxa" w:w="68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Excellent on medium-sized datasets, handles non-linear boundaries well, margin-based loss function</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Weaknesses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O(n²) training complexity, no probabilistic output, difficult to interpret</w:t>
            </w:r>
          </w:p>
        </w:tc>
      </w:tr>
    </w:tbl>
    <w:p>
      <w:pPr>
        <w:spacing w:after="0" w:before="160"/>
      </w:pPr>
      <w:r>
        <w:t xml:space="preserve"/>
      </w:r>
    </w:p>
    <w:p>
      <w:pPr>
        <w:pStyle w:val="Heading1"/>
        <w:pBdr>
          <w:bottom w:val="thick" w:color="2E75B6" w:sz="8" w:space="4"/>
        </w:pBdr>
        <w:spacing w:after="200" w:before="360"/>
      </w:pPr>
      <w:r>
        <w:rPr>
          <w:rFonts w:ascii="Arial" w:cs="Arial" w:eastAsia="Arial" w:hAnsi="Arial"/>
          <w:b/>
          <w:bCs/>
          <w:color w:val="1E3A5F"/>
          <w:sz w:val="32"/>
          <w:szCs w:val="32"/>
        </w:rPr>
        <w:t xml:space="preserve">6. Stacking Ensemble — Technical Design</w:t>
      </w:r>
    </w:p>
    <w:p>
      <w:pPr>
        <w:pStyle w:val="Heading2"/>
        <w:spacing w:after="120" w:before="280"/>
      </w:pPr>
      <w:r>
        <w:rPr>
          <w:rFonts w:ascii="Arial" w:cs="Arial" w:eastAsia="Arial" w:hAnsi="Arial"/>
          <w:b/>
          <w:bCs/>
          <w:color w:val="2E75B6"/>
          <w:sz w:val="26"/>
          <w:szCs w:val="26"/>
        </w:rPr>
        <w:t xml:space="preserve">6.1 Model Selection Logic</w:t>
      </w:r>
    </w:p>
    <w:p>
      <w:pPr>
        <w:spacing w:after="80" w:before="80"/>
      </w:pPr>
      <w:r>
        <w:rPr>
          <w:rFonts w:ascii="Arial" w:cs="Arial" w:eastAsia="Arial" w:hAnsi="Arial"/>
          <w:sz w:val="22"/>
          <w:szCs w:val="22"/>
        </w:rPr>
        <w:t xml:space="preserve">After evaluating all 4 base models, the two with the lowest RMSE on the test set are selected as base learners. RMSE is preferred over R² because it is in the same unit as the target (runs), making it interpretable: an RMSE of 23 means predictions are off by ~23 runs on average.</w:t>
      </w:r>
    </w:p>
    <w:p>
      <w:pPr>
        <w:spacing w:after="0" w:before="80"/>
      </w:pPr>
      <w:r>
        <w:t xml:space="preserve"/>
      </w:r>
    </w:p>
    <w:p>
      <w:pPr>
        <w:spacing w:after="80" w:before="80"/>
      </w:pPr>
      <w:r>
        <w:rPr>
          <w:rFonts w:ascii="Arial" w:cs="Arial" w:eastAsia="Arial" w:hAnsi="Arial"/>
          <w:b/>
          <w:bCs/>
          <w:color w:val="1E3A5F"/>
          <w:sz w:val="22"/>
          <w:szCs w:val="22"/>
        </w:rPr>
        <w:t xml:space="preserve">Best 2 Models Identified: </w:t>
      </w:r>
      <w:r>
        <w:rPr>
          <w:rFonts w:ascii="Arial" w:cs="Arial" w:eastAsia="Arial" w:hAnsi="Arial"/>
          <w:sz w:val="22"/>
          <w:szCs w:val="22"/>
        </w:rPr>
        <w:t xml:space="preserve">Linear Regression (RMSE ≈ 23.37) and Random Forest Regressor (RMSE ≈ 23.38)</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6.2 Stacking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696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Specification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Base Learner 1</w:t>
            </w:r>
          </w:p>
        </w:tc>
        <w:tc>
          <w:tcPr>
            <w:tcW w:type="dxa" w:w="6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Linear Regression wrapped in StandardScaler pipeline — predictions on OOF (out-of-fold) data feed the meta-learner</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Base Learner 2</w:t>
            </w:r>
          </w:p>
        </w:tc>
        <w:tc>
          <w:tcPr>
            <w:tcW w:type="dxa" w:w="69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Random Forest Regressor (200 trees, max_depth=15) — no scaling needed</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Meta-Learner</w:t>
            </w:r>
          </w:p>
        </w:tc>
        <w:tc>
          <w:tcPr>
            <w:tcW w:type="dxa" w:w="6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LinearRegression — learns optimal linear combination of base learner predictions</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cv</w:t>
            </w:r>
          </w:p>
        </w:tc>
        <w:tc>
          <w:tcPr>
            <w:tcW w:type="dxa" w:w="69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5-fold cross-validation — each base learner generates OOF predictions on 5 different train/validation splits</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passthrough</w:t>
            </w:r>
          </w:p>
        </w:tc>
        <w:tc>
          <w:tcPr>
            <w:tcW w:type="dxa" w:w="6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False — meta-learner only sees base learner predictions, not raw features. Prevents overfitting by keeping the meta-layer simple.</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6.3 How Stacking Works</w:t>
      </w:r>
    </w:p>
    <w:p>
      <w:pPr>
        <w:spacing w:after="80" w:before="80"/>
      </w:pPr>
      <w:r>
        <w:rPr>
          <w:rFonts w:ascii="Arial" w:cs="Arial" w:eastAsia="Arial" w:hAnsi="Arial"/>
          <w:sz w:val="22"/>
          <w:szCs w:val="22"/>
        </w:rPr>
        <w:t xml:space="preserve">Stacking is a two-level ensemble:</w:t>
      </w:r>
    </w:p>
    <w:p>
      <w:pPr>
        <w:pStyle w:val="ListParagraph"/>
        <w:numPr>
          <w:ilvl w:val="0"/>
          <w:numId w:val="2"/>
        </w:numPr>
        <w:spacing w:after="60" w:before="60"/>
      </w:pPr>
      <w:r>
        <w:rPr>
          <w:rFonts w:ascii="Arial" w:cs="Arial" w:eastAsia="Arial" w:hAnsi="Arial"/>
          <w:sz w:val="22"/>
          <w:szCs w:val="22"/>
        </w:rPr>
        <w:t xml:space="preserve">Level 1 — Base Learners: Each base model trains on 5 folds. For each fold, it predicts on the held-out fold. After all 5 folds, every training sample has an OOF prediction from each base learner. These OOF predictions form a new feature matrix for the meta-learner.</w:t>
      </w:r>
    </w:p>
    <w:p>
      <w:pPr>
        <w:pStyle w:val="ListParagraph"/>
        <w:numPr>
          <w:ilvl w:val="0"/>
          <w:numId w:val="2"/>
        </w:numPr>
        <w:spacing w:after="60" w:before="60"/>
      </w:pPr>
      <w:r>
        <w:rPr>
          <w:rFonts w:ascii="Arial" w:cs="Arial" w:eastAsia="Arial" w:hAnsi="Arial"/>
          <w:sz w:val="22"/>
          <w:szCs w:val="22"/>
        </w:rPr>
        <w:t xml:space="preserve">Level 2 — Meta-Learner: The Linear Regression meta-learner is trained on the stacked OOF predictions. It learns the optimal weight to assign to each base learner's output. On test data, base learners predict on the full test set and the meta-learner combines them.</w:t>
      </w:r>
    </w:p>
    <w:p>
      <w:pPr>
        <w:spacing w:after="0" w:before="80"/>
      </w:pPr>
      <w:r>
        <w:t xml:space="preserve"/>
      </w:r>
    </w:p>
    <w:p>
      <w:pPr>
        <w:pStyle w:val="Heading3"/>
        <w:spacing w:after="80" w:before="200"/>
      </w:pPr>
      <w:r>
        <w:rPr>
          <w:rFonts w:ascii="Arial" w:cs="Arial" w:eastAsia="Arial" w:hAnsi="Arial"/>
          <w:b/>
          <w:bCs/>
          <w:color w:val="1E3A5F"/>
          <w:sz w:val="22"/>
          <w:szCs w:val="22"/>
        </w:rPr>
        <w:t xml:space="preserve">Why This Improves on Individual Models</w:t>
      </w:r>
    </w:p>
    <w:p>
      <w:pPr>
        <w:spacing w:after="80" w:before="80"/>
      </w:pPr>
      <w:r>
        <w:rPr>
          <w:rFonts w:ascii="Arial" w:cs="Arial" w:eastAsia="Arial" w:hAnsi="Arial"/>
          <w:sz w:val="22"/>
          <w:szCs w:val="22"/>
        </w:rPr>
        <w:t xml:space="preserve">Linear Regression excels at capturing linear trends in historical averages; Random Forest excels at non-linear patterns in partial innings data. By stacking, the meta-learner learns that LR is better in some conditions (e.g., low-data teams) and RF is better in others (e.g., unusual scoring patterns), producing better overall predictions.</w:t>
      </w:r>
    </w:p>
    <w:p>
      <w:pPr>
        <w:spacing w:after="0" w:before="160"/>
      </w:pPr>
      <w:r>
        <w:t xml:space="preserve"/>
      </w:r>
    </w:p>
    <w:p>
      <w:pPr>
        <w:pStyle w:val="Heading1"/>
        <w:pBdr>
          <w:bottom w:val="thick" w:color="2E75B6" w:sz="8" w:space="4"/>
        </w:pBdr>
        <w:spacing w:after="200" w:before="360"/>
      </w:pPr>
      <w:r>
        <w:rPr>
          <w:rFonts w:ascii="Arial" w:cs="Arial" w:eastAsia="Arial" w:hAnsi="Arial"/>
          <w:b/>
          <w:bCs/>
          <w:color w:val="1E3A5F"/>
          <w:sz w:val="32"/>
          <w:szCs w:val="32"/>
        </w:rPr>
        <w:t xml:space="preserve">7. Model Results</w:t>
      </w:r>
    </w:p>
    <w:p>
      <w:pPr>
        <w:pStyle w:val="Heading2"/>
        <w:spacing w:after="120" w:before="280"/>
      </w:pPr>
      <w:r>
        <w:rPr>
          <w:rFonts w:ascii="Arial" w:cs="Arial" w:eastAsia="Arial" w:hAnsi="Arial"/>
          <w:b/>
          <w:bCs/>
          <w:color w:val="2E75B6"/>
          <w:sz w:val="26"/>
          <w:szCs w:val="26"/>
        </w:rPr>
        <w:t xml:space="preserve">7.1 Evaluation Metrics Explained</w:t>
      </w:r>
    </w:p>
    <w:p>
      <w:pPr>
        <w:spacing w:after="80" w:before="80"/>
      </w:pPr>
      <w:r>
        <w:rPr>
          <w:rFonts w:ascii="Arial" w:cs="Arial" w:eastAsia="Arial" w:hAnsi="Arial"/>
          <w:b/>
          <w:bCs/>
          <w:color w:val="1E3A5F"/>
          <w:sz w:val="22"/>
          <w:szCs w:val="22"/>
        </w:rPr>
        <w:t xml:space="preserve">MSE (Mean Squared Error): </w:t>
      </w:r>
      <w:r>
        <w:rPr>
          <w:rFonts w:ascii="Arial" w:cs="Arial" w:eastAsia="Arial" w:hAnsi="Arial"/>
          <w:sz w:val="22"/>
          <w:szCs w:val="22"/>
        </w:rPr>
        <w:t xml:space="preserve">Average of squared differences between predicted and actual scores. Penalises large errors heavily. Unit: runs². Lower = better.</w:t>
      </w:r>
    </w:p>
    <w:p>
      <w:pPr>
        <w:spacing w:after="80" w:before="80"/>
      </w:pPr>
      <w:r>
        <w:rPr>
          <w:rFonts w:ascii="Arial" w:cs="Arial" w:eastAsia="Arial" w:hAnsi="Arial"/>
          <w:b/>
          <w:bCs/>
          <w:color w:val="1E3A5F"/>
          <w:sz w:val="22"/>
          <w:szCs w:val="22"/>
        </w:rPr>
        <w:t xml:space="preserve">RMSE (Root Mean Squared Error): </w:t>
      </w:r>
      <w:r>
        <w:rPr>
          <w:rFonts w:ascii="Arial" w:cs="Arial" w:eastAsia="Arial" w:hAnsi="Arial"/>
          <w:sz w:val="22"/>
          <w:szCs w:val="22"/>
        </w:rPr>
        <w:t xml:space="preserve">Square root of MSE. Same unit as target (runs). An RMSE of 23 means predictions are off by ~23 runs on average. Lower = better.</w:t>
      </w:r>
    </w:p>
    <w:p>
      <w:pPr>
        <w:spacing w:after="80" w:before="80"/>
      </w:pPr>
      <w:r>
        <w:rPr>
          <w:rFonts w:ascii="Arial" w:cs="Arial" w:eastAsia="Arial" w:hAnsi="Arial"/>
          <w:b/>
          <w:bCs/>
          <w:color w:val="1E3A5F"/>
          <w:sz w:val="22"/>
          <w:szCs w:val="22"/>
        </w:rPr>
        <w:t xml:space="preserve">R² (Coefficient of Determination): </w:t>
      </w:r>
      <w:r>
        <w:rPr>
          <w:rFonts w:ascii="Arial" w:cs="Arial" w:eastAsia="Arial" w:hAnsi="Arial"/>
          <w:sz w:val="22"/>
          <w:szCs w:val="22"/>
        </w:rPr>
        <w:t xml:space="preserve">Proportion of variance in the target explained by the model. R²=1.0 is perfect; R²=0 means the model is no better than predicting the mean. Higher = better.</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7.2 Results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Model</w:t>
            </w:r>
          </w:p>
        </w:tc>
        <w:tc>
          <w:tcPr>
            <w:tcW w:type="dxa" w:w="20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MSE</w:t>
            </w:r>
          </w:p>
        </w:tc>
        <w:tc>
          <w:tcPr>
            <w:tcW w:type="dxa" w:w="20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RMSE</w:t>
            </w:r>
          </w:p>
        </w:tc>
        <w:tc>
          <w:tcPr>
            <w:tcW w:type="dxa" w:w="20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R²</w:t>
            </w:r>
          </w:p>
        </w:tc>
      </w:tr>
      <w:tr>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Linear Regression</w:t>
            </w:r>
          </w:p>
        </w:tc>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right"/>
            </w:pPr>
            <w:r>
              <w:rPr>
                <w:rFonts w:ascii="Arial" w:cs="Arial" w:eastAsia="Arial" w:hAnsi="Arial"/>
                <w:color w:val="111111"/>
                <w:sz w:val="20"/>
                <w:szCs w:val="20"/>
              </w:rPr>
              <w:t xml:space="preserve">546.19</w:t>
            </w:r>
          </w:p>
        </w:tc>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right"/>
            </w:pPr>
            <w:r>
              <w:rPr>
                <w:rFonts w:ascii="Arial" w:cs="Arial" w:eastAsia="Arial" w:hAnsi="Arial"/>
                <w:color w:val="111111"/>
                <w:sz w:val="20"/>
                <w:szCs w:val="20"/>
              </w:rPr>
              <w:t xml:space="preserve">23.37</w:t>
            </w:r>
          </w:p>
        </w:tc>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right"/>
            </w:pPr>
            <w:r>
              <w:rPr>
                <w:rFonts w:ascii="Arial" w:cs="Arial" w:eastAsia="Arial" w:hAnsi="Arial"/>
                <w:color w:val="111111"/>
                <w:sz w:val="20"/>
                <w:szCs w:val="20"/>
              </w:rPr>
              <w:t xml:space="preserve">0.4558</w:t>
            </w:r>
          </w:p>
        </w:tc>
      </w:tr>
      <w:tr>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Decision Tree Regressor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right"/>
            </w:pPr>
            <w:r>
              <w:rPr>
                <w:rFonts w:ascii="Arial" w:cs="Arial" w:eastAsia="Arial" w:hAnsi="Arial"/>
                <w:color w:val="111111"/>
                <w:sz w:val="20"/>
                <w:szCs w:val="20"/>
              </w:rPr>
              <w:t xml:space="preserve">836.44</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right"/>
            </w:pPr>
            <w:r>
              <w:rPr>
                <w:rFonts w:ascii="Arial" w:cs="Arial" w:eastAsia="Arial" w:hAnsi="Arial"/>
                <w:color w:val="111111"/>
                <w:sz w:val="20"/>
                <w:szCs w:val="20"/>
              </w:rPr>
              <w:t xml:space="preserve">28.92</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right"/>
            </w:pPr>
            <w:r>
              <w:rPr>
                <w:rFonts w:ascii="Arial" w:cs="Arial" w:eastAsia="Arial" w:hAnsi="Arial"/>
                <w:color w:val="111111"/>
                <w:sz w:val="20"/>
                <w:szCs w:val="20"/>
              </w:rPr>
              <w:t xml:space="preserve">0.1666</w:t>
            </w:r>
          </w:p>
        </w:tc>
      </w:tr>
      <w:tr>
        <w:tc>
          <w:tcPr>
            <w:tcW w:type="dxa" w:w="33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Random Forest Regressor</w:t>
            </w:r>
          </w:p>
        </w:tc>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right"/>
            </w:pPr>
            <w:r>
              <w:rPr>
                <w:rFonts w:ascii="Arial" w:cs="Arial" w:eastAsia="Arial" w:hAnsi="Arial"/>
                <w:color w:val="111111"/>
                <w:sz w:val="20"/>
                <w:szCs w:val="20"/>
              </w:rPr>
              <w:t xml:space="preserve">546.66</w:t>
            </w:r>
          </w:p>
        </w:tc>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right"/>
            </w:pPr>
            <w:r>
              <w:rPr>
                <w:rFonts w:ascii="Arial" w:cs="Arial" w:eastAsia="Arial" w:hAnsi="Arial"/>
                <w:color w:val="111111"/>
                <w:sz w:val="20"/>
                <w:szCs w:val="20"/>
              </w:rPr>
              <w:t xml:space="preserve">23.38</w:t>
            </w:r>
          </w:p>
        </w:tc>
        <w:tc>
          <w:tcPr>
            <w:tcW w:type="dxa" w:w="20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right"/>
            </w:pPr>
            <w:r>
              <w:rPr>
                <w:rFonts w:ascii="Arial" w:cs="Arial" w:eastAsia="Arial" w:hAnsi="Arial"/>
                <w:color w:val="111111"/>
                <w:sz w:val="20"/>
                <w:szCs w:val="20"/>
              </w:rPr>
              <w:t xml:space="preserve">0.4553</w:t>
            </w:r>
          </w:p>
        </w:tc>
      </w:tr>
      <w:tr>
        <w:tc>
          <w:tcPr>
            <w:tcW w:type="dxa" w:w="33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SVM (SVR)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right"/>
            </w:pPr>
            <w:r>
              <w:rPr>
                <w:rFonts w:ascii="Arial" w:cs="Arial" w:eastAsia="Arial" w:hAnsi="Arial"/>
                <w:color w:val="111111"/>
                <w:sz w:val="20"/>
                <w:szCs w:val="20"/>
              </w:rPr>
              <w:t xml:space="preserve">723.74</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right"/>
            </w:pPr>
            <w:r>
              <w:rPr>
                <w:rFonts w:ascii="Arial" w:cs="Arial" w:eastAsia="Arial" w:hAnsi="Arial"/>
                <w:color w:val="111111"/>
                <w:sz w:val="20"/>
                <w:szCs w:val="20"/>
              </w:rPr>
              <w:t xml:space="preserve">26.90</w:t>
            </w:r>
          </w:p>
        </w:tc>
        <w:tc>
          <w:tcPr>
            <w:tcW w:type="dxa" w:w="20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right"/>
            </w:pPr>
            <w:r>
              <w:rPr>
                <w:rFonts w:ascii="Arial" w:cs="Arial" w:eastAsia="Arial" w:hAnsi="Arial"/>
                <w:color w:val="111111"/>
                <w:sz w:val="20"/>
                <w:szCs w:val="20"/>
              </w:rPr>
              <w:t xml:space="preserve">0.2789</w:t>
            </w:r>
          </w:p>
        </w:tc>
      </w:tr>
      <w:tr>
        <w:tc>
          <w:tcPr>
            <w:tcW w:type="dxa" w:w="3360"/>
            <w:tcBorders>
              <w:top w:val="single" w:color="2E75B6" w:sz="4"/>
              <w:left w:val="single" w:color="2E75B6" w:sz="4"/>
              <w:bottom w:val="single" w:color="2E75B6" w:sz="4"/>
              <w:right w:val="single" w:color="2E75B6" w:sz="4"/>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Stacking (LR + RF)</w:t>
            </w:r>
          </w:p>
        </w:tc>
        <w:tc>
          <w:tcPr>
            <w:tcW w:type="dxa" w:w="2000"/>
            <w:tcBorders>
              <w:top w:val="single" w:color="2E75B6" w:sz="4"/>
              <w:left w:val="single" w:color="2E75B6" w:sz="4"/>
              <w:bottom w:val="single" w:color="2E75B6" w:sz="4"/>
              <w:right w:val="single" w:color="2E75B6" w:sz="4"/>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517.71</w:t>
            </w:r>
          </w:p>
        </w:tc>
        <w:tc>
          <w:tcPr>
            <w:tcW w:type="dxa" w:w="2000"/>
            <w:tcBorders>
              <w:top w:val="single" w:color="2E75B6" w:sz="4"/>
              <w:left w:val="single" w:color="2E75B6" w:sz="4"/>
              <w:bottom w:val="single" w:color="2E75B6" w:sz="4"/>
              <w:right w:val="single" w:color="2E75B6" w:sz="4"/>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22.75</w:t>
            </w:r>
          </w:p>
        </w:tc>
        <w:tc>
          <w:tcPr>
            <w:tcW w:type="dxa" w:w="2000"/>
            <w:tcBorders>
              <w:top w:val="single" w:color="2E75B6" w:sz="4"/>
              <w:left w:val="single" w:color="2E75B6" w:sz="4"/>
              <w:bottom w:val="single" w:color="2E75B6" w:sz="4"/>
              <w:right w:val="single" w:color="2E75B6" w:sz="4"/>
            </w:tcBorders>
            <w:shd w:fill="1A5C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0.4841</w:t>
            </w:r>
          </w:p>
        </w:tc>
      </w:tr>
    </w:tbl>
    <w:p>
      <w:pPr>
        <w:spacing w:after="0" w:before="80"/>
      </w:pPr>
      <w:r>
        <w:t xml:space="preserve"/>
      </w:r>
    </w:p>
    <w:p>
      <w:pPr>
        <w:spacing w:after="80" w:before="80"/>
      </w:pPr>
      <w:r>
        <w:rPr>
          <w:rFonts w:ascii="Arial" w:cs="Arial" w:eastAsia="Arial" w:hAnsi="Arial"/>
          <w:b/>
          <w:bCs/>
          <w:color w:val="C9402A"/>
          <w:sz w:val="22"/>
          <w:szCs w:val="22"/>
        </w:rPr>
        <w:t xml:space="preserve">Key Findings:</w:t>
      </w:r>
    </w:p>
    <w:p>
      <w:pPr>
        <w:pStyle w:val="ListParagraph"/>
        <w:numPr>
          <w:ilvl w:val="0"/>
          <w:numId w:val="3"/>
        </w:numPr>
        <w:spacing w:after="60" w:before="60"/>
      </w:pPr>
      <w:r>
        <w:rPr>
          <w:rFonts w:ascii="Arial" w:cs="Arial" w:eastAsia="Arial" w:hAnsi="Arial"/>
          <w:sz w:val="22"/>
          <w:szCs w:val="22"/>
        </w:rPr>
        <w:t xml:space="preserve">Stacking Ensemble achieves the best RMSE (22.75 runs) and R² (0.4841) — a 2.7% improvement in RMSE over the best individual model.</w:t>
      </w:r>
    </w:p>
    <w:p>
      <w:pPr>
        <w:pStyle w:val="ListParagraph"/>
        <w:numPr>
          <w:ilvl w:val="0"/>
          <w:numId w:val="3"/>
        </w:numPr>
        <w:spacing w:after="60" w:before="60"/>
      </w:pPr>
      <w:r>
        <w:rPr>
          <w:rFonts w:ascii="Arial" w:cs="Arial" w:eastAsia="Arial" w:hAnsi="Arial"/>
          <w:sz w:val="22"/>
          <w:szCs w:val="22"/>
        </w:rPr>
        <w:t xml:space="preserve">Linear Regression and Random Forest Regressor perform nearly identically (RMSE ~23.37 vs 23.38), suggesting the dataset's inherent non-linearity is moderate.</w:t>
      </w:r>
    </w:p>
    <w:p>
      <w:pPr>
        <w:pStyle w:val="ListParagraph"/>
        <w:numPr>
          <w:ilvl w:val="0"/>
          <w:numId w:val="3"/>
        </w:numPr>
        <w:spacing w:after="60" w:before="60"/>
      </w:pPr>
      <w:r>
        <w:rPr>
          <w:rFonts w:ascii="Arial" w:cs="Arial" w:eastAsia="Arial" w:hAnsi="Arial"/>
          <w:sz w:val="22"/>
          <w:szCs w:val="22"/>
        </w:rPr>
        <w:t xml:space="preserve">Decision Tree Regressor suffers from high variance (R²=0.1666) — individual trees are too sensitive to the training split.</w:t>
      </w:r>
    </w:p>
    <w:p>
      <w:pPr>
        <w:pStyle w:val="ListParagraph"/>
        <w:numPr>
          <w:ilvl w:val="0"/>
          <w:numId w:val="3"/>
        </w:numPr>
        <w:spacing w:after="60" w:before="60"/>
      </w:pPr>
      <w:r>
        <w:rPr>
          <w:rFonts w:ascii="Arial" w:cs="Arial" w:eastAsia="Arial" w:hAnsi="Arial"/>
          <w:sz w:val="22"/>
          <w:szCs w:val="22"/>
        </w:rPr>
        <w:t xml:space="preserve">SVR achieves R²=0.2789 with the most consistent error distribution but is the slowest model to train.</w:t>
      </w:r>
    </w:p>
    <w:p>
      <w:pPr>
        <w:pStyle w:val="ListParagraph"/>
        <w:numPr>
          <w:ilvl w:val="0"/>
          <w:numId w:val="3"/>
        </w:numPr>
        <w:spacing w:after="60" w:before="60"/>
      </w:pPr>
      <w:r>
        <w:rPr>
          <w:rFonts w:ascii="Arial" w:cs="Arial" w:eastAsia="Arial" w:hAnsi="Arial"/>
          <w:sz w:val="22"/>
          <w:szCs w:val="22"/>
        </w:rPr>
        <w:t xml:space="preserve">An R² of ~0.48 for this task is reasonable: predicting the final T20 score from only 10 overs has inherent uncertainty due to late-innings explosions, weather, and pitch-breaking.</w:t>
      </w:r>
    </w:p>
    <w:p>
      <w:pPr>
        <w:spacing w:after="0" w:before="160"/>
      </w:pPr>
      <w:r>
        <w:t xml:space="preserve"/>
      </w:r>
    </w:p>
    <w:p>
      <w:pPr>
        <w:pStyle w:val="Heading1"/>
        <w:pBdr>
          <w:bottom w:val="thick" w:color="2E75B6" w:sz="8" w:space="4"/>
        </w:pBdr>
        <w:spacing w:after="200" w:before="360"/>
      </w:pPr>
      <w:r>
        <w:rPr>
          <w:rFonts w:ascii="Arial" w:cs="Arial" w:eastAsia="Arial" w:hAnsi="Arial"/>
          <w:b/>
          <w:bCs/>
          <w:color w:val="1E3A5F"/>
          <w:sz w:val="32"/>
          <w:szCs w:val="32"/>
        </w:rPr>
        <w:t xml:space="preserve">8. Code Specification</w:t>
      </w:r>
    </w:p>
    <w:p>
      <w:pPr>
        <w:pStyle w:val="Heading2"/>
        <w:spacing w:after="120" w:before="280"/>
      </w:pPr>
      <w:r>
        <w:rPr>
          <w:rFonts w:ascii="Arial" w:cs="Arial" w:eastAsia="Arial" w:hAnsi="Arial"/>
          <w:b/>
          <w:bCs/>
          <w:color w:val="2E75B6"/>
          <w:sz w:val="26"/>
          <w:szCs w:val="26"/>
        </w:rPr>
        <w:t xml:space="preserve">8.1 File Structure</w:t>
      </w:r>
    </w:p>
    <w:p>
      <w:pPr>
        <w:pStyle w:val="ListParagraph"/>
        <w:numPr>
          <w:ilvl w:val="0"/>
          <w:numId w:val="3"/>
        </w:numPr>
        <w:spacing w:after="60" w:before="60"/>
      </w:pPr>
      <w:r>
        <w:rPr>
          <w:rFonts w:ascii="Arial" w:cs="Arial" w:eastAsia="Arial" w:hAnsi="Arial"/>
          <w:sz w:val="22"/>
          <w:szCs w:val="22"/>
        </w:rPr>
        <w:t xml:space="preserve">ipl_model.py — Main pipeline (preprocessing → feature engineering → model training → stacking)</w:t>
      </w:r>
    </w:p>
    <w:p>
      <w:pPr>
        <w:pStyle w:val="ListParagraph"/>
        <w:numPr>
          <w:ilvl w:val="0"/>
          <w:numId w:val="3"/>
        </w:numPr>
        <w:spacing w:after="60" w:before="60"/>
      </w:pPr>
      <w:r>
        <w:rPr>
          <w:rFonts w:ascii="Arial" w:cs="Arial" w:eastAsia="Arial" w:hAnsi="Arial"/>
          <w:sz w:val="22"/>
          <w:szCs w:val="22"/>
        </w:rPr>
        <w:t xml:space="preserve">model_results.json — Output metrics (MSE, RMSE, R², best2, feature_cols, n_train, n_test)</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8.2 Key Functions /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Block</w:t>
            </w:r>
          </w:p>
        </w:tc>
        <w:tc>
          <w:tcPr>
            <w:tcW w:type="dxa" w:w="656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Responsibility</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Data Load</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pd.read_csv for both files; shape/dtype logging</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Preprocessing</w:t>
            </w:r>
          </w:p>
        </w:tc>
        <w:tc>
          <w:tcPr>
            <w:tcW w:type="dxa" w:w="65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8 steps as defined in Section 3; inplace operations on DataFrames</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Aggregation</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groupby(['match_id','inning']) for all per-innings stats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Historical Averages</w:t>
            </w:r>
          </w:p>
        </w:tc>
        <w:tc>
          <w:tcPr>
            <w:tcW w:type="dxa" w:w="65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sort_values + groupby + expanding().mean() + shift(1)</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Feature Matrix</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Merge 10+ sub-DataFrames; LabelEncoder for categoricals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Train/Test Split</w:t>
            </w:r>
          </w:p>
        </w:tc>
        <w:tc>
          <w:tcPr>
            <w:tcW w:type="dxa" w:w="65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train_test_split(test_size=0.2, random_state=42)</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Scaling</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StandardScaler fit on X_train, transform on both X_train and X_test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Model Training</w:t>
            </w:r>
          </w:p>
        </w:tc>
        <w:tc>
          <w:tcPr>
            <w:tcW w:type="dxa" w:w="65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ev() helper function: fit, predict, compute MSE/RMSE/R², store in results dict</w:t>
            </w:r>
          </w:p>
        </w:tc>
      </w:tr>
      <w:tr>
        <w:tc>
          <w:tcPr>
            <w:tcW w:type="dxa" w:w="28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Stacking</w:t>
            </w:r>
          </w:p>
        </w:tc>
        <w:tc>
          <w:tcPr>
            <w:tcW w:type="dxa" w:w="65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StackingRegressor with make_pipeline for scaled base learners; cv=5</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JSON Export</w:t>
            </w:r>
          </w:p>
        </w:tc>
        <w:tc>
          <w:tcPr>
            <w:tcW w:type="dxa" w:w="65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json.dump to model_results.json with all metrics, best2, feature_cols</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8.3 Critical Implementation Notes</w:t>
      </w:r>
    </w:p>
    <w:p>
      <w:pPr>
        <w:pStyle w:val="ListParagraph"/>
        <w:numPr>
          <w:ilvl w:val="0"/>
          <w:numId w:val="3"/>
        </w:numPr>
        <w:spacing w:after="60" w:before="60"/>
      </w:pPr>
      <w:r>
        <w:rPr>
          <w:rFonts w:ascii="Arial" w:cs="Arial" w:eastAsia="Arial" w:hAnsi="Arial"/>
          <w:sz w:val="22"/>
          <w:szCs w:val="22"/>
        </w:rPr>
        <w:t xml:space="preserve">Leakage prevention: all partial-innings features use deliveries[deliveries['over'] &lt; 10] — strictly first 10 overs only.</w:t>
      </w:r>
    </w:p>
    <w:p>
      <w:pPr>
        <w:pStyle w:val="ListParagraph"/>
        <w:numPr>
          <w:ilvl w:val="0"/>
          <w:numId w:val="3"/>
        </w:numPr>
        <w:spacing w:after="60" w:before="60"/>
      </w:pPr>
      <w:r>
        <w:rPr>
          <w:rFonts w:ascii="Arial" w:cs="Arial" w:eastAsia="Arial" w:hAnsi="Arial"/>
          <w:sz w:val="22"/>
          <w:szCs w:val="22"/>
        </w:rPr>
        <w:t xml:space="preserve">Historical averages use .shift(1) + .expanding().mean() to ensure each match's average is computed only from previous matches.</w:t>
      </w:r>
    </w:p>
    <w:p>
      <w:pPr>
        <w:pStyle w:val="ListParagraph"/>
        <w:numPr>
          <w:ilvl w:val="0"/>
          <w:numId w:val="3"/>
        </w:numPr>
        <w:spacing w:after="60" w:before="60"/>
      </w:pPr>
      <w:r>
        <w:rPr>
          <w:rFonts w:ascii="Arial" w:cs="Arial" w:eastAsia="Arial" w:hAnsi="Arial"/>
          <w:sz w:val="22"/>
          <w:szCs w:val="22"/>
        </w:rPr>
        <w:t xml:space="preserve">StandardScaler is fit only on X_train, never on X_test — prevents test data statistics from leaking into scaler parameters.</w:t>
      </w:r>
    </w:p>
    <w:p>
      <w:pPr>
        <w:pStyle w:val="ListParagraph"/>
        <w:numPr>
          <w:ilvl w:val="0"/>
          <w:numId w:val="3"/>
        </w:numPr>
        <w:spacing w:after="60" w:before="60"/>
      </w:pPr>
      <w:r>
        <w:rPr>
          <w:rFonts w:ascii="Arial" w:cs="Arial" w:eastAsia="Arial" w:hAnsi="Arial"/>
          <w:sz w:val="22"/>
          <w:szCs w:val="22"/>
        </w:rPr>
        <w:t xml:space="preserve">Stacking base learners that require scaling are wrapped in sklearn Pipeline objects so the scaler is part of the base estimator.</w:t>
      </w:r>
    </w:p>
    <w:p>
      <w:pPr>
        <w:pStyle w:val="ListParagraph"/>
        <w:numPr>
          <w:ilvl w:val="0"/>
          <w:numId w:val="3"/>
        </w:numPr>
        <w:spacing w:after="60" w:before="60"/>
      </w:pPr>
      <w:r>
        <w:rPr>
          <w:rFonts w:ascii="Arial" w:cs="Arial" w:eastAsia="Arial" w:hAnsi="Arial"/>
          <w:sz w:val="22"/>
          <w:szCs w:val="22"/>
        </w:rPr>
        <w:t xml:space="preserve">passthrough=False in StackingRegressor ensures the meta-learner only sees base learner outputs, keeping the level-2 model simple.</w:t>
      </w:r>
    </w:p>
    <w:p>
      <w:pPr>
        <w:spacing w:after="0" w:before="160"/>
      </w:pPr>
      <w:r>
        <w:t xml:space="preserve"/>
      </w:r>
    </w:p>
    <w:p>
      <w:pPr>
        <w:pStyle w:val="Heading1"/>
        <w:pBdr>
          <w:bottom w:val="thick" w:color="2E75B6" w:sz="8" w:space="4"/>
        </w:pBdr>
        <w:spacing w:after="200" w:before="360"/>
      </w:pPr>
      <w:r>
        <w:rPr>
          <w:rFonts w:ascii="Arial" w:cs="Arial" w:eastAsia="Arial" w:hAnsi="Arial"/>
          <w:b/>
          <w:bCs/>
          <w:color w:val="1E3A5F"/>
          <w:sz w:val="32"/>
          <w:szCs w:val="32"/>
        </w:rPr>
        <w:t xml:space="preserve">9. Deployment Considerations</w:t>
      </w:r>
    </w:p>
    <w:p>
      <w:pPr>
        <w:pStyle w:val="Heading2"/>
        <w:spacing w:after="120" w:before="280"/>
      </w:pPr>
      <w:r>
        <w:rPr>
          <w:rFonts w:ascii="Arial" w:cs="Arial" w:eastAsia="Arial" w:hAnsi="Arial"/>
          <w:b/>
          <w:bCs/>
          <w:color w:val="2E75B6"/>
          <w:sz w:val="26"/>
          <w:szCs w:val="26"/>
        </w:rPr>
        <w:t xml:space="preserve">9.1 Environment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6960"/>
            <w:tcBorders>
              <w:top w:val="single" w:color="2E75B6" w:sz="4"/>
              <w:left w:val="single" w:color="2E75B6" w:sz="4"/>
              <w:bottom w:val="single" w:color="2E75B6" w:sz="4"/>
              <w:right w:val="single" w:color="2E75B6"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Specification</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Python</w:t>
            </w:r>
          </w:p>
        </w:tc>
        <w:tc>
          <w:tcPr>
            <w:tcW w:type="dxa" w:w="6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3.11+ (tested on 3.11.x)</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pandas</w:t>
            </w:r>
          </w:p>
        </w:tc>
        <w:tc>
          <w:tcPr>
            <w:tcW w:type="dxa" w:w="69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2.0+ (uses StringDtype, new groupby behavior)</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scikit-learn</w:t>
            </w:r>
          </w:p>
        </w:tc>
        <w:tc>
          <w:tcPr>
            <w:tcW w:type="dxa" w:w="6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1.4+ (StackingRegressor, Pipeline compatibility)</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numpy</w:t>
            </w:r>
          </w:p>
        </w:tc>
        <w:tc>
          <w:tcPr>
            <w:tcW w:type="dxa" w:w="69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1.26+</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RAM</w:t>
            </w:r>
          </w:p>
        </w:tc>
        <w:tc>
          <w:tcPr>
            <w:tcW w:type="dxa" w:w="696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Minimum 4GB; 8GB recommended for SVR + Random Forest parallel training</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40"/>
              <w:bottom w:type="dxa" w:w="80"/>
              <w:right w:type="dxa" w:w="140"/>
            </w:tcMar>
          </w:tcPr>
          <w:p>
            <w:pPr>
              <w:jc w:val="left"/>
            </w:pPr>
            <w:r>
              <w:rPr>
                <w:rFonts w:ascii="Arial" w:cs="Arial" w:eastAsia="Arial" w:hAnsi="Arial"/>
                <w:color w:val="111111"/>
                <w:sz w:val="20"/>
                <w:szCs w:val="20"/>
              </w:rPr>
              <w:t xml:space="preserve">CPU</w:t>
            </w:r>
          </w:p>
        </w:tc>
        <w:tc>
          <w:tcPr>
            <w:tcW w:type="dxa" w:w="6960"/>
            <w:tcBorders>
              <w:top w:val="single" w:color="AAAAAA" w:sz="4"/>
              <w:left w:val="single" w:color="AAAAAA" w:sz="4"/>
              <w:bottom w:val="single" w:color="AAAAAA" w:sz="4"/>
              <w:right w:val="single" w:color="AAAAAA" w:sz="4"/>
            </w:tcBorders>
            <w:shd w:fill="F2F2F2" w:val="clear"/>
            <w:tcMar>
              <w:top w:type="dxa" w:w="80"/>
              <w:left w:type="dxa" w:w="140"/>
              <w:bottom w:type="dxa" w:w="80"/>
              <w:right w:type="dxa" w:w="140"/>
            </w:tcMar>
          </w:tcPr>
          <w:p>
            <w:pPr>
              <w:jc w:val="left"/>
            </w:pPr>
            <w:r>
              <w:rPr>
                <w:rFonts w:ascii="Arial" w:cs="Arial" w:eastAsia="Arial" w:hAnsi="Arial"/>
                <w:color w:val="111111"/>
                <w:sz w:val="20"/>
                <w:szCs w:val="20"/>
              </w:rPr>
              <w:t xml:space="preserve">Multi-core recommended (RandomForest uses n_jobs=-1)</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9.2 Installation</w:t>
      </w:r>
    </w:p>
    <w:p>
      <w:pPr>
        <w:spacing w:after="80" w:before="80"/>
      </w:pPr>
      <w:r>
        <w:rPr>
          <w:rFonts w:ascii="Courier New" w:cs="Courier New" w:eastAsia="Courier New" w:hAnsi="Courier New"/>
          <w:color w:val="1A1A6E"/>
          <w:sz w:val="20"/>
          <w:szCs w:val="20"/>
        </w:rPr>
        <w:t xml:space="preserve">pip install pandas numpy scikit-learn</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9.3 Model Persistence (Future)</w:t>
      </w:r>
    </w:p>
    <w:p>
      <w:pPr>
        <w:spacing w:after="80" w:before="80"/>
      </w:pPr>
      <w:r>
        <w:rPr>
          <w:rFonts w:ascii="Arial" w:cs="Arial" w:eastAsia="Arial" w:hAnsi="Arial"/>
          <w:sz w:val="22"/>
          <w:szCs w:val="22"/>
        </w:rPr>
        <w:t xml:space="preserve">For production deployment, serialize trained models using joblib.dump() and load with joblib.load(). Ensure the StandardScaler object is serialized alongside the models that require it.</w:t>
      </w:r>
    </w:p>
    <w:p>
      <w:pPr>
        <w:spacing w:after="0" w:before="1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2026-03-24T16:28:53.201Z</dcterms:created>
  <dcterms:modified xsi:type="dcterms:W3CDTF">2026-03-24T16:28:53.201Z</dcterms:modified>
</cp:coreProperties>
</file>

<file path=docProps/custom.xml><?xml version="1.0" encoding="utf-8"?>
<Properties xmlns="http://schemas.openxmlformats.org/officeDocument/2006/custom-properties" xmlns:vt="http://schemas.openxmlformats.org/officeDocument/2006/docPropsVTypes"/>
</file>