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Criterion A: Inquiring and Analysing</w:t>
      </w:r>
    </w:p>
    <w:p>
      <w:pPr>
        <w:pBdr>
          <w:bottom w:val="single" w:color="000000" w:sz="6" w:space="8"/>
        </w:pBdr>
        <w:spacing w:after="300"/>
        <w:jc w:val="center"/>
      </w:pPr>
      <w:r>
        <w:rPr>
          <w:rFonts w:ascii="Times New Roman" w:cs="Times New Roman" w:eastAsia="Times New Roman" w:hAnsi="Times New Roman"/>
          <w:sz w:val="20"/>
          <w:szCs w:val="20"/>
        </w:rPr>
        <w:t xml:space="preserve">Strand iv — Develop a detailed design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20"/>
              <w:left w:type="dxa" w:w="260"/>
              <w:bottom w:type="dxa" w:w="240"/>
              <w:right w:type="dxa" w:w="260"/>
            </w:tcMar>
          </w:tcPr>
          <w:p>
            <w:pPr>
              <w:spacing w:after="180"/>
            </w:pPr>
            <w:r>
              <w:rPr>
                <w:rFonts w:ascii="Times New Roman" w:cs="Times New Roman" w:eastAsia="Times New Roman" w:hAnsi="Times New Roman"/>
                <w:b/>
                <w:bCs/>
                <w:sz w:val="22"/>
                <w:szCs w:val="22"/>
              </w:rPr>
              <w:t xml:space="preserve">Write your design brief here.</w:t>
            </w:r>
          </w:p>
          <w:p>
            <w:pPr>
              <w:spacing w:after="60" w:before="200"/>
            </w:pPr>
            <w:r>
              <w:rPr>
                <w:rFonts w:ascii="Times New Roman" w:cs="Times New Roman" w:eastAsia="Times New Roman" w:hAnsi="Times New Roman"/>
                <w:b/>
                <w:bCs/>
                <w:color w:val="C00000"/>
                <w:sz w:val="20"/>
                <w:szCs w:val="20"/>
              </w:rPr>
              <w:t xml:space="preserve">1. Research insights</w:t>
            </w:r>
          </w:p>
          <w:p>
            <w:pPr>
              <w:spacing w:after="90"/>
              <w:ind w:left="260"/>
            </w:pPr>
            <w:r>
              <w:rPr>
                <w:rFonts w:ascii="Times New Roman" w:cs="Times New Roman" w:eastAsia="Times New Roman" w:hAnsi="Times New Roman"/>
                <w:i/>
                <w:iCs/>
                <w:color w:val="C00000"/>
                <w:sz w:val="19"/>
                <w:szCs w:val="19"/>
              </w:rPr>
              <w:t xml:space="preserve">The key findings from strand i, ii and iii — what your research into the problem, the primary and secondary research, and the existing products actually told you.</w:t>
            </w:r>
          </w:p>
          <w:p>
            <w:pPr>
              <w:spacing w:after="60" w:before="200"/>
            </w:pPr>
            <w:r>
              <w:rPr>
                <w:rFonts w:ascii="Times New Roman" w:cs="Times New Roman" w:eastAsia="Times New Roman" w:hAnsi="Times New Roman"/>
                <w:b/>
                <w:bCs/>
                <w:color w:val="C00000"/>
                <w:sz w:val="20"/>
                <w:szCs w:val="20"/>
              </w:rPr>
              <w:t xml:space="preserve">2. Design question</w:t>
            </w:r>
          </w:p>
          <w:p>
            <w:pPr>
              <w:spacing w:after="90"/>
              <w:ind w:left="260"/>
            </w:pPr>
            <w:r>
              <w:rPr>
                <w:rFonts w:ascii="Times New Roman" w:cs="Times New Roman" w:eastAsia="Times New Roman" w:hAnsi="Times New Roman"/>
                <w:i/>
                <w:iCs/>
                <w:color w:val="C00000"/>
                <w:sz w:val="19"/>
                <w:szCs w:val="19"/>
              </w:rPr>
              <w:t xml:space="preserve">Built from those insights, not from your own idea. It gives the design a direction.</w:t>
            </w:r>
          </w:p>
          <w:p>
            <w:pPr>
              <w:spacing w:after="90"/>
              <w:ind w:left="260"/>
            </w:pPr>
            <w:r>
              <w:rPr>
                <w:rFonts w:ascii="Times New Roman" w:cs="Times New Roman" w:eastAsia="Times New Roman" w:hAnsi="Times New Roman"/>
                <w:i/>
                <w:iCs/>
                <w:color w:val="C00000"/>
                <w:sz w:val="19"/>
                <w:szCs w:val="19"/>
              </w:rPr>
              <w:t xml:space="preserve">Formula: How might we [do what] so that [outcome]?</w:t>
            </w:r>
          </w:p>
          <w:p>
            <w:pPr>
              <w:spacing w:after="60" w:before="200"/>
            </w:pPr>
            <w:r>
              <w:rPr>
                <w:rFonts w:ascii="Times New Roman" w:cs="Times New Roman" w:eastAsia="Times New Roman" w:hAnsi="Times New Roman"/>
                <w:b/>
                <w:bCs/>
                <w:color w:val="C00000"/>
                <w:sz w:val="20"/>
                <w:szCs w:val="20"/>
              </w:rPr>
              <w:t xml:space="preserve">3. Design statement</w:t>
            </w:r>
          </w:p>
          <w:p>
            <w:pPr>
              <w:spacing w:after="90"/>
              <w:ind w:left="260"/>
            </w:pPr>
            <w:r>
              <w:rPr>
                <w:rFonts w:ascii="Times New Roman" w:cs="Times New Roman" w:eastAsia="Times New Roman" w:hAnsi="Times New Roman"/>
                <w:i/>
                <w:iCs/>
                <w:color w:val="C00000"/>
                <w:sz w:val="19"/>
                <w:szCs w:val="19"/>
              </w:rPr>
              <w:t xml:space="preserve">The basic layout or blueprint of the product — what it broadly is and how it will work. Not the specifications; those come in Criterion B.</w:t>
            </w:r>
          </w:p>
          <w:p>
            <w:pPr>
              <w:spacing w:after="60" w:before="200"/>
            </w:pPr>
            <w:r>
              <w:rPr>
                <w:rFonts w:ascii="Times New Roman" w:cs="Times New Roman" w:eastAsia="Times New Roman" w:hAnsi="Times New Roman"/>
                <w:b/>
                <w:bCs/>
                <w:color w:val="C00000"/>
                <w:sz w:val="20"/>
                <w:szCs w:val="20"/>
              </w:rPr>
              <w:t xml:space="preserve">Throughout</w:t>
            </w:r>
          </w:p>
          <w:p>
            <w:pPr>
              <w:spacing w:after="90"/>
              <w:ind w:left="260"/>
            </w:pPr>
            <w:r>
              <w:rPr>
                <w:rFonts w:ascii="Times New Roman" w:cs="Times New Roman" w:eastAsia="Times New Roman" w:hAnsi="Times New Roman"/>
                <w:i/>
                <w:iCs/>
                <w:color w:val="C00000"/>
                <w:sz w:val="19"/>
                <w:szCs w:val="19"/>
              </w:rPr>
              <w:t xml:space="preserve">Cite every piece of research you refer to.</w:t>
            </w:r>
          </w:p>
          <w:p>
            <w:pPr>
              <w:spacing w:before="260"/>
            </w:pPr>
            <w: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p>
            <w:pPr>
              <w:pBdr>
                <w:bottom w:val="single" w:color="000000" w:sz="4" w:space="4"/>
              </w:pBdr>
              <w:spacing w:after="0" w:before="180"/>
            </w:pPr>
            <w:r>
              <w:rPr>
                <w:sz w:val="20"/>
                <w:szCs w:val="20"/>
              </w:rPr>
              <w:t xml:space="preserve"/>
            </w:r>
          </w:p>
        </w:tc>
      </w:tr>
    </w:tbl>
    <w:p>
      <w:r>
        <w:br w:type="page"/>
      </w:r>
    </w:p>
    <w:p>
      <w:pPr>
        <w:spacing w:after="4"/>
      </w:pPr>
      <w:r>
        <w:rPr>
          <w:rFonts w:ascii="Times New Roman" w:cs="Times New Roman" w:eastAsia="Times New Roman" w:hAnsi="Times New Roman"/>
          <w:b/>
          <w:bCs/>
          <w:i/>
          <w:iCs/>
          <w:color w:val="B85450"/>
          <w:sz w:val="20"/>
          <w:szCs w:val="20"/>
        </w:rPr>
        <w:t xml:space="preserve">Example — from a real portfolio</w:t>
      </w:r>
    </w:p>
    <w:p>
      <w:pPr>
        <w:spacing w:after="220"/>
      </w:pPr>
      <w:r>
        <w:rPr>
          <w:rFonts w:ascii="Times New Roman" w:cs="Times New Roman" w:eastAsia="Times New Roman" w:hAnsi="Times New Roman"/>
          <w:i/>
          <w:iCs/>
          <w:color w:val="808080"/>
          <w:sz w:val="17"/>
          <w:szCs w:val="17"/>
        </w:rPr>
        <w:t xml:space="preserve">Strand iv — Develop a detailed design brief</w:t>
      </w:r>
    </w:p>
    <w:p>
      <w:pPr>
        <w:spacing w:after="60" w:before="200"/>
      </w:pPr>
      <w:r>
        <w:rPr>
          <w:rFonts w:ascii="Times New Roman" w:cs="Times New Roman" w:eastAsia="Times New Roman" w:hAnsi="Times New Roman"/>
          <w:b/>
          <w:bCs/>
          <w:i/>
          <w:iCs/>
          <w:color w:val="B85450"/>
          <w:sz w:val="19"/>
          <w:szCs w:val="19"/>
        </w:rPr>
        <w:t xml:space="preserve">Secondary Research Brief</w:t>
      </w:r>
    </w:p>
    <w:p>
      <w:pPr>
        <w:spacing w:after="110"/>
      </w:pPr>
      <w:r>
        <w:rPr>
          <w:rFonts w:ascii="Times New Roman" w:cs="Times New Roman" w:eastAsia="Times New Roman" w:hAnsi="Times New Roman"/>
          <w:i/>
          <w:iCs/>
          <w:color w:val="B85450"/>
          <w:sz w:val="17"/>
          <w:szCs w:val="17"/>
        </w:rPr>
        <w:t xml:space="preserve">Every serving of Snacktive must present an optimal balance of macronutrients and indispensable micronutrients to answer the nutritional demand of children 10–14 years old. Preferably, it must carry 10–15g protein, 6–8g of fiber, and 4–6 mg iron to enhance muscle development, promote digestive regularity, and assure proper delivery of oxygen by the body.</w:t>
      </w:r>
    </w:p>
    <w:p>
      <w:pPr>
        <w:spacing w:after="110"/>
      </w:pPr>
      <w:r>
        <w:rPr>
          <w:rFonts w:ascii="Times New Roman" w:cs="Times New Roman" w:eastAsia="Times New Roman" w:hAnsi="Times New Roman"/>
          <w:i/>
          <w:iCs/>
          <w:color w:val="B85450"/>
          <w:sz w:val="17"/>
          <w:szCs w:val="17"/>
        </w:rPr>
        <w:t xml:space="preserve">To preserve nutrition with minimum fat consumption, the most appropriate cooking techniques would be baking, air-drying, or roasting since deep-frying incorporates excess fats and boiling can destroy water-soluble vitamins.</w:t>
      </w:r>
    </w:p>
    <w:p>
      <w:pPr>
        <w:spacing w:after="60" w:before="200"/>
      </w:pPr>
      <w:r>
        <w:rPr>
          <w:rFonts w:ascii="Times New Roman" w:cs="Times New Roman" w:eastAsia="Times New Roman" w:hAnsi="Times New Roman"/>
          <w:b/>
          <w:bCs/>
          <w:i/>
          <w:iCs/>
          <w:color w:val="B85450"/>
          <w:sz w:val="19"/>
          <w:szCs w:val="19"/>
        </w:rPr>
        <w:t xml:space="preserve">Primary Research Brief</w:t>
      </w:r>
    </w:p>
    <w:p>
      <w:pPr>
        <w:spacing w:after="110"/>
      </w:pPr>
      <w:r>
        <w:rPr>
          <w:rFonts w:ascii="Times New Roman" w:cs="Times New Roman" w:eastAsia="Times New Roman" w:hAnsi="Times New Roman"/>
          <w:i/>
          <w:iCs/>
          <w:color w:val="B85450"/>
          <w:sz w:val="17"/>
          <w:szCs w:val="17"/>
        </w:rPr>
        <w:t xml:space="preserve">For Indian children between the ages of 10–14, the best macronutrient composition should be about 50–55% carbohydrates, 20–25% protein, and 20–25% good fats for growth and energy requirements. For better iron absorption of black beans and spinach, complementing them with vitamin C-containing foods such as citrus fruits or bell peppers works well.</w:t>
      </w:r>
    </w:p>
    <w:p>
      <w:pPr>
        <w:spacing w:after="60" w:before="200"/>
      </w:pPr>
      <w:r>
        <w:rPr>
          <w:rFonts w:ascii="Times New Roman" w:cs="Times New Roman" w:eastAsia="Times New Roman" w:hAnsi="Times New Roman"/>
          <w:b/>
          <w:bCs/>
          <w:i/>
          <w:iCs/>
          <w:color w:val="B85450"/>
          <w:sz w:val="19"/>
          <w:szCs w:val="19"/>
        </w:rPr>
        <w:t xml:space="preserve">Brief of Market Research (existing products)</w:t>
      </w:r>
    </w:p>
    <w:p>
      <w:pPr>
        <w:spacing w:after="110"/>
      </w:pPr>
      <w:r>
        <w:rPr>
          <w:rFonts w:ascii="Times New Roman" w:cs="Times New Roman" w:eastAsia="Times New Roman" w:hAnsi="Times New Roman"/>
          <w:i/>
          <w:iCs/>
          <w:color w:val="B85450"/>
          <w:sz w:val="17"/>
          <w:szCs w:val="17"/>
        </w:rPr>
        <w:t xml:space="preserve">The Indian health food market is growing day by day, but nevertheless, there remains a large sector that has been left untapped — the savoury health snack market. That leaves only 1 player in the savoury healthy snack space, Snackible, which is able to attract a great deal of attention through innovative flavours and combinations but still fails in exciting the average adolescent consumer.</w:t>
      </w:r>
    </w:p>
    <w:p>
      <w:pPr>
        <w:spacing w:after="60" w:before="200"/>
      </w:pPr>
      <w:r>
        <w:rPr>
          <w:rFonts w:ascii="Times New Roman" w:cs="Times New Roman" w:eastAsia="Times New Roman" w:hAnsi="Times New Roman"/>
          <w:b/>
          <w:bCs/>
          <w:i/>
          <w:iCs/>
          <w:color w:val="B85450"/>
          <w:sz w:val="19"/>
          <w:szCs w:val="19"/>
        </w:rPr>
        <w:t xml:space="preserve">Important Insights and Patterns Identified (Summary of Research Brief)</w:t>
      </w:r>
    </w:p>
    <w:p>
      <w:pPr>
        <w:spacing w:after="110"/>
      </w:pPr>
      <w:r>
        <w:rPr>
          <w:rFonts w:ascii="Times New Roman" w:cs="Times New Roman" w:eastAsia="Times New Roman" w:hAnsi="Times New Roman"/>
          <w:i/>
          <w:iCs/>
          <w:color w:val="B85450"/>
          <w:sz w:val="17"/>
          <w:szCs w:val="17"/>
        </w:rPr>
        <w:t xml:space="preserve">Both forms of research conducted highlight the importance of:</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A balanced ratio of carbohydrates, proteins, and fats to ensure sustained energy and support growth in the target age group.</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Vitamin C in aiding iron absorption from ingredients like black beans and spinach.</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Baking or Air-Frying while cooking the product to reduce fat quantity and preserve nutrients.</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Reducing the amount of Anti-Nutrients like phytates and oxalates by soaking, fermenting or sprouting millets and spinach.</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Using natural flavorings in the seasoning blends to minimise the introduction of unwanted chemicals.</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Legumes, whole grains, seeds and black beans in maximising the amount of protein and fibre in the snack.</w:t>
      </w:r>
    </w:p>
    <w:p>
      <w:pPr>
        <w:spacing w:after="60" w:before="200"/>
      </w:pPr>
      <w:r>
        <w:rPr>
          <w:rFonts w:ascii="Times New Roman" w:cs="Times New Roman" w:eastAsia="Times New Roman" w:hAnsi="Times New Roman"/>
          <w:b/>
          <w:bCs/>
          <w:i/>
          <w:iCs/>
          <w:color w:val="B85450"/>
          <w:sz w:val="19"/>
          <w:szCs w:val="19"/>
        </w:rPr>
        <w:t xml:space="preserve">Product Brief</w:t>
      </w:r>
    </w:p>
    <w:p>
      <w:pPr>
        <w:spacing w:after="110"/>
      </w:pPr>
      <w:r>
        <w:rPr>
          <w:rFonts w:ascii="Times New Roman" w:cs="Times New Roman" w:eastAsia="Times New Roman" w:hAnsi="Times New Roman"/>
          <w:i/>
          <w:iCs/>
          <w:color w:val="B85450"/>
          <w:sz w:val="17"/>
          <w:szCs w:val="17"/>
        </w:rPr>
        <w:t xml:space="preserve">Snacking is the favourite pastime of the human population, something every single person engages in, and an opportunity to provide much-needed nutrition that hasn’t been exploited as yet. The ideal delivery mechanism of these benchmarks would be a simple snack — something that can be eaten at any time of the day, at work or at home, during commutes as well.</w:t>
      </w:r>
    </w:p>
    <w:p>
      <w:pPr>
        <w:spacing w:after="110"/>
      </w:pPr>
      <w:r>
        <w:rPr>
          <w:rFonts w:ascii="Times New Roman" w:cs="Times New Roman" w:eastAsia="Times New Roman" w:hAnsi="Times New Roman"/>
          <w:i/>
          <w:iCs/>
          <w:color w:val="B85450"/>
          <w:sz w:val="17"/>
          <w:szCs w:val="17"/>
        </w:rPr>
        <w:t xml:space="preserve">This can very easily be done by creating a snacking solution with the following benchmarks and features:</w:t>
      </w:r>
    </w:p>
    <w:p>
      <w:pPr>
        <w:spacing w:after="40" w:before="100"/>
      </w:pPr>
      <w:r>
        <w:rPr>
          <w:rFonts w:ascii="Times New Roman" w:cs="Times New Roman" w:eastAsia="Times New Roman" w:hAnsi="Times New Roman"/>
          <w:b/>
          <w:bCs/>
          <w:i/>
          <w:iCs/>
          <w:color w:val="B85450"/>
          <w:sz w:val="18"/>
          <w:szCs w:val="18"/>
        </w:rPr>
        <w:t xml:space="preserve">Nutrition</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Macronutrient Ratio: ~50–55% carbohydrates, 20–25% protein, 20–25% healthy fats</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High in Protein: 10–15g per serving</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Rich in Fiber: 6–8g per serving</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Low in Calories: 250–350 kcal per serving</w:t>
      </w:r>
    </w:p>
    <w:p>
      <w:pPr>
        <w:spacing w:after="40" w:before="100"/>
      </w:pPr>
      <w:r>
        <w:rPr>
          <w:rFonts w:ascii="Times New Roman" w:cs="Times New Roman" w:eastAsia="Times New Roman" w:hAnsi="Times New Roman"/>
          <w:b/>
          <w:bCs/>
          <w:i/>
          <w:iCs/>
          <w:color w:val="B85450"/>
          <w:sz w:val="18"/>
          <w:szCs w:val="18"/>
        </w:rPr>
        <w:t xml:space="preserve">Key Features</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Base Ingredients: Millets (ragi, bajra), chickpeas, lentils, black beans, oats, quinoa</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Savory Flavors: BBQ, garlic parmesan, masala, chaat</w:t>
      </w:r>
    </w:p>
    <w:p>
      <w:pPr>
        <w:spacing w:after="55"/>
        <w:ind w:left="260" w:hanging="260"/>
      </w:pPr>
      <w:r>
        <w:rPr>
          <w:rFonts w:ascii="Times New Roman" w:cs="Times New Roman" w:eastAsia="Times New Roman" w:hAnsi="Times New Roman"/>
          <w:i/>
          <w:iCs/>
          <w:color w:val="B85450"/>
          <w:sz w:val="17"/>
          <w:szCs w:val="17"/>
        </w:rPr>
        <w:t xml:space="preserve">–   </w:t>
      </w:r>
      <w:r>
        <w:rPr>
          <w:rFonts w:ascii="Times New Roman" w:cs="Times New Roman" w:eastAsia="Times New Roman" w:hAnsi="Times New Roman"/>
          <w:i/>
          <w:iCs/>
          <w:color w:val="B85450"/>
          <w:sz w:val="17"/>
          <w:szCs w:val="17"/>
        </w:rPr>
        <w:t xml:space="preserve">No Artificial Preservatives or Additives</w:t>
      </w:r>
    </w:p>
    <w:p>
      <w:pPr>
        <w:spacing w:after="110"/>
      </w:pPr>
      <w:r>
        <w:rPr>
          <w:rFonts w:ascii="Times New Roman" w:cs="Times New Roman" w:eastAsia="Times New Roman" w:hAnsi="Times New Roman"/>
          <w:i/>
          <w:iCs/>
          <w:color w:val="B85450"/>
          <w:sz w:val="17"/>
          <w:szCs w:val="17"/>
        </w:rPr>
        <w:t xml:space="preserve">It is essential that the product features a bright colour scheme, differentiating itself from the other snacks found in regular supermarkets in order to captivate the attention of the target audience. To further hone in the solution’s ability to cater to the target group, it must be available in four different flavours, each attracting a different sector of the group.</w:t>
      </w:r>
    </w:p>
    <w:p>
      <w:pPr>
        <w:spacing w:before="260"/>
      </w:pPr>
      <w:r>
        <w:rPr>
          <w:rFonts w:ascii="Times New Roman" w:cs="Times New Roman" w:eastAsia="Times New Roman" w:hAnsi="Times New Roman"/>
          <w:i/>
          <w:iCs/>
          <w:color w:val="808080"/>
          <w:sz w:val="16"/>
          <w:szCs w:val="16"/>
        </w:rPr>
        <w:t xml:space="preserve">Shortened for length. This example shows secondary research, primary research, market research, a summary of insights, and the product brief — all connected to one another, and every claim traceable back to a finding above it.</w:t>
      </w:r>
    </w:p>
    <w:p>
      <w:pPr>
        <w:spacing w:before="120"/>
      </w:pPr>
      <w:r>
        <w:rPr>
          <w:rFonts w:ascii="Times New Roman" w:cs="Times New Roman" w:eastAsia="Times New Roman" w:hAnsi="Times New Roman"/>
          <w:i/>
          <w:iCs/>
          <w:color w:val="808080"/>
          <w:sz w:val="16"/>
          <w:szCs w:val="16"/>
        </w:rPr>
        <w:t xml:space="preserve">Note: this example moves straight from its insights to its product brief — it does not write out a separate design question the way the box on page 1 asks for. Use it as a model for stages 1 and 3, and write your own stage 2 in between.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2026-08-11T13:04:13.313Z</dcterms:created>
  <dcterms:modified xsi:type="dcterms:W3CDTF">2026-08-11T13:04:13.313Z</dcterms:modified>
</cp:coreProperties>
</file>

<file path=docProps/custom.xml><?xml version="1.0" encoding="utf-8"?>
<Properties xmlns="http://schemas.openxmlformats.org/officeDocument/2006/custom-properties" xmlns:vt="http://schemas.openxmlformats.org/officeDocument/2006/docPropsVTypes"/>
</file>