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6"/>
          <w:szCs w:val="26"/>
        </w:rPr>
        <w:t xml:space="preserve">Evidence-Governed Candidate Assessment (EGCA): A Two-Stage Architecture for Auditable AI Resume Screening</w:t>
      </w:r>
    </w:p>
    <w:p>
      <w:pPr>
        <w:spacing w:after="240"/>
        <w:jc w:val="center"/>
      </w:pPr>
      <w:r>
        <w:rPr>
          <w:rFonts w:ascii="Calibri" w:cs="Calibri" w:eastAsia="Calibri" w:hAnsi="Calibri"/>
          <w:b/>
          <w:bCs/>
          <w:sz w:val="24"/>
          <w:szCs w:val="24"/>
        </w:rPr>
        <w:t xml:space="preserve">ABSTRACT</w:t>
      </w:r>
    </w:p>
    <w:p>
      <w:pPr>
        <w:spacing w:after="200" w:line="300"/>
        <w:jc w:val="both"/>
      </w:pPr>
      <w:r>
        <w:rPr>
          <w:rFonts w:ascii="Calibri" w:cs="Calibri" w:eastAsia="Calibri" w:hAnsi="Calibri"/>
          <w:sz w:val="22"/>
          <w:szCs w:val="22"/>
        </w:rPr>
        <w:t xml:space="preserve">Automated resume screening systems built on Large Language Models predominantly score candidates by semantic similarity to a job description, a method that rewards vocabulary alignment over demonstrated competence and provides no mechanism to explain or contest a rejection. This project proposes EGCA, a two-stage screening architecture that reframes candidate evaluation as evidence verification rather than text similarity. In Stage 1, resumes are parsed into structured skill and experience claims, normalized against a canonical skill taxonomy, and ranked by a lightweight semantic match to produce a preliminary candidate pool. An </w:t>
      </w:r>
      <w:r>
        <w:rPr>
          <w:rFonts w:ascii="Calibri" w:cs="Calibri" w:eastAsia="Calibri" w:hAnsi="Calibri"/>
          <w:b/>
          <w:bCs/>
          <w:sz w:val="22"/>
          <w:szCs w:val="22"/>
        </w:rPr>
        <w:t xml:space="preserve">Adaptive Gate</w:t>
      </w:r>
      <w:r>
        <w:rPr>
          <w:rFonts w:ascii="Calibri" w:cs="Calibri" w:eastAsia="Calibri" w:hAnsi="Calibri"/>
          <w:sz w:val="22"/>
          <w:szCs w:val="22"/>
        </w:rPr>
        <w:t xml:space="preserve"> then determines how many candidates advance to the costlier second stage by analyzing the separation in the Stage-1 score distribution, forwarding a buffered pool (K′ &gt; K) to compensate for candidates who later fail mandatory eligibility checks; this gating and expansion mechanism, spanning both stages, is referred to in this project as </w:t>
      </w:r>
      <w:r>
        <w:rPr>
          <w:rFonts w:ascii="Calibri" w:cs="Calibri" w:eastAsia="Calibri" w:hAnsi="Calibri"/>
          <w:b/>
          <w:bCs/>
          <w:sz w:val="22"/>
          <w:szCs w:val="22"/>
        </w:rPr>
        <w:t xml:space="preserve">PEGS (Progressive Evidence-Governed Selection)</w:t>
      </w:r>
      <w:r>
        <w:rPr>
          <w:rFonts w:ascii="Calibri" w:cs="Calibri" w:eastAsia="Calibri" w:hAnsi="Calibri"/>
          <w:sz w:val="22"/>
          <w:szCs w:val="22"/>
        </w:rPr>
        <w:t xml:space="preserve">.</w:t>
      </w:r>
    </w:p>
    <w:p>
      <w:pPr>
        <w:spacing w:after="200" w:line="300"/>
        <w:jc w:val="both"/>
      </w:pPr>
      <w:r>
        <w:rPr>
          <w:rFonts w:ascii="Calibri" w:cs="Calibri" w:eastAsia="Calibri" w:hAnsi="Calibri"/>
          <w:sz w:val="22"/>
          <w:szCs w:val="22"/>
        </w:rPr>
        <w:t xml:space="preserve">Stage 2 subjects each forwarded candidate to evidence classification, grading every claim by the strength of its supporting artifact rather than accepting self-reported skills at face value, and applies a skill-relationship graph that permits bounded, explicitly labeled inference between related technologies without conflating inferred and verified knowledge. A deterministic </w:t>
      </w:r>
      <w:r>
        <w:rPr>
          <w:rFonts w:ascii="Calibri" w:cs="Calibri" w:eastAsia="Calibri" w:hAnsi="Calibri"/>
          <w:b/>
          <w:bCs/>
          <w:sz w:val="22"/>
          <w:szCs w:val="22"/>
        </w:rPr>
        <w:t xml:space="preserve">policy engine</w:t>
      </w:r>
      <w:r>
        <w:rPr>
          <w:rFonts w:ascii="Calibri" w:cs="Calibri" w:eastAsia="Calibri" w:hAnsi="Calibri"/>
          <w:sz w:val="22"/>
          <w:szCs w:val="22"/>
        </w:rPr>
        <w:t xml:space="preserve">, isolated from the language model, independently enforces mandatory eligibility rules that no similarity score can override, while a </w:t>
      </w:r>
      <w:r>
        <w:rPr>
          <w:rFonts w:ascii="Calibri" w:cs="Calibri" w:eastAsia="Calibri" w:hAnsi="Calibri"/>
          <w:b/>
          <w:bCs/>
          <w:sz w:val="22"/>
          <w:szCs w:val="22"/>
        </w:rPr>
        <w:t xml:space="preserve">Governed Match Score</w:t>
      </w:r>
      <w:r>
        <w:rPr>
          <w:rFonts w:ascii="Calibri" w:cs="Calibri" w:eastAsia="Calibri" w:hAnsi="Calibri"/>
          <w:sz w:val="22"/>
          <w:szCs w:val="22"/>
        </w:rPr>
        <w:t xml:space="preserve"> combines role fit, evidence strength, and uncertainty to route low-confidence cases to human reviewers instead of resolving them automatically. If the buffered pool yields an insufficient shortlist, the selection process expands the candidate pool in fixed batches under defined stopping conditions rather than relaxing eligibility standards, and every extraction, classification, and adjudication step is recorded in an append-only </w:t>
      </w:r>
      <w:r>
        <w:rPr>
          <w:rFonts w:ascii="Calibri" w:cs="Calibri" w:eastAsia="Calibri" w:hAnsi="Calibri"/>
          <w:b/>
          <w:bCs/>
          <w:sz w:val="22"/>
          <w:szCs w:val="22"/>
        </w:rPr>
        <w:t xml:space="preserve">audit trail</w:t>
      </w:r>
      <w:r>
        <w:rPr>
          <w:rFonts w:ascii="Calibri" w:cs="Calibri" w:eastAsia="Calibri" w:hAnsi="Calibri"/>
          <w:sz w:val="22"/>
          <w:szCs w:val="22"/>
        </w:rPr>
        <w:t xml:space="preserve">.</w:t>
      </w:r>
    </w:p>
    <w:p>
      <w:pPr>
        <w:spacing w:after="200" w:line="300"/>
        <w:jc w:val="both"/>
      </w:pPr>
      <w:r>
        <w:rPr>
          <w:rFonts w:ascii="Calibri" w:cs="Calibri" w:eastAsia="Calibri" w:hAnsi="Calibri"/>
          <w:sz w:val="22"/>
          <w:szCs w:val="22"/>
        </w:rPr>
        <w:t xml:space="preserve">The architecture is specified at the design stage; no implementation, dummy-data testing, or evaluation has been carried out. The planned evaluation — robustness to keyword stuffing, fairness across candidates with and without public technical portfolios, correctness of skill-graph inference, and ranking stability across candidate arrival orders — is scoped against a synthetic, ground-truth-labeled dataset within a 10-week implementation timeline.</w:t>
      </w:r>
    </w:p>
    <w:p>
      <w:pPr>
        <w:spacing w:before="200"/>
      </w:pPr>
      <w:r>
        <w:rPr>
          <w:rFonts w:ascii="Calibri" w:cs="Calibri" w:eastAsia="Calibri" w:hAnsi="Calibri"/>
          <w:b/>
          <w:bCs/>
          <w:i/>
          <w:iCs/>
          <w:sz w:val="20"/>
          <w:szCs w:val="20"/>
        </w:rPr>
        <w:t xml:space="preserve">Keywords: </w:t>
      </w:r>
      <w:r>
        <w:rPr>
          <w:rFonts w:ascii="Calibri" w:cs="Calibri" w:eastAsia="Calibri" w:hAnsi="Calibri"/>
          <w:i/>
          <w:iCs/>
          <w:sz w:val="20"/>
          <w:szCs w:val="20"/>
        </w:rPr>
        <w:t xml:space="preserve">AI Resume Screening · Evidence Provenance · Skill Knowledge Graph · Policy Adjudication · Adaptive Two-Stage Selection · Uncertainty Routing · Auditable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2026-09-23T02:01:59.142Z</dcterms:created>
  <dcterms:modified xsi:type="dcterms:W3CDTF">2026-09-23T02:01:59.152Z</dcterms:modified>
</cp:coreProperties>
</file>

<file path=docProps/custom.xml><?xml version="1.0" encoding="utf-8"?>
<Properties xmlns="http://schemas.openxmlformats.org/officeDocument/2006/custom-properties" xmlns:vt="http://schemas.openxmlformats.org/officeDocument/2006/docPropsVTypes"/>
</file>