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3864"/>
          <w:sz w:val="40"/>
          <w:szCs w:val="40"/>
        </w:rPr>
        <w:t xml:space="preserve">FEASIBILITY REPORT</w:t>
      </w:r>
    </w:p>
    <w:p>
      <w:pPr>
        <w:spacing w:after="100" w:before="200"/>
        <w:jc w:val="center"/>
      </w:pPr>
      <w:r>
        <w:rPr>
          <w:rFonts w:ascii="Calibri" w:cs="Calibri" w:eastAsia="Calibri" w:hAnsi="Calibri"/>
          <w:b/>
          <w:bCs/>
          <w:color w:val="1F3864"/>
          <w:sz w:val="30"/>
          <w:szCs w:val="30"/>
        </w:rPr>
        <w:t xml:space="preserve">Evidence-Governed Candidate Assessment (EGCA)</w:t>
      </w:r>
    </w:p>
    <w:p>
      <w:pPr>
        <w:spacing w:after="700"/>
        <w:jc w:val="center"/>
      </w:pPr>
      <w:r>
        <w:rPr>
          <w:rFonts w:ascii="Calibri" w:cs="Calibri" w:eastAsia="Calibri" w:hAnsi="Calibri"/>
          <w:i/>
          <w:iCs/>
          <w:sz w:val="22"/>
          <w:szCs w:val="22"/>
        </w:rPr>
        <w:t xml:space="preserve">A Two-Stage Architecture for Auditable AI Resume Screening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color w:val="000000"/>
                <w:sz w:val="20"/>
                <w:szCs w:val="20"/>
              </w:rPr>
              <w:t xml:space="preserve">Project Type</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color w:val="000000"/>
                <w:sz w:val="20"/>
                <w:szCs w:val="20"/>
              </w:rPr>
              <w:t xml:space="preserve">B.Tech Minor Research Project</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color w:val="000000"/>
                <w:sz w:val="20"/>
                <w:szCs w:val="20"/>
              </w:rPr>
              <w:t xml:space="preserve">Domain</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color w:val="000000"/>
                <w:sz w:val="20"/>
                <w:szCs w:val="20"/>
              </w:rPr>
              <w:t xml:space="preserve">Artificial Intelligence · Software Engineering · Human-Computer Interaction</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color w:val="000000"/>
                <w:sz w:val="20"/>
                <w:szCs w:val="20"/>
              </w:rPr>
              <w:t xml:space="preserve">Report Version</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color w:val="000000"/>
                <w:sz w:val="20"/>
                <w:szCs w:val="20"/>
              </w:rPr>
              <w:t xml:space="preserve">v2 — Two-Stage Adaptive Architecture</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color w:val="000000"/>
                <w:sz w:val="20"/>
                <w:szCs w:val="20"/>
              </w:rPr>
              <w:t xml:space="preserve">Duration</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color w:val="000000"/>
                <w:sz w:val="20"/>
                <w:szCs w:val="20"/>
              </w:rPr>
              <w:t xml:space="preserve">10 Weeks (2.5 Months)</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color w:val="000000"/>
                <w:sz w:val="20"/>
                <w:szCs w:val="20"/>
              </w:rPr>
              <w:t xml:space="preserve">Core Technology</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color w:val="000000"/>
                <w:sz w:val="20"/>
                <w:szCs w:val="20"/>
              </w:rPr>
              <w:t xml:space="preserve">Python · FastAPI · PostgreSQL · Open Policy Agent · Gemini API</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color w:val="000000"/>
                <w:sz w:val="20"/>
                <w:szCs w:val="20"/>
              </w:rPr>
              <w:t xml:space="preserve">Team Size</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color w:val="000000"/>
                <w:sz w:val="20"/>
                <w:szCs w:val="20"/>
              </w:rPr>
              <w:t xml:space="preserve">1 student (individual project)</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color w:val="000000"/>
                <w:sz w:val="20"/>
                <w:szCs w:val="20"/>
              </w:rPr>
              <w:t xml:space="preserve">Student Name</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color w:val="000000"/>
                <w:sz w:val="20"/>
                <w:szCs w:val="20"/>
              </w:rPr>
              <w:t xml:space="preserve">____________________</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color w:val="000000"/>
                <w:sz w:val="20"/>
                <w:szCs w:val="20"/>
              </w:rPr>
              <w:t xml:space="preserve">Roll Number</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color w:val="000000"/>
                <w:sz w:val="20"/>
                <w:szCs w:val="20"/>
              </w:rPr>
              <w:t xml:space="preserve">____________________</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color w:val="000000"/>
                <w:sz w:val="20"/>
                <w:szCs w:val="20"/>
              </w:rPr>
              <w:t xml:space="preserve">Advisor</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color w:val="000000"/>
                <w:sz w:val="20"/>
                <w:szCs w:val="20"/>
              </w:rPr>
              <w:t xml:space="preserve">____________________</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color w:val="000000"/>
                <w:sz w:val="20"/>
                <w:szCs w:val="20"/>
              </w:rPr>
              <w:t xml:space="preserve">Start Date</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color w:val="000000"/>
                <w:sz w:val="20"/>
                <w:szCs w:val="20"/>
              </w:rPr>
              <w:t xml:space="preserve">____________________</w:t>
            </w:r>
          </w:p>
        </w:tc>
      </w:tr>
    </w:tbl>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20"/>
      </w:pPr>
      <w:r>
        <w:rPr>
          <w:rFonts w:ascii="Calibri" w:cs="Calibri" w:eastAsia="Calibri" w:hAnsi="Calibri"/>
          <w:b/>
          <w:bCs/>
          <w:color w:val="1F3864"/>
          <w:sz w:val="28"/>
          <w:szCs w:val="28"/>
        </w:rPr>
        <w:t xml:space="preserve">1. Research Definition</w:t>
      </w:r>
    </w:p>
    <w:p>
      <w:pPr>
        <w:spacing w:after="160" w:line="300"/>
        <w:jc w:val="both"/>
      </w:pPr>
      <w:r>
        <w:rPr>
          <w:rFonts w:ascii="Calibri" w:cs="Calibri" w:eastAsia="Calibri" w:hAnsi="Calibri"/>
          <w:sz w:val="21"/>
          <w:szCs w:val="21"/>
        </w:rPr>
        <w:t xml:space="preserve">Automated resume screening built on similarity scoring rewards vocabulary alignment over demonstrated competence, allows a high similarity score to override mandatory eligibility requirements, and gives no account of the evidence, rules, or uncertainty behind a rejection.</w:t>
      </w:r>
    </w:p>
    <w:p>
      <w:pPr>
        <w:spacing w:after="160" w:line="300"/>
        <w:jc w:val="both"/>
      </w:pPr>
      <w:r>
        <w:rPr>
          <w:rFonts w:ascii="Calibri" w:cs="Calibri" w:eastAsia="Calibri" w:hAnsi="Calibri"/>
          <w:sz w:val="21"/>
          <w:szCs w:val="21"/>
        </w:rPr>
        <w:t xml:space="preserve">Research question: can an adaptive two-stage architecture minimize expensive, evidence-governed candidate evaluation while maintaining a predefined level of candidate coverage and shortlist stability?</w:t>
      </w:r>
    </w:p>
    <w:p>
      <w:pPr>
        <w:spacing w:after="160" w:line="300"/>
        <w:jc w:val="both"/>
      </w:pPr>
      <w:r>
        <w:rPr>
          <w:rFonts w:ascii="Calibri" w:cs="Calibri" w:eastAsia="Calibri" w:hAnsi="Calibri"/>
          <w:sz w:val="21"/>
          <w:szCs w:val="21"/>
        </w:rPr>
        <w:t xml:space="preserve">The project makes two contributions. Evidence governance replaces similarity scoring with claim-level evidence classification and a policy engine that sits outside the AI and cannot be overridden. Computational governance is an adaptive gate and a buffered, progressively expanding selection process that determines how much of the expensive evaluation is actually necessary. This selection process, spanning both stages, is referred to in this report as PEGS (Progressive Evidence-Governed Selection).</w:t>
      </w:r>
    </w:p>
    <w:p>
      <w:pPr>
        <w:spacing w:after="160" w:line="300"/>
        <w:jc w:val="both"/>
      </w:pPr>
      <w:r>
        <w:rPr>
          <w:rFonts w:ascii="Calibri" w:cs="Calibri" w:eastAsia="Calibri" w:hAnsi="Calibri"/>
          <w:sz w:val="21"/>
          <w:szCs w:val="21"/>
        </w:rPr>
        <w:t xml:space="preserve">Pipeline: Resume → Stage 1 (extraction, normalization, semantic matching) → Adaptive Gate → Stage 2 (evidence classification, policy adjudication, scoring, uncertainty routing) → Progressive Expansion → Final Shortlist and Audit Trail.</w:t>
      </w:r>
    </w:p>
    <w:p>
      <w:pPr>
        <w:spacing w:after="160" w:line="300"/>
        <w:jc w:val="both"/>
      </w:pPr>
      <w:r>
        <w:rPr>
          <w:rFonts w:ascii="Calibri" w:cs="Calibri" w:eastAsia="Calibri" w:hAnsi="Calibri"/>
          <w:sz w:val="21"/>
          <w:szCs w:val="21"/>
        </w:rPr>
        <w:t xml:space="preserve">Full multi-signal gating, adaptive batch sizing, a Role Assessment Complexity Score, and boundary-exploration anomaly detection were evaluated during design and are deferred as future work; each requires its own calibration study and does not fit inside a 10-week timeline alongside the core contributions above.</w:t>
      </w:r>
    </w:p>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2. System Architecture</w:t>
      </w:r>
    </w:p>
    <w:p>
      <w:pPr>
        <w:spacing w:after="160" w:line="300"/>
        <w:jc w:val="both"/>
      </w:pPr>
      <w:r>
        <w:rPr>
          <w:rFonts w:ascii="Calibri" w:cs="Calibri" w:eastAsia="Calibri" w:hAnsi="Calibri"/>
          <w:sz w:val="21"/>
          <w:szCs w:val="21"/>
        </w:rPr>
        <w:t xml:space="preserve">Each component has a single, non-overlapping responsibility.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6400"/>
        <w:gridCol w:w="1000"/>
      </w:tblGrid>
      <w:tr>
        <w:tc>
          <w:tcPr>
            <w:tcW w:type="dxa" w:w="19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Component</w:t>
            </w:r>
          </w:p>
        </w:tc>
        <w:tc>
          <w:tcPr>
            <w:tcW w:type="dxa" w:w="64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Responsibility</w:t>
            </w:r>
          </w:p>
        </w:tc>
        <w:tc>
          <w:tcPr>
            <w:tcW w:type="dxa" w:w="1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Stage</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Resume Ingestion</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Accepts PDF/DOCX input, extracts raw text, stores an immutable document snapshot.</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Pre-Stage 1</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LLM Extraction</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Converts raw text into structured claims (skills, experience durations, qualifications) validated against a fixed schema; off-schema output is logged, not coerced.</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Stage 1</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Skill Normalization</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Maps equivalent technology names to canonical nodes in the Skill Knowledge Graph (e.g., ReactJS → React).</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Stage 1</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Semantic Matching</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Computes embedding similarity between the normalized profile and the job description, producing a preliminary score only.</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Stage 1</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Preliminary Ranked Queue</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Maintains the full Stage-1 ordered candidate pool with preliminary scores.</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Stage 1</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Adaptive Gate</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Analyzes the Stage-1 score distribution and forwards K′ = K × buffer_multiplier candidates, sized to absorb the expected hard-constraint (P_hard) failure rate. Uses the score-distribution signal only; a multi-signal gate is future work.</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Gate</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Evidence Classification</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Assigns each claim one of five states — NOT_OBSERVED, SELF_CLAIMED, INFERRED, ARTIFACT_BACKED, ASSESSED — and writes the result to the Evidence Ledger. Inference is bounded by the skill-graph depth limit.</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Stage 2</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Skill Knowledge Graph</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 static graph (~50 nodes, web/backend domain) with relation types DEPENDS_ON, USES, ALIAS_OF, TRANSFERABLE_TO, and NOT_SUFFICIENT_FOR. Propagation is depth-limited to prevent over-crediting.</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Stage 2</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Policy Adjudication (OPA)</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Evaluates hard constraints (P_hard) as a boolean pass/failure, as a process fully separate from all LLM components.</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Stage 2</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Governed Match Score (M_G)</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Combines role fit (Q_current), evidence strength (E_prov), a simulated adaptability signal (G_adapt), and epistemic uncertainty (U_unc). Weights are declared hyperparameters, validated by ablation rather than claimed optimal.</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Stage 2</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Uncertainty Routing</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Routes a candidate to human review when U_unc exceeds a version-controlled threshold.</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Stage 2</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Final Ranked Queue</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Maintains the governed ranking by M_G and feeds the progressive expansion loop.</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Stage 2</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Progressive Expansion</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If qualified candidates fall short of target R after the current batch, expands to the next fixed-size batch and re-checks both stopping conditions; reports insufficiency with a P_hard failure breakdown if the pool is exhausted.</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Stage 2</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Audit Trail Log</w:t>
            </w:r>
          </w:p>
        </w:tc>
        <w:tc>
          <w:tcPr>
            <w:tcW w:type="dxa" w:w="64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Append-only record of every extraction, evidence assignment, rule evaluation, score computation, routing decision, and expansion step, including the P_hard failure distribution per role.</w:t>
            </w:r>
          </w:p>
        </w:tc>
        <w:tc>
          <w:tcPr>
            <w:tcW w:type="dxa" w:w="10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All Stages</w:t>
            </w:r>
          </w:p>
        </w:tc>
      </w:tr>
    </w:tbl>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3. Scope Boundaries</w:t>
      </w:r>
    </w:p>
    <w:p>
      <w:pPr>
        <w:spacing w:after="160" w:line="300"/>
        <w:jc w:val="both"/>
      </w:pPr>
      <w:r>
        <w:rPr>
          <w:rFonts w:ascii="Calibri" w:cs="Calibri" w:eastAsia="Calibri" w:hAnsi="Calibri"/>
          <w:sz w:val="21"/>
          <w:szCs w:val="21"/>
        </w:rPr>
        <w:t xml:space="preserve">The authoritative scope reference. Items marked OUT OF SCOPE are excluded by design.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00"/>
      </w:tblGrid>
      <w:tr>
        <w:tc>
          <w:tcPr>
            <w:tcW w:type="dxa" w:w="4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Component</w:t>
            </w:r>
          </w:p>
        </w:tc>
        <w:tc>
          <w:tcPr>
            <w:tcW w:type="dxa" w:w="15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Status</w:t>
            </w:r>
          </w:p>
        </w:tc>
        <w:tc>
          <w:tcPr>
            <w:tcW w:type="dxa" w:w="38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Reason</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Stage 1 LLM extraction pipeline</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Core contribution; Weeks 1–2.</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Skill normalization + semantic matching</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Required Stage-1 baseline.</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Skill Knowledge Graph (~50 nodes)</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Core contribution; Week 3.</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Five-state evidence classification + ledger</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Core contribution; Week 4.</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OPA policy adjudication (P_hard gate)</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Required for the governance claim; Week 5.</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M_G scoring with declared weights + ablation</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Core contribution; Week 6.</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Adaptive Gate (score-distribution signal)</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Core v2 contribution; Week 6.</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K′ buffer mechanism</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Simple, high-value fix; Week 6.</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Progressive expansion + stopping conditions</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Core v2 contribution; Week 6.</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Exhaustion condition + P_hard failure logging</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One audit-log field; Week 6.</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Append-only Audit Trail Log (PostgreSQL)</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Required for the auditability claim.</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Synthetic dataset (100 candidate profiles)</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Required for evaluation; Week 7.</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Experiments E1–E4</w:t>
            </w:r>
          </w:p>
        </w:tc>
        <w:tc>
          <w:tcPr>
            <w:tcW w:type="dxa" w:w="15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IN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Defined in Section 6; Week 8.</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Experiment E5 (Stage-1 depth vs. recall)</w:t>
            </w:r>
          </w:p>
        </w:tc>
        <w:tc>
          <w:tcPr>
            <w:tcW w:type="dxa" w:w="1500"/>
            <w:shd w:fill="FFF2CC"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OPTIONAL</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Added only if core work is complete by Week 7.</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G_adapt from real behavioral signals (GitHub API)</w:t>
            </w:r>
          </w:p>
        </w:tc>
        <w:tc>
          <w:tcPr>
            <w:tcW w:type="dxa" w:w="1500"/>
            <w:shd w:fill="FFF2CC"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OPTIONAL</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Added only if core work is complete by Week 7.</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G_adapt on the synthetic dataset</w:t>
            </w:r>
          </w:p>
        </w:tc>
        <w:tc>
          <w:tcPr>
            <w:tcW w:type="dxa" w:w="1500"/>
            <w:shd w:fill="DDEBF7"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SIMULATED</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Real behavioral signals are future work.</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Full multi-signal Adaptive Gate</w:t>
            </w:r>
          </w:p>
        </w:tc>
        <w:tc>
          <w:tcPr>
            <w:tcW w:type="dxa" w:w="1500"/>
            <w:shd w:fill="EAEAE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FUTURE WORK</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Requires its own calibration study.</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Adaptive batch sizing</w:t>
            </w:r>
          </w:p>
        </w:tc>
        <w:tc>
          <w:tcPr>
            <w:tcW w:type="dxa" w:w="1500"/>
            <w:shd w:fill="EAEAE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FUTURE WORK</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Introduces a feedback loop needing separate tuning.</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Role Assessment Complexity Score</w:t>
            </w:r>
          </w:p>
        </w:tc>
        <w:tc>
          <w:tcPr>
            <w:tcW w:type="dxa" w:w="1500"/>
            <w:shd w:fill="EAEAE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FUTURE WORK</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 separate research effort (six sub-components).</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Boundary exploration / anomaly detection</w:t>
            </w:r>
          </w:p>
        </w:tc>
        <w:tc>
          <w:tcPr>
            <w:tcW w:type="dxa" w:w="1500"/>
            <w:shd w:fill="EAEAE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FUTURE WORK</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Requires a second ML component.</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Recruiter-facing frontend</w:t>
            </w:r>
          </w:p>
        </w:tc>
        <w:tc>
          <w:tcPr>
            <w:tcW w:type="dxa" w:w="15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OUT OF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Not required for a research paper.</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LinkedIn integration</w:t>
            </w:r>
          </w:p>
        </w:tc>
        <w:tc>
          <w:tcPr>
            <w:tcW w:type="dxa" w:w="15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OUT OF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Prohibited by LinkedIn's Terms of Service for employment decisions.</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Calibrated M_G weights from outcome data</w:t>
            </w:r>
          </w:p>
        </w:tc>
        <w:tc>
          <w:tcPr>
            <w:tcW w:type="dxa" w:w="15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OUT OF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Requires post-hire outcome data not available.</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Real recruiter user study</w:t>
            </w:r>
          </w:p>
        </w:tc>
        <w:tc>
          <w:tcPr>
            <w:tcW w:type="dxa" w:w="15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OUT OF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Requires IRB approval; infeasible in this timeline.</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Production deployment</w:t>
            </w:r>
          </w:p>
        </w:tc>
        <w:tc>
          <w:tcPr>
            <w:tcW w:type="dxa" w:w="15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OUT OF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Research prototype scope only.</w:t>
            </w:r>
          </w:p>
        </w:tc>
      </w:tr>
      <w:tr>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Fairness audit across protected characteristics</w:t>
            </w:r>
          </w:p>
        </w:tc>
        <w:tc>
          <w:tcPr>
            <w:tcW w:type="dxa" w:w="15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OUT OF SCOPE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 separate research effort; this project is a computational-governance study.</w:t>
            </w:r>
          </w:p>
        </w:tc>
      </w:tr>
    </w:tbl>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4. Hard Guardrails</w:t>
      </w:r>
    </w:p>
    <w:p>
      <w:pPr>
        <w:spacing w:after="160" w:line="300"/>
        <w:jc w:val="both"/>
      </w:pPr>
      <w:r>
        <w:rPr>
          <w:rFonts w:ascii="Calibri" w:cs="Calibri" w:eastAsia="Calibri" w:hAnsi="Calibri"/>
          <w:sz w:val="21"/>
          <w:szCs w:val="21"/>
        </w:rPr>
        <w:t xml:space="preserve">Eight non-negotiable constraints. A design decision that conflicts with any of these is dropped, not the guardrail.</w:t>
      </w:r>
    </w:p>
    <w:p>
      <w:pPr>
        <w:pStyle w:val="ListParagraph"/>
        <w:numPr>
          <w:ilvl w:val="0"/>
          <w:numId w:val="2"/>
        </w:numPr>
        <w:spacing w:after="100"/>
      </w:pPr>
      <w:r>
        <w:rPr>
          <w:rFonts w:ascii="Calibri" w:cs="Calibri" w:eastAsia="Calibri" w:hAnsi="Calibri"/>
          <w:sz w:val="21"/>
          <w:szCs w:val="21"/>
        </w:rPr>
        <w:t xml:space="preserve">No unauthorized data collection — all external evidence is candidate-submitted and consent-based.</w:t>
      </w:r>
    </w:p>
    <w:p>
      <w:pPr>
        <w:pStyle w:val="ListParagraph"/>
        <w:numPr>
          <w:ilvl w:val="0"/>
          <w:numId w:val="2"/>
        </w:numPr>
        <w:spacing w:after="100"/>
      </w:pPr>
      <w:r>
        <w:rPr>
          <w:rFonts w:ascii="Calibri" w:cs="Calibri" w:eastAsia="Calibri" w:hAnsi="Calibri"/>
          <w:sz w:val="21"/>
          <w:szCs w:val="21"/>
        </w:rPr>
        <w:t xml:space="preserve">Missing evidence (NOT_OBSERVED) is never treated as negative evidence.</w:t>
      </w:r>
    </w:p>
    <w:p>
      <w:pPr>
        <w:pStyle w:val="ListParagraph"/>
        <w:numPr>
          <w:ilvl w:val="0"/>
          <w:numId w:val="2"/>
        </w:numPr>
        <w:spacing w:after="100"/>
      </w:pPr>
      <w:r>
        <w:rPr>
          <w:rFonts w:ascii="Calibri" w:cs="Calibri" w:eastAsia="Calibri" w:hAnsi="Calibri"/>
          <w:sz w:val="21"/>
          <w:szCs w:val="21"/>
        </w:rPr>
        <w:t xml:space="preserve">A failed mandatory requirement (P_hard) is a gate, not a scored feature; no other signal compensates for it.</w:t>
      </w:r>
    </w:p>
    <w:p>
      <w:pPr>
        <w:pStyle w:val="ListParagraph"/>
        <w:numPr>
          <w:ilvl w:val="0"/>
          <w:numId w:val="2"/>
        </w:numPr>
        <w:spacing w:after="100"/>
      </w:pPr>
      <w:r>
        <w:rPr>
          <w:rFonts w:ascii="Calibri" w:cs="Calibri" w:eastAsia="Calibri" w:hAnsi="Calibri"/>
          <w:sz w:val="21"/>
          <w:szCs w:val="21"/>
        </w:rPr>
        <w:t xml:space="preserve">Pool exhaustion is reported, never resolved by relaxing eligibility standards.</w:t>
      </w:r>
    </w:p>
    <w:p>
      <w:pPr>
        <w:pStyle w:val="ListParagraph"/>
        <w:numPr>
          <w:ilvl w:val="0"/>
          <w:numId w:val="2"/>
        </w:numPr>
        <w:spacing w:after="100"/>
      </w:pPr>
      <w:r>
        <w:rPr>
          <w:rFonts w:ascii="Calibri" w:cs="Calibri" w:eastAsia="Calibri" w:hAnsi="Calibri"/>
          <w:sz w:val="21"/>
          <w:szCs w:val="21"/>
        </w:rPr>
        <w:t xml:space="preserve">The Governed Match Score is a ranking heuristic that supports a human recruiter; it does not make a hiring decision.</w:t>
      </w:r>
    </w:p>
    <w:p>
      <w:pPr>
        <w:pStyle w:val="ListParagraph"/>
        <w:numPr>
          <w:ilvl w:val="0"/>
          <w:numId w:val="2"/>
        </w:numPr>
        <w:spacing w:after="100"/>
      </w:pPr>
      <w:r>
        <w:rPr>
          <w:rFonts w:ascii="Calibri" w:cs="Calibri" w:eastAsia="Calibri" w:hAnsi="Calibri"/>
          <w:sz w:val="21"/>
          <w:szCs w:val="21"/>
        </w:rPr>
        <w:t xml:space="preserve">No personality inference is drawn from resume language.</w:t>
      </w:r>
    </w:p>
    <w:p>
      <w:pPr>
        <w:pStyle w:val="ListParagraph"/>
        <w:numPr>
          <w:ilvl w:val="0"/>
          <w:numId w:val="2"/>
        </w:numPr>
        <w:spacing w:after="100"/>
      </w:pPr>
      <w:r>
        <w:rPr>
          <w:rFonts w:ascii="Calibri" w:cs="Calibri" w:eastAsia="Calibri" w:hAnsi="Calibri"/>
          <w:sz w:val="21"/>
          <w:szCs w:val="21"/>
        </w:rPr>
        <w:t xml:space="preserve">An LLM failure or malformed output defaults to human review, never an automatic zero score.</w:t>
      </w:r>
    </w:p>
    <w:p>
      <w:pPr>
        <w:pStyle w:val="ListParagraph"/>
        <w:numPr>
          <w:ilvl w:val="0"/>
          <w:numId w:val="2"/>
        </w:numPr>
        <w:spacing w:after="100"/>
      </w:pPr>
      <w:r>
        <w:rPr>
          <w:rFonts w:ascii="Calibri" w:cs="Calibri" w:eastAsia="Calibri" w:hAnsi="Calibri"/>
          <w:sz w:val="21"/>
          <w:szCs w:val="21"/>
        </w:rPr>
        <w:t xml:space="preserve">Policy rules are version-controlled and immutable at runtime; no override path exists, including for testing.</w:t>
      </w:r>
    </w:p>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5. Ten-Week Timeline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700"/>
        <w:gridCol w:w="2500"/>
      </w:tblGrid>
      <w:tr>
        <w:tc>
          <w:tcPr>
            <w:tcW w:type="dxa" w:w="5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Wk</w:t>
            </w:r>
          </w:p>
        </w:tc>
        <w:tc>
          <w:tcPr>
            <w:tcW w:type="dxa" w:w="16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Phase</w:t>
            </w:r>
          </w:p>
        </w:tc>
        <w:tc>
          <w:tcPr>
            <w:tcW w:type="dxa" w:w="4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Tasks</w:t>
            </w:r>
          </w:p>
        </w:tc>
        <w:tc>
          <w:tcPr>
            <w:tcW w:type="dxa" w:w="25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Deliverable</w:t>
            </w:r>
          </w:p>
        </w:tc>
      </w:tr>
      <w:tr>
        <w:tc>
          <w:tcPr>
            <w:tcW w:type="dxa" w:w="500"/>
            <w:tcMar>
              <w:top w:type="dxa" w:w="70"/>
              <w:left w:type="dxa" w:w="90"/>
              <w:bottom w:type="dxa" w:w="70"/>
              <w:right w:type="dxa" w:w="90"/>
            </w:tcMar>
            <w:vAlign w:val="center"/>
          </w:tcPr>
          <w:p>
            <w:pPr>
              <w:jc w:val="center"/>
            </w:pPr>
            <w:r>
              <w:rPr>
                <w:rFonts w:ascii="Calibri" w:cs="Calibri" w:eastAsia="Calibri" w:hAnsi="Calibri"/>
                <w:b/>
                <w:bCs/>
                <w:color w:val="000000"/>
                <w:sz w:val="19"/>
                <w:szCs w:val="19"/>
              </w:rPr>
              <w:t xml:space="preserve">1</w:t>
            </w:r>
          </w:p>
        </w:tc>
        <w:tc>
          <w:tcPr>
            <w:tcW w:type="dxa" w:w="16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Foundation</w:t>
            </w:r>
          </w:p>
        </w:tc>
        <w:tc>
          <w:tcPr>
            <w:tcW w:type="dxa" w:w="47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Database schema; FastAPI skeleton; PostgreSQL setup; Pydantic models (CandidateClaim, EvidenceItem, RoleBlueprint, AuditTrailLog, StageTwoCandidate).</w:t>
            </w:r>
          </w:p>
        </w:tc>
        <w:tc>
          <w:tcPr>
            <w:tcW w:type="dxa" w:w="2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Working DB + API skeleton</w:t>
            </w:r>
          </w:p>
        </w:tc>
      </w:tr>
      <w:tr>
        <w:tc>
          <w:tcPr>
            <w:tcW w:type="dxa" w:w="500"/>
            <w:tcMar>
              <w:top w:type="dxa" w:w="70"/>
              <w:left w:type="dxa" w:w="90"/>
              <w:bottom w:type="dxa" w:w="70"/>
              <w:right w:type="dxa" w:w="90"/>
            </w:tcMar>
            <w:vAlign w:val="center"/>
          </w:tcPr>
          <w:p>
            <w:pPr>
              <w:jc w:val="center"/>
            </w:pPr>
            <w:r>
              <w:rPr>
                <w:rFonts w:ascii="Calibri" w:cs="Calibri" w:eastAsia="Calibri" w:hAnsi="Calibri"/>
                <w:b/>
                <w:bCs/>
                <w:color w:val="000000"/>
                <w:sz w:val="19"/>
                <w:szCs w:val="19"/>
              </w:rPr>
              <w:t xml:space="preserve">2</w:t>
            </w:r>
          </w:p>
        </w:tc>
        <w:tc>
          <w:tcPr>
            <w:tcW w:type="dxa" w:w="16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Stage 1 — Extraction</w:t>
            </w:r>
          </w:p>
        </w:tc>
        <w:tc>
          <w:tcPr>
            <w:tcW w:type="dxa" w:w="47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LLM extraction prompt (Gemini API); Pydantic output schema; parse 10 test resumes; schema violations logged as SELF_CLAIMED; prompt-injection defense.</w:t>
            </w:r>
          </w:p>
        </w:tc>
        <w:tc>
          <w:tcPr>
            <w:tcW w:type="dxa" w:w="2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Stage 1 extraction pipeline</w:t>
            </w:r>
          </w:p>
        </w:tc>
      </w:tr>
      <w:tr>
        <w:tc>
          <w:tcPr>
            <w:tcW w:type="dxa" w:w="500"/>
            <w:tcMar>
              <w:top w:type="dxa" w:w="70"/>
              <w:left w:type="dxa" w:w="90"/>
              <w:bottom w:type="dxa" w:w="70"/>
              <w:right w:type="dxa" w:w="90"/>
            </w:tcMar>
            <w:vAlign w:val="center"/>
          </w:tcPr>
          <w:p>
            <w:pPr>
              <w:jc w:val="center"/>
            </w:pPr>
            <w:r>
              <w:rPr>
                <w:rFonts w:ascii="Calibri" w:cs="Calibri" w:eastAsia="Calibri" w:hAnsi="Calibri"/>
                <w:b/>
                <w:bCs/>
                <w:color w:val="000000"/>
                <w:sz w:val="19"/>
                <w:szCs w:val="19"/>
              </w:rPr>
              <w:t xml:space="preserve">3</w:t>
            </w:r>
          </w:p>
        </w:tc>
        <w:tc>
          <w:tcPr>
            <w:tcW w:type="dxa" w:w="16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Stage 1 — Graph + Match</w:t>
            </w:r>
          </w:p>
        </w:tc>
        <w:tc>
          <w:tcPr>
            <w:tcW w:type="dxa" w:w="47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Skill Knowledge Graph (~50 nodes); relation types; inference depth limits; skill normalization; semantic matching; preliminary ranked queue.</w:t>
            </w:r>
          </w:p>
        </w:tc>
        <w:tc>
          <w:tcPr>
            <w:tcW w:type="dxa" w:w="2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Stage 1 complete: extraction to ranked list</w:t>
            </w:r>
          </w:p>
        </w:tc>
      </w:tr>
      <w:tr>
        <w:tc>
          <w:tcPr>
            <w:tcW w:type="dxa" w:w="500"/>
            <w:tcMar>
              <w:top w:type="dxa" w:w="70"/>
              <w:left w:type="dxa" w:w="90"/>
              <w:bottom w:type="dxa" w:w="70"/>
              <w:right w:type="dxa" w:w="90"/>
            </w:tcMar>
            <w:vAlign w:val="center"/>
          </w:tcPr>
          <w:p>
            <w:pPr>
              <w:jc w:val="center"/>
            </w:pPr>
            <w:r>
              <w:rPr>
                <w:rFonts w:ascii="Calibri" w:cs="Calibri" w:eastAsia="Calibri" w:hAnsi="Calibri"/>
                <w:b/>
                <w:bCs/>
                <w:color w:val="000000"/>
                <w:sz w:val="19"/>
                <w:szCs w:val="19"/>
              </w:rPr>
              <w:t xml:space="preserve">4</w:t>
            </w:r>
          </w:p>
        </w:tc>
        <w:tc>
          <w:tcPr>
            <w:tcW w:type="dxa" w:w="16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Stage 2 — Evidence</w:t>
            </w:r>
          </w:p>
        </w:tc>
        <w:tc>
          <w:tcPr>
            <w:tcW w:type="dxa" w:w="47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Five-state evidence classifier; Evidence Ledger writer; inference propagation with decay cap; NOT_OBSERVED enforcement; evidence-to-graph linking.</w:t>
            </w:r>
          </w:p>
        </w:tc>
        <w:tc>
          <w:tcPr>
            <w:tcW w:type="dxa" w:w="2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Stage 2: claims to evidence states to ledger</w:t>
            </w:r>
          </w:p>
        </w:tc>
      </w:tr>
      <w:tr>
        <w:tc>
          <w:tcPr>
            <w:tcW w:type="dxa" w:w="500"/>
            <w:tcMar>
              <w:top w:type="dxa" w:w="70"/>
              <w:left w:type="dxa" w:w="90"/>
              <w:bottom w:type="dxa" w:w="70"/>
              <w:right w:type="dxa" w:w="90"/>
            </w:tcMar>
            <w:vAlign w:val="center"/>
          </w:tcPr>
          <w:p>
            <w:pPr>
              <w:jc w:val="center"/>
            </w:pPr>
            <w:r>
              <w:rPr>
                <w:rFonts w:ascii="Calibri" w:cs="Calibri" w:eastAsia="Calibri" w:hAnsi="Calibri"/>
                <w:b/>
                <w:bCs/>
                <w:color w:val="000000"/>
                <w:sz w:val="19"/>
                <w:szCs w:val="19"/>
              </w:rPr>
              <w:t xml:space="preserve">5</w:t>
            </w:r>
          </w:p>
        </w:tc>
        <w:tc>
          <w:tcPr>
            <w:tcW w:type="dxa" w:w="16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Stage 2 — Policy</w:t>
            </w:r>
          </w:p>
        </w:tc>
        <w:tc>
          <w:tcPr>
            <w:tcW w:type="dxa" w:w="47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OPA/Rego rules for three sample job roles; FastAPI–OPA sidecar integration; P_hard gate; compliance certificate schema; P_hard failure logging.</w:t>
            </w:r>
          </w:p>
        </w:tc>
        <w:tc>
          <w:tcPr>
            <w:tcW w:type="dxa" w:w="2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Stage 2: P_hard gate + compliance records</w:t>
            </w:r>
          </w:p>
        </w:tc>
      </w:tr>
      <w:tr>
        <w:tc>
          <w:tcPr>
            <w:tcW w:type="dxa" w:w="500"/>
            <w:tcMar>
              <w:top w:type="dxa" w:w="70"/>
              <w:left w:type="dxa" w:w="90"/>
              <w:bottom w:type="dxa" w:w="70"/>
              <w:right w:type="dxa" w:w="90"/>
            </w:tcMar>
            <w:vAlign w:val="center"/>
          </w:tcPr>
          <w:p>
            <w:pPr>
              <w:jc w:val="center"/>
            </w:pPr>
            <w:r>
              <w:rPr>
                <w:rFonts w:ascii="Calibri" w:cs="Calibri" w:eastAsia="Calibri" w:hAnsi="Calibri"/>
                <w:b/>
                <w:bCs/>
                <w:color w:val="000000"/>
                <w:sz w:val="19"/>
                <w:szCs w:val="19"/>
              </w:rPr>
              <w:t xml:space="preserve">6</w:t>
            </w:r>
          </w:p>
        </w:tc>
        <w:tc>
          <w:tcPr>
            <w:tcW w:type="dxa" w:w="16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Stage 2 — Scoring + Gate</w:t>
            </w:r>
          </w:p>
        </w:tc>
        <w:tc>
          <w:tcPr>
            <w:tcW w:type="dxa" w:w="47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M_G formula with declared weights; U_unc from evidence-state distribution; Adaptive Gate; K′ buffer; progressive expansion loop; both stopping conditions; exhaustion condition; final ranked queue; human-review routing.</w:t>
            </w:r>
          </w:p>
        </w:tc>
        <w:tc>
          <w:tcPr>
            <w:tcW w:type="dxa" w:w="2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Full two-stage pipeline, end to end</w:t>
            </w:r>
          </w:p>
        </w:tc>
      </w:tr>
      <w:tr>
        <w:tc>
          <w:tcPr>
            <w:tcW w:type="dxa" w:w="500"/>
            <w:tcMar>
              <w:top w:type="dxa" w:w="70"/>
              <w:left w:type="dxa" w:w="90"/>
              <w:bottom w:type="dxa" w:w="70"/>
              <w:right w:type="dxa" w:w="90"/>
            </w:tcMar>
            <w:vAlign w:val="center"/>
          </w:tcPr>
          <w:p>
            <w:pPr>
              <w:jc w:val="center"/>
            </w:pPr>
            <w:r>
              <w:rPr>
                <w:rFonts w:ascii="Calibri" w:cs="Calibri" w:eastAsia="Calibri" w:hAnsi="Calibri"/>
                <w:b/>
                <w:bCs/>
                <w:color w:val="000000"/>
                <w:sz w:val="19"/>
                <w:szCs w:val="19"/>
              </w:rPr>
              <w:t xml:space="preserve">7</w:t>
            </w:r>
          </w:p>
        </w:tc>
        <w:tc>
          <w:tcPr>
            <w:tcW w:type="dxa" w:w="16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Dataset</w:t>
            </w:r>
          </w:p>
        </w:tc>
        <w:tc>
          <w:tcPr>
            <w:tcW w:type="dxa" w:w="47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100 synthetic profiles (25 legitimate varied, 25 keyword-stuffed adversarial, 25 no-public-profile, 25 adjacent-technology); ground-truth labels; role blueprints for three job types.</w:t>
            </w:r>
          </w:p>
        </w:tc>
        <w:tc>
          <w:tcPr>
            <w:tcW w:type="dxa" w:w="2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Evaluation dataset + ground truth</w:t>
            </w:r>
          </w:p>
        </w:tc>
      </w:tr>
      <w:tr>
        <w:tc>
          <w:tcPr>
            <w:tcW w:type="dxa" w:w="500"/>
            <w:tcMar>
              <w:top w:type="dxa" w:w="70"/>
              <w:left w:type="dxa" w:w="90"/>
              <w:bottom w:type="dxa" w:w="70"/>
              <w:right w:type="dxa" w:w="90"/>
            </w:tcMar>
            <w:vAlign w:val="center"/>
          </w:tcPr>
          <w:p>
            <w:pPr>
              <w:jc w:val="center"/>
            </w:pPr>
            <w:r>
              <w:rPr>
                <w:rFonts w:ascii="Calibri" w:cs="Calibri" w:eastAsia="Calibri" w:hAnsi="Calibri"/>
                <w:b/>
                <w:bCs/>
                <w:color w:val="000000"/>
                <w:sz w:val="19"/>
                <w:szCs w:val="19"/>
              </w:rPr>
              <w:t xml:space="preserve">8</w:t>
            </w:r>
          </w:p>
        </w:tc>
        <w:tc>
          <w:tcPr>
            <w:tcW w:type="dxa" w:w="16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Experiments</w:t>
            </w:r>
          </w:p>
        </w:tc>
        <w:tc>
          <w:tcPr>
            <w:tcW w:type="dxa" w:w="47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E1–E4; E5 if ahead of schedule.</w:t>
            </w:r>
          </w:p>
        </w:tc>
        <w:tc>
          <w:tcPr>
            <w:tcW w:type="dxa" w:w="2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Raw results for E1–E4 (+E5)</w:t>
            </w:r>
          </w:p>
        </w:tc>
      </w:tr>
      <w:tr>
        <w:tc>
          <w:tcPr>
            <w:tcW w:type="dxa" w:w="500"/>
            <w:tcMar>
              <w:top w:type="dxa" w:w="70"/>
              <w:left w:type="dxa" w:w="90"/>
              <w:bottom w:type="dxa" w:w="70"/>
              <w:right w:type="dxa" w:w="90"/>
            </w:tcMar>
            <w:vAlign w:val="center"/>
          </w:tcPr>
          <w:p>
            <w:pPr>
              <w:jc w:val="center"/>
            </w:pPr>
            <w:r>
              <w:rPr>
                <w:rFonts w:ascii="Calibri" w:cs="Calibri" w:eastAsia="Calibri" w:hAnsi="Calibri"/>
                <w:b/>
                <w:bCs/>
                <w:color w:val="000000"/>
                <w:sz w:val="19"/>
                <w:szCs w:val="19"/>
              </w:rPr>
              <w:t xml:space="preserve">9</w:t>
            </w:r>
          </w:p>
        </w:tc>
        <w:tc>
          <w:tcPr>
            <w:tcW w:type="dxa" w:w="16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Analysis</w:t>
            </w:r>
          </w:p>
        </w:tc>
        <w:tc>
          <w:tcPr>
            <w:tcW w:type="dxa" w:w="47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Ablation study (zero each M_G component, measure ranking delta); Stage-1-vs-Stage-2 ranking comparison; results interpretation; failure-mode documentation; limitations drafting.</w:t>
            </w:r>
          </w:p>
        </w:tc>
        <w:tc>
          <w:tcPr>
            <w:tcW w:type="dxa" w:w="2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Ablation results + analysis notes</w:t>
            </w:r>
          </w:p>
        </w:tc>
      </w:tr>
      <w:tr>
        <w:tc>
          <w:tcPr>
            <w:tcW w:type="dxa" w:w="500"/>
            <w:tcMar>
              <w:top w:type="dxa" w:w="70"/>
              <w:left w:type="dxa" w:w="90"/>
              <w:bottom w:type="dxa" w:w="70"/>
              <w:right w:type="dxa" w:w="90"/>
            </w:tcMar>
            <w:vAlign w:val="center"/>
          </w:tcPr>
          <w:p>
            <w:pPr>
              <w:jc w:val="center"/>
            </w:pPr>
            <w:r>
              <w:rPr>
                <w:rFonts w:ascii="Calibri" w:cs="Calibri" w:eastAsia="Calibri" w:hAnsi="Calibri"/>
                <w:b/>
                <w:bCs/>
                <w:color w:val="000000"/>
                <w:sz w:val="19"/>
                <w:szCs w:val="19"/>
              </w:rPr>
              <w:t xml:space="preserve">10</w:t>
            </w:r>
          </w:p>
        </w:tc>
        <w:tc>
          <w:tcPr>
            <w:tcW w:type="dxa" w:w="16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Paper</w:t>
            </w:r>
          </w:p>
        </w:tc>
        <w:tc>
          <w:tcPr>
            <w:tcW w:type="dxa" w:w="47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Full draft (introduction, related work, architecture, experiments, results, discussion, limitations, conclusion, references); review and revision.</w:t>
            </w:r>
          </w:p>
        </w:tc>
        <w:tc>
          <w:tcPr>
            <w:tcW w:type="dxa" w:w="2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Submitted paper + project repository</w:t>
            </w:r>
          </w:p>
        </w:tc>
      </w:tr>
    </w:tbl>
    <w:p>
      <w:pPr>
        <w:spacing w:after="160" w:line="300"/>
        <w:jc w:val="both"/>
      </w:pPr>
      <w:r>
        <w:rPr>
          <w:rFonts w:ascii="Calibri" w:cs="Calibri" w:eastAsia="Calibri" w:hAnsi="Calibri"/>
          <w:b/>
          <w:bCs/>
          <w:sz w:val="21"/>
          <w:szCs w:val="21"/>
        </w:rPr>
        <w:t xml:space="preserve">Contingency rules, applied in order as delays occur:</w:t>
      </w:r>
    </w:p>
    <w:p>
      <w:pPr>
        <w:pStyle w:val="ListParagraph"/>
        <w:numPr>
          <w:ilvl w:val="0"/>
          <w:numId w:val="3"/>
        </w:numPr>
        <w:spacing w:after="90"/>
      </w:pPr>
      <w:r>
        <w:rPr>
          <w:rFonts w:ascii="Calibri" w:cs="Calibri" w:eastAsia="Calibri" w:hAnsi="Calibri"/>
          <w:sz w:val="21"/>
          <w:szCs w:val="21"/>
        </w:rPr>
        <w:t xml:space="preserve">Week 2 delayed → reduce extraction to a fixed schema with fewer claim types; pipeline still runs.</w:t>
      </w:r>
    </w:p>
    <w:p>
      <w:pPr>
        <w:pStyle w:val="ListParagraph"/>
        <w:numPr>
          <w:ilvl w:val="0"/>
          <w:numId w:val="3"/>
        </w:numPr>
        <w:spacing w:after="90"/>
      </w:pPr>
      <w:r>
        <w:rPr>
          <w:rFonts w:ascii="Calibri" w:cs="Calibri" w:eastAsia="Calibri" w:hAnsi="Calibri"/>
          <w:sz w:val="21"/>
          <w:szCs w:val="21"/>
        </w:rPr>
        <w:t xml:space="preserve">Week 3 delayed → reduce the Skill Graph to 25 nodes (Node.js/React/Express ecosystem only); all experiments still work.</w:t>
      </w:r>
    </w:p>
    <w:p>
      <w:pPr>
        <w:pStyle w:val="ListParagraph"/>
        <w:numPr>
          <w:ilvl w:val="0"/>
          <w:numId w:val="3"/>
        </w:numPr>
        <w:spacing w:after="90"/>
      </w:pPr>
      <w:r>
        <w:rPr>
          <w:rFonts w:ascii="Calibri" w:cs="Calibri" w:eastAsia="Calibri" w:hAnsi="Calibri"/>
          <w:sz w:val="21"/>
          <w:szCs w:val="21"/>
        </w:rPr>
        <w:t xml:space="preserve">Week 6 delayed → simplify the Adaptive Gate to a fixed percentile cutoff (top 20%) and drop E4; core claims still hold.</w:t>
      </w:r>
    </w:p>
    <w:p>
      <w:pPr>
        <w:pStyle w:val="ListParagraph"/>
        <w:numPr>
          <w:ilvl w:val="0"/>
          <w:numId w:val="3"/>
        </w:numPr>
        <w:spacing w:after="90"/>
      </w:pPr>
      <w:r>
        <w:rPr>
          <w:rFonts w:ascii="Calibri" w:cs="Calibri" w:eastAsia="Calibri" w:hAnsi="Calibri"/>
          <w:sz w:val="21"/>
          <w:szCs w:val="21"/>
        </w:rPr>
        <w:t xml:space="preserve">Week 8 delayed → drop E3; core claims still hold on E1, E2, E4.</w:t>
      </w:r>
    </w:p>
    <w:p>
      <w:pPr>
        <w:pStyle w:val="ListParagraph"/>
        <w:numPr>
          <w:ilvl w:val="0"/>
          <w:numId w:val="3"/>
        </w:numPr>
        <w:spacing w:after="90"/>
      </w:pPr>
      <w:r>
        <w:rPr>
          <w:rFonts w:ascii="Calibri" w:cs="Calibri" w:eastAsia="Calibri" w:hAnsi="Calibri"/>
          <w:sz w:val="21"/>
          <w:szCs w:val="21"/>
        </w:rPr>
        <w:t xml:space="preserve">E5 and the GitHub API module are added only if the Week 6 deliverable is on time; otherwise dropped with no impact on the paper.</w:t>
      </w:r>
    </w:p>
    <w:p>
      <w:pPr>
        <w:pStyle w:val="ListParagraph"/>
        <w:numPr>
          <w:ilvl w:val="0"/>
          <w:numId w:val="3"/>
        </w:numPr>
        <w:spacing w:after="90"/>
      </w:pPr>
      <w:r>
        <w:rPr>
          <w:rFonts w:ascii="Calibri" w:cs="Calibri" w:eastAsia="Calibri" w:hAnsi="Calibri"/>
          <w:sz w:val="21"/>
          <w:szCs w:val="21"/>
        </w:rPr>
        <w:t xml:space="preserve">The paper (Week 10) never shrinks in scope; only the experiment count shrinks, per the rules above.</w:t>
      </w:r>
    </w:p>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6. Evaluation Experiments</w:t>
      </w:r>
    </w:p>
    <w:p>
      <w:pPr>
        <w:spacing w:after="160" w:line="300"/>
        <w:jc w:val="both"/>
      </w:pPr>
      <w:r>
        <w:rPr>
          <w:rFonts w:ascii="Calibri" w:cs="Calibri" w:eastAsia="Calibri" w:hAnsi="Calibri"/>
          <w:sz w:val="21"/>
          <w:szCs w:val="21"/>
        </w:rPr>
        <w:t xml:space="preserve">E1–E4 are mandatory; E5 is optional. All run on the synthetic dataset built in Week 7. No real candidate data is used, and none of these experiments have been run yet.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200"/>
        <w:gridCol w:w="3300"/>
      </w:tblGrid>
      <w:tr>
        <w:tc>
          <w:tcPr>
            <w:tcW w:type="dxa" w:w="9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Exp.</w:t>
            </w:r>
          </w:p>
        </w:tc>
        <w:tc>
          <w:tcPr>
            <w:tcW w:type="dxa" w:w="19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Name</w:t>
            </w:r>
          </w:p>
        </w:tc>
        <w:tc>
          <w:tcPr>
            <w:tcW w:type="dxa" w:w="32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What It Tests</w:t>
            </w:r>
          </w:p>
        </w:tc>
        <w:tc>
          <w:tcPr>
            <w:tcW w:type="dxa" w:w="33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Success Criterion</w:t>
            </w:r>
          </w:p>
        </w:tc>
      </w:tr>
      <w:tr>
        <w:tc>
          <w:tcPr>
            <w:tcW w:type="dxa" w:w="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E1</w:t>
            </w:r>
          </w:p>
        </w:tc>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Keyword Stuffing Robustness</w:t>
            </w:r>
          </w:p>
        </w:tc>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Do adversarial profiles (high vocabulary density, no artifact-backed evidence) score lower in M_G than genuine candidates with equivalent real skills?</w:t>
            </w:r>
          </w:p>
        </w:tc>
        <w:tc>
          <w:tcPr>
            <w:tcW w:type="dxa" w:w="33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M_G of adversarial profiles lower than genuine profiles by a statistically meaningful margin; SELF_CLAIMED-only profiles route to human review rather than being shortlisted.</w:t>
            </w:r>
          </w:p>
        </w:tc>
      </w:tr>
      <w:tr>
        <w:tc>
          <w:tcPr>
            <w:tcW w:type="dxa" w:w="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E2</w:t>
            </w:r>
          </w:p>
        </w:tc>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NOT_OBSERVED Fairness</w:t>
            </w:r>
          </w:p>
        </w:tc>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Do candidates with no public profile (all skills NOT_OBSERVED or SELF_CLAIMED) receive the same M_G as identical-skill candidates with artifact-backed evidence?</w:t>
            </w:r>
          </w:p>
        </w:tc>
        <w:tc>
          <w:tcPr>
            <w:tcW w:type="dxa" w:w="33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M_G difference ≤ 5 points; NOT_OBSERVED skills raise U_unc and trigger human review rather than directly reducing the score.</w:t>
            </w:r>
          </w:p>
        </w:tc>
      </w:tr>
      <w:tr>
        <w:tc>
          <w:tcPr>
            <w:tcW w:type="dxa" w:w="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E3</w:t>
            </w:r>
          </w:p>
        </w:tc>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Skill Graph Substitution</w:t>
            </w:r>
          </w:p>
        </w:tc>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Does Fastify experience (adjacent to Express) yield partial Express credit via graph traversal, ranked between zero background and direct evidence?</w:t>
            </w:r>
          </w:p>
        </w:tc>
        <w:tc>
          <w:tcPr>
            <w:tcW w:type="dxa" w:w="33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Three-tier ordering confirmed: direct Express evidence &gt; Fastify inference &gt; no Node background; inferred skills labeled INFERRED throughout the audit trail.</w:t>
            </w:r>
          </w:p>
        </w:tc>
      </w:tr>
      <w:tr>
        <w:tc>
          <w:tcPr>
            <w:tcW w:type="dxa" w:w="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E4</w:t>
            </w:r>
          </w:p>
        </w:tc>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Ranking Stability</w:t>
            </w:r>
          </w:p>
        </w:tc>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Does the final ranked queue produce the same top-10 shortlist regardless of candidate arrival order?</w:t>
            </w:r>
          </w:p>
        </w:tc>
        <w:tc>
          <w:tcPr>
            <w:tcW w:type="dxa" w:w="33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Jaccard similarity of top-10 lists across 5 orderings ≥ 0.80; per-candidate M_G variance across orderings ≤ ±2 points.</w:t>
            </w:r>
          </w:p>
        </w:tc>
      </w:tr>
      <w:tr>
        <w:tc>
          <w:tcPr>
            <w:tcW w:type="dxa" w:w="900"/>
            <w:shd w:fill="FFF2CC" w:val="clear"/>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E5 (Optional)</w:t>
            </w:r>
          </w:p>
        </w:tc>
        <w:tc>
          <w:tcPr>
            <w:tcW w:type="dxa" w:w="1900"/>
            <w:tcMar>
              <w:top w:type="dxa" w:w="70"/>
              <w:left w:type="dxa" w:w="90"/>
              <w:bottom w:type="dxa" w:w="70"/>
              <w:right w:type="dxa" w:w="90"/>
            </w:tcMar>
            <w:vAlign w:val="center"/>
          </w:tcPr>
          <w:p>
            <w:pPr>
              <w:jc w:val="left"/>
            </w:pPr>
            <w:r>
              <w:rPr>
                <w:rFonts w:ascii="Calibri" w:cs="Calibri" w:eastAsia="Calibri" w:hAnsi="Calibri"/>
                <w:b/>
                <w:bCs/>
                <w:color w:val="000000"/>
                <w:sz w:val="19"/>
                <w:szCs w:val="19"/>
              </w:rPr>
              <w:t xml:space="preserve">Depth vs. Recall Tradeoff</w:t>
            </w:r>
          </w:p>
        </w:tc>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How much of the applicant pool must reach Stage 2 before diminishing returns set in on relevant-candidate recovery?</w:t>
            </w:r>
          </w:p>
        </w:tc>
        <w:tc>
          <w:tcPr>
            <w:tcW w:type="dxa" w:w="33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Recall mapped from 5% to 30% Stage-1 depth in 5% increments; identifies the depth at which further expansion yields &lt;2% additional recall.</w:t>
            </w:r>
          </w:p>
        </w:tc>
      </w:tr>
    </w:tbl>
    <w:p>
      <w:pPr>
        <w:spacing w:after="160" w:line="300"/>
        <w:jc w:val="both"/>
      </w:pPr>
      <w:r>
        <w:rPr>
          <w:rFonts w:ascii="Calibri" w:cs="Calibri" w:eastAsia="Calibri" w:hAnsi="Calibri"/>
          <w:sz w:val="21"/>
          <w:szCs w:val="21"/>
        </w:rPr>
        <w:t xml:space="preserve">The Stage-1-vs-Stage-2 ranking comparison runs as part of Week 9 analysis — a key result, not a standalone experiment: how much does the governed ranking differ from the preliminary Stage-1 ranking, and in what direction?</w:t>
      </w:r>
    </w:p>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7. Feasibility Assessment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100"/>
        <w:gridCol w:w="3500"/>
      </w:tblGrid>
      <w:tr>
        <w:tc>
          <w:tcPr>
            <w:tcW w:type="dxa" w:w="36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Risk</w:t>
            </w:r>
          </w:p>
        </w:tc>
        <w:tc>
          <w:tcPr>
            <w:tcW w:type="dxa" w:w="11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Likelihood</w:t>
            </w:r>
          </w:p>
        </w:tc>
        <w:tc>
          <w:tcPr>
            <w:tcW w:type="dxa" w:w="11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Impact</w:t>
            </w:r>
          </w:p>
        </w:tc>
        <w:tc>
          <w:tcPr>
            <w:tcW w:type="dxa" w:w="35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Mitigation</w:t>
            </w:r>
          </w:p>
        </w:tc>
      </w:tr>
      <w:tr>
        <w:tc>
          <w:tcPr>
            <w:tcW w:type="dxa" w:w="3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LLM extraction hallucinations corrupt the evidence ledger</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Medium</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High</w:t>
            </w:r>
          </w:p>
        </w:tc>
        <w:tc>
          <w:tcPr>
            <w:tcW w:type="dxa" w:w="3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Strict schema validation; off-schema claims logged as SELF_CLAIMED, not hidden.</w:t>
            </w:r>
          </w:p>
        </w:tc>
      </w:tr>
      <w:tr>
        <w:tc>
          <w:tcPr>
            <w:tcW w:type="dxa" w:w="3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Adaptive Gate score-distribution analysis is harder than expected</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Low</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Medium</w:t>
            </w:r>
          </w:p>
        </w:tc>
        <w:tc>
          <w:tcPr>
            <w:tcW w:type="dxa" w:w="3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Fallback to a fixed 20th-percentile cutoff; pipeline still runs with reduced gate contribution.</w:t>
            </w:r>
          </w:p>
        </w:tc>
      </w:tr>
      <w:tr>
        <w:tc>
          <w:tcPr>
            <w:tcW w:type="dxa" w:w="3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Progressive expansion loop edge cases (infinite loop, wrong batch sizing)</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Low</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Medium</w:t>
            </w:r>
          </w:p>
        </w:tc>
        <w:tc>
          <w:tcPr>
            <w:tcW w:type="dxa" w:w="3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Hard upper bound: max_iterations = ceil(N / batch_size).</w:t>
            </w:r>
          </w:p>
        </w:tc>
      </w:tr>
      <w:tr>
        <w:tc>
          <w:tcPr>
            <w:tcW w:type="dxa" w:w="3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OPA integration more complex than expected</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Low</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Medium</w:t>
            </w:r>
          </w:p>
        </w:tc>
        <w:tc>
          <w:tcPr>
            <w:tcW w:type="dxa" w:w="3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Fallback to hard constraints as Python functions with identical semantics.</w:t>
            </w:r>
          </w:p>
        </w:tc>
      </w:tr>
      <w:tr>
        <w:tc>
          <w:tcPr>
            <w:tcW w:type="dxa" w:w="3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Synthetic dataset does not reveal meaningful differences between profiles</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Low</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High</w:t>
            </w:r>
          </w:p>
        </w:tc>
        <w:tc>
          <w:tcPr>
            <w:tcW w:type="dxa" w:w="3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Ground-truth labels across four controlled profile categories; extend to 150 profiles in Week 7 if results are flat.</w:t>
            </w:r>
          </w:p>
        </w:tc>
      </w:tr>
      <w:tr>
        <w:tc>
          <w:tcPr>
            <w:tcW w:type="dxa" w:w="3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Gemini API rate limits slow experiments</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Low</w:t>
            </w:r>
          </w:p>
        </w:tc>
        <w:tc>
          <w:tcPr>
            <w:tcW w:type="dxa" w:w="1100"/>
            <w:tcMar>
              <w:top w:type="dxa" w:w="70"/>
              <w:left w:type="dxa" w:w="90"/>
              <w:bottom w:type="dxa" w:w="70"/>
              <w:right w:type="dxa" w:w="90"/>
            </w:tcMar>
            <w:vAlign w:val="center"/>
          </w:tcPr>
          <w:p>
            <w:pPr>
              <w:jc w:val="center"/>
            </w:pPr>
            <w:r>
              <w:rPr>
                <w:rFonts w:ascii="Calibri" w:cs="Calibri" w:eastAsia="Calibri" w:hAnsi="Calibri"/>
                <w:b w:val="false"/>
                <w:bCs w:val="false"/>
                <w:color w:val="000000"/>
                <w:sz w:val="19"/>
                <w:szCs w:val="19"/>
              </w:rPr>
              <w:t xml:space="preserve">Low</w:t>
            </w:r>
          </w:p>
        </w:tc>
        <w:tc>
          <w:tcPr>
            <w:tcW w:type="dxa" w:w="35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All experiments run on pre-cached extraction outputs; no live API calls during experiments.</w:t>
            </w:r>
          </w:p>
        </w:tc>
      </w:tr>
    </w:tbl>
    <w:p>
      <w:pPr>
        <w:spacing w:after="160" w:line="300"/>
        <w:jc w:val="both"/>
      </w:pPr>
      <w:r>
        <w:rPr>
          <w:rFonts w:ascii="Calibri" w:cs="Calibri" w:eastAsia="Calibri" w:hAnsi="Calibri"/>
          <w:b/>
          <w:bCs/>
          <w:sz w:val="21"/>
          <w:szCs w:val="21"/>
        </w:rPr>
        <w:t xml:space="preserve">Timeline feasibility assumes:</w:t>
      </w:r>
    </w:p>
    <w:p>
      <w:pPr>
        <w:pStyle w:val="ListParagraph"/>
        <w:numPr>
          <w:ilvl w:val="0"/>
          <w:numId w:val="3"/>
        </w:numPr>
        <w:spacing w:after="90"/>
      </w:pPr>
      <w:r>
        <w:rPr>
          <w:rFonts w:ascii="Calibri" w:cs="Calibri" w:eastAsia="Calibri" w:hAnsi="Calibri"/>
          <w:sz w:val="21"/>
          <w:szCs w:val="21"/>
        </w:rPr>
        <w:t xml:space="preserve">25–30 hours per week available for project work.</w:t>
      </w:r>
    </w:p>
    <w:p>
      <w:pPr>
        <w:pStyle w:val="ListParagraph"/>
        <w:numPr>
          <w:ilvl w:val="0"/>
          <w:numId w:val="3"/>
        </w:numPr>
        <w:spacing w:after="90"/>
      </w:pPr>
      <w:r>
        <w:rPr>
          <w:rFonts w:ascii="Calibri" w:cs="Calibri" w:eastAsia="Calibri" w:hAnsi="Calibri"/>
          <w:sz w:val="21"/>
          <w:szCs w:val="21"/>
        </w:rPr>
        <w:t xml:space="preserve">No major coursework conflicts during Weeks 6–9.</w:t>
      </w:r>
    </w:p>
    <w:p>
      <w:pPr>
        <w:pStyle w:val="ListParagraph"/>
        <w:numPr>
          <w:ilvl w:val="0"/>
          <w:numId w:val="3"/>
        </w:numPr>
        <w:spacing w:after="90"/>
      </w:pPr>
      <w:r>
        <w:rPr>
          <w:rFonts w:ascii="Calibri" w:cs="Calibri" w:eastAsia="Calibri" w:hAnsi="Calibri"/>
          <w:sz w:val="21"/>
          <w:szCs w:val="21"/>
        </w:rPr>
        <w:t xml:space="preserve">Gemini API access confirmed before Week 2 begins.</w:t>
      </w:r>
    </w:p>
    <w:p>
      <w:pPr>
        <w:pStyle w:val="ListParagraph"/>
        <w:numPr>
          <w:ilvl w:val="0"/>
          <w:numId w:val="3"/>
        </w:numPr>
        <w:spacing w:after="90"/>
      </w:pPr>
      <w:r>
        <w:rPr>
          <w:rFonts w:ascii="Calibri" w:cs="Calibri" w:eastAsia="Calibri" w:hAnsi="Calibri"/>
          <w:sz w:val="21"/>
          <w:szCs w:val="21"/>
        </w:rPr>
        <w:t xml:space="preserve">PostgreSQL and the local development environment set up before Week 1.</w:t>
      </w:r>
    </w:p>
    <w:p>
      <w:pPr>
        <w:pStyle w:val="ListParagraph"/>
        <w:numPr>
          <w:ilvl w:val="0"/>
          <w:numId w:val="3"/>
        </w:numPr>
        <w:spacing w:after="90"/>
      </w:pPr>
      <w:r>
        <w:rPr>
          <w:rFonts w:ascii="Calibri" w:cs="Calibri" w:eastAsia="Calibri" w:hAnsi="Calibri"/>
          <w:sz w:val="21"/>
          <w:szCs w:val="21"/>
        </w:rPr>
        <w:t xml:space="preserve">Week 6 is the highest-risk week — it adds the gate, buffer, expansion, and stopping conditions to the scoring pipeline. If Week 5 runs over by more than two days, simplify per the Section 5 contingency rules before Week 6 begins.</w:t>
      </w:r>
    </w:p>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8. Claims the Paper Will and Will Not Make</w:t>
      </w:r>
    </w:p>
    <w:p>
      <w:pPr>
        <w:spacing w:after="160" w:line="300"/>
        <w:jc w:val="both"/>
      </w:pPr>
      <w:r>
        <w:rPr>
          <w:rFonts w:ascii="Calibri" w:cs="Calibri" w:eastAsia="Calibri" w:hAnsi="Calibri"/>
          <w:sz w:val="21"/>
          <w:szCs w:val="21"/>
        </w:rPr>
        <w:t xml:space="preserve">Fixed before implementation begins. Any claim outside this table requires advisor approval.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3000"/>
      </w:tblGrid>
      <w:tr>
        <w:tc>
          <w:tcPr>
            <w:tcW w:type="dxa" w:w="46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Claim</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Status</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9"/>
                <w:szCs w:val="19"/>
              </w:rPr>
              <w:t xml:space="preserve">Demonstrated By</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Stage 2 evidence classification reduces vulnerability to unsupported keyword-heavy claims</w:t>
            </w:r>
          </w:p>
        </w:tc>
        <w:tc>
          <w:tcPr>
            <w:tcW w:type="dxa" w:w="17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E1</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NOT_OBSERVED prevents penalizing candidates without public profiles</w:t>
            </w:r>
          </w:p>
        </w:tc>
        <w:tc>
          <w:tcPr>
            <w:tcW w:type="dxa" w:w="17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E2</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Skill-graph traversal gives partial credit for adjacent technologies</w:t>
            </w:r>
          </w:p>
        </w:tc>
        <w:tc>
          <w:tcPr>
            <w:tcW w:type="dxa" w:w="17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E3</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The final ranked queue produces stable shortlists across arrival orderings</w:t>
            </w:r>
          </w:p>
        </w:tc>
        <w:tc>
          <w:tcPr>
            <w:tcW w:type="dxa" w:w="17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E4</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The governed ranking differs measurably from the preliminary Stage-1 ranking</w:t>
            </w:r>
          </w:p>
        </w:tc>
        <w:tc>
          <w:tcPr>
            <w:tcW w:type="dxa" w:w="17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Week 9 analysis</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EGCA produces more auditable candidate assessments than LLM-only screeners</w:t>
            </w:r>
          </w:p>
        </w:tc>
        <w:tc>
          <w:tcPr>
            <w:tcW w:type="dxa" w:w="1700"/>
            <w:shd w:fill="E2EFDA"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Audit Trail design + E1/E2</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Stage-1 depth vs. recall tradeoff is quantifiable</w:t>
            </w:r>
          </w:p>
        </w:tc>
        <w:tc>
          <w:tcPr>
            <w:tcW w:type="dxa" w:w="1700"/>
            <w:shd w:fill="FFF2CC"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CONDITIONAL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E5 (optional)</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EGCA finds better candidates than human recruiters</w:t>
            </w:r>
          </w:p>
        </w:tc>
        <w:tc>
          <w:tcPr>
            <w:tcW w:type="dxa" w:w="17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NOT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No recruiter comparison or post-hire outcome data</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EGCA makes hiring fair</w:t>
            </w:r>
          </w:p>
        </w:tc>
        <w:tc>
          <w:tcPr>
            <w:tcW w:type="dxa" w:w="17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NOT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Fairness audit is explicitly future work</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M_G weights are empirically optimal</w:t>
            </w:r>
          </w:p>
        </w:tc>
        <w:tc>
          <w:tcPr>
            <w:tcW w:type="dxa" w:w="17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NOT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Weights are design choices; ablation validates contribution, not optimality</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M_G measures candidate quality</w:t>
            </w:r>
          </w:p>
        </w:tc>
        <w:tc>
          <w:tcPr>
            <w:tcW w:type="dxa" w:w="17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NOT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M_G is a ranking heuristic over a defined evidence construct</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Results generalize to real-world, non-synthetic resumes</w:t>
            </w:r>
          </w:p>
        </w:tc>
        <w:tc>
          <w:tcPr>
            <w:tcW w:type="dxa" w:w="17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NOT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Synthetic dataset only; real-world validation is future work</w:t>
            </w:r>
          </w:p>
        </w:tc>
      </w:tr>
      <w:tr>
        <w:tc>
          <w:tcPr>
            <w:tcW w:type="dxa" w:w="46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EGCA is production-ready</w:t>
            </w:r>
          </w:p>
        </w:tc>
        <w:tc>
          <w:tcPr>
            <w:tcW w:type="dxa" w:w="1700"/>
            <w:shd w:fill="FCE4E4" w:val="clear"/>
            <w:tcMar>
              <w:top w:type="dxa" w:w="70"/>
              <w:left w:type="dxa" w:w="90"/>
              <w:bottom w:type="dxa" w:w="70"/>
              <w:right w:type="dxa" w:w="90"/>
            </w:tcMar>
            <w:vAlign w:val="center"/>
          </w:tcPr>
          <w:p>
            <w:pPr>
              <w:jc w:val="center"/>
            </w:pPr>
            <w:r>
              <w:rPr>
                <w:rFonts w:ascii="Calibri" w:cs="Calibri" w:eastAsia="Calibri" w:hAnsi="Calibri"/>
                <w:b/>
                <w:bCs/>
                <w:color w:val="000000"/>
                <w:sz w:val="17"/>
                <w:szCs w:val="17"/>
              </w:rPr>
              <w:t xml:space="preserve">WILL NOT CLAIM</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9"/>
                <w:szCs w:val="19"/>
              </w:rPr>
              <w:t xml:space="preserve">Research prototype scope only</w:t>
            </w:r>
          </w:p>
        </w:tc>
      </w:tr>
    </w:tbl>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9. Advisor Sign-Off</w:t>
      </w:r>
    </w:p>
    <w:p>
      <w:pPr>
        <w:spacing w:after="160" w:line="300"/>
        <w:jc w:val="both"/>
      </w:pPr>
      <w:r>
        <w:rPr>
          <w:rFonts w:ascii="Calibri" w:cs="Calibri" w:eastAsia="Calibri" w:hAnsi="Calibri"/>
          <w:sz w:val="21"/>
          <w:szCs w:val="21"/>
        </w:rPr>
        <w:t xml:space="preserve">This report is submitted for advisor review and approval before implementation begins. The architecture, scope, guardrails, timeline, and claim boundaries above are the authoritative project specification; any deviation requires written advisor approval.</w:t>
      </w:r>
    </w:p>
    <w:p>
      <w:pPr>
        <w:spacing w:before="500"/>
      </w:pPr>
      <w:r>
        <w:rPr>
          <w:rFonts w:ascii="Calibri" w:cs="Calibri" w:eastAsia="Calibri" w:hAnsi="Calibri"/>
          <w:sz w:val="21"/>
          <w:szCs w:val="21"/>
        </w:rPr>
        <w:t xml:space="preserve">Student Name: ____________________          Roll Number: ____________________</w:t>
      </w:r>
    </w:p>
    <w:p>
      <w:pPr>
        <w:spacing w:before="400"/>
      </w:pPr>
      <w:r>
        <w:rPr>
          <w:rFonts w:ascii="Calibri" w:cs="Calibri" w:eastAsia="Calibri" w:hAnsi="Calibri"/>
          <w:sz w:val="21"/>
          <w:szCs w:val="21"/>
        </w:rPr>
        <w:t xml:space="preserve">Advisor Name: ____________________          Signature: ____________________</w:t>
      </w:r>
    </w:p>
    <w:p>
      <w:pPr>
        <w:spacing w:before="400"/>
      </w:pPr>
      <w:r>
        <w:rPr>
          <w:rFonts w:ascii="Calibri" w:cs="Calibri" w:eastAsia="Calibri" w:hAnsi="Calibri"/>
          <w:sz w:val="21"/>
          <w:szCs w:val="21"/>
        </w:rPr>
        <w:t xml:space="preserve">Date of Submission: ____________________     Approval Date: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EGCA Feasibility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2026-09-23T02:03:30.338Z</dcterms:created>
  <dcterms:modified xsi:type="dcterms:W3CDTF">2026-09-23T02:03:30.338Z</dcterms:modified>
</cp:coreProperties>
</file>

<file path=docProps/custom.xml><?xml version="1.0" encoding="utf-8"?>
<Properties xmlns="http://schemas.openxmlformats.org/officeDocument/2006/custom-properties" xmlns:vt="http://schemas.openxmlformats.org/officeDocument/2006/docPropsVTypes"/>
</file>