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Calibri" w:cs="Calibri" w:eastAsia="Calibri" w:hAnsi="Calibri"/>
          <w:b/>
          <w:bCs/>
          <w:color w:val="1F3864"/>
          <w:sz w:val="38"/>
          <w:szCs w:val="38"/>
        </w:rPr>
        <w:t xml:space="preserve">ARCHITECTURE DESIGN REPORT</w:t>
      </w:r>
    </w:p>
    <w:p>
      <w:pPr>
        <w:spacing w:after="100" w:before="200"/>
        <w:jc w:val="center"/>
      </w:pPr>
      <w:r>
        <w:rPr>
          <w:rFonts w:ascii="Calibri" w:cs="Calibri" w:eastAsia="Calibri" w:hAnsi="Calibri"/>
          <w:b/>
          <w:bCs/>
          <w:color w:val="1F3864"/>
          <w:sz w:val="30"/>
          <w:szCs w:val="30"/>
        </w:rPr>
        <w:t xml:space="preserve">Evidence-Governed Candidate Assessment (EGCA)</w:t>
      </w:r>
    </w:p>
    <w:p>
      <w:pPr>
        <w:spacing w:after="100"/>
        <w:jc w:val="center"/>
      </w:pPr>
      <w:r>
        <w:rPr>
          <w:rFonts w:ascii="Calibri" w:cs="Calibri" w:eastAsia="Calibri" w:hAnsi="Calibri"/>
          <w:i/>
          <w:iCs/>
          <w:sz w:val="22"/>
          <w:szCs w:val="22"/>
        </w:rPr>
        <w:t xml:space="preserve">Final Revised Architecture: Research Foundation, Design Evolution, and Rationale</w:t>
      </w:r>
    </w:p>
    <w:p>
      <w:pPr>
        <w:spacing w:after="700"/>
        <w:jc w:val="center"/>
      </w:pPr>
      <w:r>
        <w:rPr>
          <w:rFonts w:ascii="Calibri" w:cs="Calibri" w:eastAsia="Calibri" w:hAnsi="Calibri"/>
          <w:b/>
          <w:bCs/>
          <w:color w:val="1F3864"/>
          <w:sz w:val="19"/>
          <w:szCs w:val="19"/>
        </w:rPr>
        <w:t xml:space="preserve">Architecture Version 4 — DRS-Scoped Evidence Checking, Tri-Valued Policy, Verification Handoff</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c>
          <w:tcPr>
            <w:tcW w:type="dxa" w:w="3000"/>
            <w:shd w:fill="F2F2F2" w:val="clear"/>
            <w:tcMar>
              <w:top w:type="dxa" w:w="70"/>
              <w:left w:type="dxa" w:w="90"/>
              <w:bottom w:type="dxa" w:w="70"/>
              <w:right w:type="dxa" w:w="90"/>
            </w:tcMar>
            <w:vAlign w:val="center"/>
          </w:tcPr>
          <w:p>
            <w:pPr>
              <w:jc w:val="left"/>
            </w:pPr>
            <w:r>
              <w:rPr>
                <w:rFonts w:ascii="Calibri" w:cs="Calibri" w:eastAsia="Calibri" w:hAnsi="Calibri"/>
                <w:b/>
                <w:bCs/>
                <w:i w:val="false"/>
                <w:iCs w:val="false"/>
                <w:color w:val="000000"/>
                <w:sz w:val="20"/>
                <w:szCs w:val="20"/>
              </w:rPr>
              <w:t xml:space="preserve">Project</w:t>
            </w:r>
          </w:p>
        </w:tc>
        <w:tc>
          <w:tcPr>
            <w:tcW w:type="dxa" w:w="63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20"/>
                <w:szCs w:val="20"/>
              </w:rPr>
              <w:t xml:space="preserve">EGCA — B.Tech CSE Minor Research Project</w:t>
            </w:r>
          </w:p>
        </w:tc>
      </w:tr>
      <w:tr>
        <w:tc>
          <w:tcPr>
            <w:tcW w:type="dxa" w:w="3000"/>
            <w:shd w:fill="F2F2F2" w:val="clear"/>
            <w:tcMar>
              <w:top w:type="dxa" w:w="70"/>
              <w:left w:type="dxa" w:w="90"/>
              <w:bottom w:type="dxa" w:w="70"/>
              <w:right w:type="dxa" w:w="90"/>
            </w:tcMar>
            <w:vAlign w:val="center"/>
          </w:tcPr>
          <w:p>
            <w:pPr>
              <w:jc w:val="left"/>
            </w:pPr>
            <w:r>
              <w:rPr>
                <w:rFonts w:ascii="Calibri" w:cs="Calibri" w:eastAsia="Calibri" w:hAnsi="Calibri"/>
                <w:b/>
                <w:bCs/>
                <w:i w:val="false"/>
                <w:iCs w:val="false"/>
                <w:color w:val="000000"/>
                <w:sz w:val="20"/>
                <w:szCs w:val="20"/>
              </w:rPr>
              <w:t xml:space="preserve">Report Type</w:t>
            </w:r>
          </w:p>
        </w:tc>
        <w:tc>
          <w:tcPr>
            <w:tcW w:type="dxa" w:w="63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20"/>
                <w:szCs w:val="20"/>
              </w:rPr>
              <w:t xml:space="preserve">Architecture Design Rationale (companion to the Feasibility Report)</w:t>
            </w:r>
          </w:p>
        </w:tc>
      </w:tr>
      <w:tr>
        <w:tc>
          <w:tcPr>
            <w:tcW w:type="dxa" w:w="3000"/>
            <w:shd w:fill="F2F2F2" w:val="clear"/>
            <w:tcMar>
              <w:top w:type="dxa" w:w="70"/>
              <w:left w:type="dxa" w:w="90"/>
              <w:bottom w:type="dxa" w:w="70"/>
              <w:right w:type="dxa" w:w="90"/>
            </w:tcMar>
            <w:vAlign w:val="center"/>
          </w:tcPr>
          <w:p>
            <w:pPr>
              <w:jc w:val="left"/>
            </w:pPr>
            <w:r>
              <w:rPr>
                <w:rFonts w:ascii="Calibri" w:cs="Calibri" w:eastAsia="Calibri" w:hAnsi="Calibri"/>
                <w:b/>
                <w:bCs/>
                <w:i w:val="false"/>
                <w:iCs w:val="false"/>
                <w:color w:val="000000"/>
                <w:sz w:val="20"/>
                <w:szCs w:val="20"/>
              </w:rPr>
              <w:t xml:space="preserve">Primary Literature Source</w:t>
            </w:r>
          </w:p>
        </w:tc>
        <w:tc>
          <w:tcPr>
            <w:tcW w:type="dxa" w:w="63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20"/>
                <w:szCs w:val="20"/>
              </w:rPr>
              <w:t xml:space="preserve">Brown &amp; Vaishampayan (2025), arXiv:2504.06387</w:t>
            </w:r>
          </w:p>
        </w:tc>
      </w:tr>
      <w:tr>
        <w:tc>
          <w:tcPr>
            <w:tcW w:type="dxa" w:w="3000"/>
            <w:shd w:fill="F2F2F2" w:val="clear"/>
            <w:tcMar>
              <w:top w:type="dxa" w:w="70"/>
              <w:left w:type="dxa" w:w="90"/>
              <w:bottom w:type="dxa" w:w="70"/>
              <w:right w:type="dxa" w:w="90"/>
            </w:tcMar>
            <w:vAlign w:val="center"/>
          </w:tcPr>
          <w:p>
            <w:pPr>
              <w:jc w:val="left"/>
            </w:pPr>
            <w:r>
              <w:rPr>
                <w:rFonts w:ascii="Calibri" w:cs="Calibri" w:eastAsia="Calibri" w:hAnsi="Calibri"/>
                <w:b/>
                <w:bCs/>
                <w:i w:val="false"/>
                <w:iCs w:val="false"/>
                <w:color w:val="000000"/>
                <w:sz w:val="20"/>
                <w:szCs w:val="20"/>
              </w:rPr>
              <w:t xml:space="preserve">Student Name</w:t>
            </w:r>
          </w:p>
        </w:tc>
        <w:tc>
          <w:tcPr>
            <w:tcW w:type="dxa" w:w="63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20"/>
                <w:szCs w:val="20"/>
              </w:rPr>
              <w:t xml:space="preserve">____________________</w:t>
            </w:r>
          </w:p>
        </w:tc>
      </w:tr>
      <w:tr>
        <w:tc>
          <w:tcPr>
            <w:tcW w:type="dxa" w:w="3000"/>
            <w:shd w:fill="F2F2F2" w:val="clear"/>
            <w:tcMar>
              <w:top w:type="dxa" w:w="70"/>
              <w:left w:type="dxa" w:w="90"/>
              <w:bottom w:type="dxa" w:w="70"/>
              <w:right w:type="dxa" w:w="90"/>
            </w:tcMar>
            <w:vAlign w:val="center"/>
          </w:tcPr>
          <w:p>
            <w:pPr>
              <w:jc w:val="left"/>
            </w:pPr>
            <w:r>
              <w:rPr>
                <w:rFonts w:ascii="Calibri" w:cs="Calibri" w:eastAsia="Calibri" w:hAnsi="Calibri"/>
                <w:b/>
                <w:bCs/>
                <w:i w:val="false"/>
                <w:iCs w:val="false"/>
                <w:color w:val="000000"/>
                <w:sz w:val="20"/>
                <w:szCs w:val="20"/>
              </w:rPr>
              <w:t xml:space="preserve">Roll Number</w:t>
            </w:r>
          </w:p>
        </w:tc>
        <w:tc>
          <w:tcPr>
            <w:tcW w:type="dxa" w:w="63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20"/>
                <w:szCs w:val="20"/>
              </w:rPr>
              <w:t xml:space="preserve">____________________</w:t>
            </w:r>
          </w:p>
        </w:tc>
      </w:tr>
      <w:tr>
        <w:tc>
          <w:tcPr>
            <w:tcW w:type="dxa" w:w="3000"/>
            <w:shd w:fill="F2F2F2" w:val="clear"/>
            <w:tcMar>
              <w:top w:type="dxa" w:w="70"/>
              <w:left w:type="dxa" w:w="90"/>
              <w:bottom w:type="dxa" w:w="70"/>
              <w:right w:type="dxa" w:w="90"/>
            </w:tcMar>
            <w:vAlign w:val="center"/>
          </w:tcPr>
          <w:p>
            <w:pPr>
              <w:jc w:val="left"/>
            </w:pPr>
            <w:r>
              <w:rPr>
                <w:rFonts w:ascii="Calibri" w:cs="Calibri" w:eastAsia="Calibri" w:hAnsi="Calibri"/>
                <w:b/>
                <w:bCs/>
                <w:i w:val="false"/>
                <w:iCs w:val="false"/>
                <w:color w:val="000000"/>
                <w:sz w:val="20"/>
                <w:szCs w:val="20"/>
              </w:rPr>
              <w:t xml:space="preserve">Date</w:t>
            </w:r>
          </w:p>
        </w:tc>
        <w:tc>
          <w:tcPr>
            <w:tcW w:type="dxa" w:w="63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20"/>
                <w:szCs w:val="20"/>
              </w:rPr>
              <w:t xml:space="preserve">____________________</w:t>
            </w:r>
          </w:p>
        </w:tc>
      </w:tr>
    </w:tbl>
    <w:p>
      <w:pPr>
        <w:sectPr>
          <w:pgSz w:w="12240" w:h="15840" w:orient="portrait"/>
          <w:pgMar w:top="1440" w:right="1440" w:bottom="1440" w:left="1440" w:header="708" w:footer="708" w:gutter="0"/>
          <w:pgNumType/>
          <w:docGrid w:linePitch="360"/>
        </w:sectPr>
      </w:pPr>
    </w:p>
    <w:p>
      <w:pPr>
        <w:pStyle w:val="Heading1"/>
        <w:pBdr>
          <w:bottom w:val="single" w:color="1F3864" w:sz="6" w:space="4"/>
        </w:pBdr>
        <w:spacing w:after="160" w:before="320"/>
      </w:pPr>
      <w:r>
        <w:rPr>
          <w:rFonts w:ascii="Calibri" w:cs="Calibri" w:eastAsia="Calibri" w:hAnsi="Calibri"/>
          <w:b/>
          <w:bCs/>
          <w:color w:val="1F3864"/>
          <w:sz w:val="28"/>
          <w:szCs w:val="28"/>
        </w:rPr>
        <w:t xml:space="preserve">1. Purpose and Scope of This Report</w:t>
      </w:r>
    </w:p>
    <w:p>
      <w:pPr>
        <w:spacing w:after="160" w:line="300"/>
        <w:jc w:val="both"/>
      </w:pPr>
      <w:r>
        <w:rPr>
          <w:rFonts w:ascii="Calibri" w:cs="Calibri" w:eastAsia="Calibri" w:hAnsi="Calibri"/>
          <w:sz w:val="21"/>
          <w:szCs w:val="21"/>
        </w:rPr>
        <w:t xml:space="preserve">This report formalizes the current EGCA architecture and, for every major design decision, states explicitly where the decision came from: a specific finding in the literature reviewed for this project, a structural contradiction discovered during internal review, or a correction requested after the design was walked through in detail. It also traces the architecture's evolution across four revisions, and provides a single master traceability table linking each identified problem to the mechanism that addresses it and the source that motivated that mechanism.</w:t>
      </w:r>
    </w:p>
    <w:p>
      <w:pPr>
        <w:spacing w:after="160" w:line="300"/>
        <w:jc w:val="both"/>
      </w:pPr>
      <w:r>
        <w:rPr>
          <w:rFonts w:ascii="Calibri" w:cs="Calibri" w:eastAsia="Calibri" w:hAnsi="Calibri"/>
          <w:sz w:val="21"/>
          <w:szCs w:val="21"/>
        </w:rPr>
        <w:t xml:space="preserve">This report is a design-rationale document. It does not restate the experiment definitions, timeline, or risk assessment — those remain in the separate Feasibility Report. Its purpose is to make the reasoning behind the architecture auditable, in the same spirit the architecture itself applies to candidate decisions.</w:t>
      </w:r>
    </w:p>
    <w:p>
      <w:r>
        <w:br w:type="page"/>
      </w:r>
    </w:p>
    <w:p>
      <w:pPr>
        <w:pStyle w:val="Heading1"/>
        <w:pBdr>
          <w:bottom w:val="single" w:color="1F3864" w:sz="6" w:space="4"/>
        </w:pBdr>
        <w:spacing w:after="160" w:before="320"/>
      </w:pPr>
      <w:r>
        <w:rPr>
          <w:rFonts w:ascii="Calibri" w:cs="Calibri" w:eastAsia="Calibri" w:hAnsi="Calibri"/>
          <w:b/>
          <w:bCs/>
          <w:color w:val="1F3864"/>
          <w:sz w:val="28"/>
          <w:szCs w:val="28"/>
        </w:rPr>
        <w:t xml:space="preserve">2. Research Foundation</w:t>
      </w:r>
    </w:p>
    <w:p>
      <w:pPr>
        <w:pStyle w:val="Heading2"/>
        <w:spacing w:after="110" w:before="220"/>
      </w:pPr>
      <w:r>
        <w:rPr>
          <w:rFonts w:ascii="Calibri" w:cs="Calibri" w:eastAsia="Calibri" w:hAnsi="Calibri"/>
          <w:b/>
          <w:bCs/>
          <w:color w:val="1F3864"/>
          <w:sz w:val="23"/>
          <w:szCs w:val="23"/>
        </w:rPr>
        <w:t xml:space="preserve">2.1 Primary Source</w:t>
      </w:r>
    </w:p>
    <w:p>
      <w:pPr>
        <w:spacing w:after="160" w:line="300"/>
        <w:jc w:val="both"/>
      </w:pPr>
      <w:r>
        <w:rPr>
          <w:rFonts w:ascii="Calibri" w:cs="Calibri" w:eastAsia="Calibri" w:hAnsi="Calibri"/>
          <w:sz w:val="21"/>
          <w:szCs w:val="21"/>
        </w:rPr>
        <w:t xml:space="preserve">Brown, C. and Vaishampayan, S. (2025). “Towards Evidence-Based Tech Hiring Pipelines.” ACM. Retrieved and read in full as arXiv:2504.06387.</w:t>
      </w:r>
    </w:p>
    <w:p>
      <w:pPr>
        <w:spacing w:after="160" w:line="300"/>
        <w:jc w:val="both"/>
      </w:pPr>
      <w:r>
        <w:rPr>
          <w:rFonts w:ascii="Calibri" w:cs="Calibri" w:eastAsia="Calibri" w:hAnsi="Calibri"/>
          <w:sz w:val="21"/>
          <w:szCs w:val="21"/>
        </w:rPr>
        <w:t xml:space="preserve">This is a vision/position paper, not an empirical study: it does not deploy or test a complete system. It surveys documented failures in tech hiring pipelines and proposes research directions, organized around the CDC's evidence-based decision-making framework, which classifies evidence into three types — contextual (role/team fit), experiential (what a candidate has actually built), and research-based (whether hiring practice is grounded in empirical findings). The paper argues all three are largely absent from current tech hiring.</w:t>
      </w:r>
    </w:p>
    <w:p>
      <w:pPr>
        <w:pStyle w:val="Heading2"/>
        <w:spacing w:after="110" w:before="220"/>
      </w:pPr>
      <w:r>
        <w:rPr>
          <w:rFonts w:ascii="Calibri" w:cs="Calibri" w:eastAsia="Calibri" w:hAnsi="Calibri"/>
          <w:b/>
          <w:bCs/>
          <w:color w:val="1F3864"/>
          <w:sz w:val="23"/>
          <w:szCs w:val="23"/>
        </w:rPr>
        <w:t xml:space="preserve">2.2 Findings Derived From This Source, and Where Each Was Applied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300"/>
        <w:gridCol w:w="4000"/>
      </w:tblGrid>
      <w:tr>
        <w:tc>
          <w:tcPr>
            <w:tcW w:type="dxa" w:w="5300"/>
            <w:shd w:fill="1F3864" w:val="clear"/>
            <w:tcMar>
              <w:top w:type="dxa" w:w="70"/>
              <w:left w:type="dxa" w:w="90"/>
              <w:bottom w:type="dxa" w:w="70"/>
              <w:right w:type="dxa" w:w="90"/>
            </w:tcMar>
            <w:vAlign w:val="center"/>
          </w:tcPr>
          <w:p>
            <w:pPr>
              <w:jc w:val="left"/>
            </w:pPr>
            <w:r>
              <w:rPr>
                <w:rFonts w:ascii="Calibri" w:cs="Calibri" w:eastAsia="Calibri" w:hAnsi="Calibri"/>
                <w:b/>
                <w:bCs/>
                <w:i w:val="false"/>
                <w:iCs w:val="false"/>
                <w:color w:val="FFFFFF"/>
                <w:sz w:val="19"/>
                <w:szCs w:val="19"/>
              </w:rPr>
              <w:t xml:space="preserve">Finding in the Literature</w:t>
            </w:r>
          </w:p>
        </w:tc>
        <w:tc>
          <w:tcPr>
            <w:tcW w:type="dxa" w:w="4000"/>
            <w:shd w:fill="1F3864" w:val="clear"/>
            <w:tcMar>
              <w:top w:type="dxa" w:w="70"/>
              <w:left w:type="dxa" w:w="90"/>
              <w:bottom w:type="dxa" w:w="70"/>
              <w:right w:type="dxa" w:w="90"/>
            </w:tcMar>
            <w:vAlign w:val="center"/>
          </w:tcPr>
          <w:p>
            <w:pPr>
              <w:jc w:val="left"/>
            </w:pPr>
            <w:r>
              <w:rPr>
                <w:rFonts w:ascii="Calibri" w:cs="Calibri" w:eastAsia="Calibri" w:hAnsi="Calibri"/>
                <w:b/>
                <w:bCs/>
                <w:i w:val="false"/>
                <w:iCs w:val="false"/>
                <w:color w:val="FFFFFF"/>
                <w:sz w:val="19"/>
                <w:szCs w:val="19"/>
              </w:rPr>
              <w:t xml:space="preserve">Where and How EGCA Applies It</w:t>
            </w:r>
          </w:p>
        </w:tc>
      </w:tr>
      <w:tr>
        <w:tc>
          <w:tcPr>
            <w:tcW w:type="dxa" w:w="53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19"/>
                <w:szCs w:val="19"/>
              </w:rPr>
              <w:t xml:space="preserve">Resumes are self-reported claims, not verified evidence; keyword matching rewards phrasing over demonstrated competence.</w:t>
            </w:r>
          </w:p>
        </w:tc>
        <w:tc>
          <w:tcPr>
            <w:tcW w:type="dxa" w:w="40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19"/>
                <w:szCs w:val="19"/>
              </w:rPr>
              <w:t xml:space="preserve">Core premise of the entire architecture: claims are structurally separated from evidence (Phase A extraction vs. Phase D1 evidence connectors).</w:t>
            </w:r>
          </w:p>
        </w:tc>
      </w:tr>
      <w:tr>
        <w:tc>
          <w:tcPr>
            <w:tcW w:type="dxa" w:w="53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19"/>
                <w:szCs w:val="19"/>
              </w:rPr>
              <w:t xml:space="preserve">Document-layer prompt injection against LLM resume screeners is real and documented — white-fonting (cited via CNBC coverage) and the “Inject My PDF” tool (Greshake et al., 2023, cited in the paper for indirect prompt injection against LLM-integrated applications).</w:t>
            </w:r>
          </w:p>
        </w:tc>
        <w:tc>
          <w:tcPr>
            <w:tcW w:type="dxa" w:w="40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19"/>
                <w:szCs w:val="19"/>
              </w:rPr>
              <w:t xml:space="preserve">Motivated the ingestion-time SUSPECT flag and the grounding check requiring every extracted claim to point to real, matching text in the resume snapshot (Phase A).</w:t>
            </w:r>
          </w:p>
        </w:tc>
      </w:tr>
      <w:tr>
        <w:tc>
          <w:tcPr>
            <w:tcW w:type="dxa" w:w="53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19"/>
                <w:szCs w:val="19"/>
              </w:rPr>
              <w:t xml:space="preserve">GitMeter (Vaishampayan et al., 2025, SANER — the same research group's follow-on prototype) extracts GitHub activity to supplement resume content, and is explicitly described as exploratory and not yet validated in real hiring contexts.</w:t>
            </w:r>
          </w:p>
        </w:tc>
        <w:tc>
          <w:tcPr>
            <w:tcW w:type="dxa" w:w="40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19"/>
                <w:szCs w:val="19"/>
              </w:rPr>
              <w:t xml:space="preserve">Motivated treating a candidate-submitted GitHub link as one optional ARTIFACT_BACKED evidence connector (Phase D1) — never an automatic decision-maker — with its associated scoring signal (G_adapt) explicitly zero-weighted in core experiments.</w:t>
            </w:r>
          </w:p>
        </w:tc>
      </w:tr>
      <w:tr>
        <w:tc>
          <w:tcPr>
            <w:tcW w:type="dxa" w:w="53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19"/>
                <w:szCs w:val="19"/>
              </w:rPr>
              <w:t xml:space="preserve">Steve Yegge (cited in the paper), a former Google senior staff engineer, describes an intentionally high false-negative rate at Google; the Max Howell / Homebrew anecdote shows a widely-used tool's creator failing a whiteboard interview.</w:t>
            </w:r>
          </w:p>
        </w:tc>
        <w:tc>
          <w:tcPr>
            <w:tcW w:type="dxa" w:w="40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19"/>
                <w:szCs w:val="19"/>
              </w:rPr>
              <w:t xml:space="preserve">Motivated treating similarity and interview-style performance as discovery signals only. Exclusion can only result from an explicit, auditable policy failure (P_hard) — never from a score threshold alone.</w:t>
            </w:r>
          </w:p>
        </w:tc>
      </w:tr>
      <w:tr>
        <w:tc>
          <w:tcPr>
            <w:tcW w:type="dxa" w:w="53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19"/>
                <w:szCs w:val="19"/>
              </w:rPr>
              <w:t xml:space="preserve">Documented bias: Amazon's resume tool downgrading women's resumes; GPT-based screening favoring names associated with White candidates (Armstrong et al., 2024); disability bias in GPT resume screening (Glazko et al., 2024).</w:t>
            </w:r>
          </w:p>
        </w:tc>
        <w:tc>
          <w:tcPr>
            <w:tcW w:type="dxa" w:w="40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19"/>
                <w:szCs w:val="19"/>
              </w:rPr>
              <w:t xml:space="preserve">Motivated an explicit scope boundary: bias and fairness are named as NOT claimed solved, rather than silently ignored (Guardrail / Scope Section).</w:t>
            </w:r>
          </w:p>
        </w:tc>
      </w:tr>
      <w:tr>
        <w:tc>
          <w:tcPr>
            <w:tcW w:type="dxa" w:w="53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19"/>
                <w:szCs w:val="19"/>
              </w:rPr>
              <w:t xml:space="preserve">Meta's 2025 layoffs were described as performance-based with no publicly defined performance threshold, which the paper uses to argue that undefined evaluation criteria make decisions arbitrary.</w:t>
            </w:r>
          </w:p>
        </w:tc>
        <w:tc>
          <w:tcPr>
            <w:tcW w:type="dxa" w:w="40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19"/>
                <w:szCs w:val="19"/>
              </w:rPr>
              <w:t xml:space="preserve">Reinforced the requirement that every P_hard failure names the specific requirement that failed — never a generic “did not meet the bar.”</w:t>
            </w:r>
          </w:p>
        </w:tc>
      </w:tr>
      <w:tr>
        <w:tc>
          <w:tcPr>
            <w:tcW w:type="dxa" w:w="53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19"/>
                <w:szCs w:val="19"/>
              </w:rPr>
              <w:t xml:space="preserve">The CDC Continuum of Evidence of Effectiveness, applied by the paper to its own literature (including its own GitMeter work), places most existing work — including the paper's own contributions — at “promising / emerging / undetermined.”</w:t>
            </w:r>
          </w:p>
        </w:tc>
        <w:tc>
          <w:tcPr>
            <w:tcW w:type="dxa" w:w="40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19"/>
                <w:szCs w:val="19"/>
              </w:rPr>
              <w:t xml:space="preserve">Adopted as the framework for honestly self-rating EGCA's own claims in the Feasibility Report, rather than presenting synthetic-dataset results as more validated than they are.</w:t>
            </w:r>
          </w:p>
        </w:tc>
      </w:tr>
      <w:tr>
        <w:tc>
          <w:tcPr>
            <w:tcW w:type="dxa" w:w="53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19"/>
                <w:szCs w:val="19"/>
              </w:rPr>
              <w:t xml:space="preserve">Behroozi et al. (cited in the paper) found candidates perform significantly better in private technical-assessment settings than under live observation.</w:t>
            </w:r>
          </w:p>
        </w:tc>
        <w:tc>
          <w:tcPr>
            <w:tcW w:type="dxa" w:w="40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19"/>
                <w:szCs w:val="19"/>
              </w:rPr>
              <w:t xml:space="preserve">Reinforced keeping the Stage-1 semantic score as a weak, non-governing signal — never sufficient on its own to rank or exclude a candidate.</w:t>
            </w:r>
          </w:p>
        </w:tc>
      </w:tr>
    </w:tbl>
    <w:p>
      <w:pPr>
        <w:pStyle w:val="Heading2"/>
        <w:spacing w:after="110" w:before="220"/>
      </w:pPr>
      <w:r>
        <w:rPr>
          <w:rFonts w:ascii="Calibri" w:cs="Calibri" w:eastAsia="Calibri" w:hAnsi="Calibri"/>
          <w:b/>
          <w:bCs/>
          <w:color w:val="1F3864"/>
          <w:sz w:val="23"/>
          <w:szCs w:val="23"/>
        </w:rPr>
        <w:t xml:space="preserve">2.3 An Unverified Claim — Flagged, Not Used as Justification</w:t>
      </w:r>
    </w:p>
    <w:p>
      <w:pPr>
        <w:spacing w:after="160" w:line="300"/>
        <w:jc w:val="both"/>
      </w:pPr>
      <w:r>
        <w:rPr>
          <w:rFonts w:ascii="Calibri" w:cs="Calibri" w:eastAsia="Calibri" w:hAnsi="Calibri"/>
          <w:sz w:val="21"/>
          <w:szCs w:val="21"/>
        </w:rPr>
        <w:t xml:space="preserve">During architecture discussion, a figure was referenced — a “24.5% Macro-F1 finding” attributed to a “Policy-as-Prompt” paper, cited as evidence that enforcing policy inside an LLM fails at the extraction stage. This could not be independently verified while preparing this report: no complete citation (authors, venue, year) was available, and unlike arXiv:2504.06387, this source was not fetched and read directly.</w:t>
      </w:r>
    </w:p>
    <w:p>
      <w:pPr>
        <w:spacing w:after="160" w:line="300"/>
        <w:jc w:val="both"/>
      </w:pPr>
      <w:r>
        <w:rPr>
          <w:rFonts w:ascii="Calibri" w:cs="Calibri" w:eastAsia="Calibri" w:hAnsi="Calibri"/>
          <w:i/>
          <w:iCs/>
          <w:sz w:val="21"/>
          <w:szCs w:val="21"/>
        </w:rPr>
        <w:t xml:space="preserve">This report does not use that figure as a cited justification. The decision to keep the OPA policy engine fully external to the LLM (Guardrail 8) stands on architectural-isolation reasoning alone — a hard, auditable rule should not depend solely on a language model's behavior, independent of any single benchmark result. Before this figure is used in the actual paper, the source must be located and the number verified against it. It is recorded here so the gap is explicit rather than silently absorbed into the design rationale.</w:t>
      </w:r>
    </w:p>
    <w:p>
      <w:r>
        <w:br w:type="page"/>
      </w:r>
    </w:p>
    <w:p>
      <w:pPr>
        <w:pStyle w:val="Heading1"/>
        <w:pBdr>
          <w:bottom w:val="single" w:color="1F3864" w:sz="6" w:space="4"/>
        </w:pBdr>
        <w:spacing w:after="160" w:before="320"/>
      </w:pPr>
      <w:r>
        <w:rPr>
          <w:rFonts w:ascii="Calibri" w:cs="Calibri" w:eastAsia="Calibri" w:hAnsi="Calibri"/>
          <w:b/>
          <w:bCs/>
          <w:color w:val="1F3864"/>
          <w:sz w:val="28"/>
          <w:szCs w:val="28"/>
        </w:rPr>
        <w:t xml:space="preserve">3. Architecture Evolution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700"/>
        <w:gridCol w:w="3800"/>
        <w:gridCol w:w="3800"/>
      </w:tblGrid>
      <w:tr>
        <w:tc>
          <w:tcPr>
            <w:tcW w:type="dxa" w:w="1700"/>
            <w:shd w:fill="1F3864" w:val="clear"/>
            <w:tcMar>
              <w:top w:type="dxa" w:w="70"/>
              <w:left w:type="dxa" w:w="90"/>
              <w:bottom w:type="dxa" w:w="70"/>
              <w:right w:type="dxa" w:w="90"/>
            </w:tcMar>
            <w:vAlign w:val="center"/>
          </w:tcPr>
          <w:p>
            <w:pPr>
              <w:jc w:val="left"/>
            </w:pPr>
            <w:r>
              <w:rPr>
                <w:rFonts w:ascii="Calibri" w:cs="Calibri" w:eastAsia="Calibri" w:hAnsi="Calibri"/>
                <w:b/>
                <w:bCs/>
                <w:i w:val="false"/>
                <w:iCs w:val="false"/>
                <w:color w:val="FFFFFF"/>
                <w:sz w:val="19"/>
                <w:szCs w:val="19"/>
              </w:rPr>
              <w:t xml:space="preserve">Version</w:t>
            </w:r>
          </w:p>
        </w:tc>
        <w:tc>
          <w:tcPr>
            <w:tcW w:type="dxa" w:w="3800"/>
            <w:shd w:fill="1F3864" w:val="clear"/>
            <w:tcMar>
              <w:top w:type="dxa" w:w="70"/>
              <w:left w:type="dxa" w:w="90"/>
              <w:bottom w:type="dxa" w:w="70"/>
              <w:right w:type="dxa" w:w="90"/>
            </w:tcMar>
            <w:vAlign w:val="center"/>
          </w:tcPr>
          <w:p>
            <w:pPr>
              <w:jc w:val="left"/>
            </w:pPr>
            <w:r>
              <w:rPr>
                <w:rFonts w:ascii="Calibri" w:cs="Calibri" w:eastAsia="Calibri" w:hAnsi="Calibri"/>
                <w:b/>
                <w:bCs/>
                <w:i w:val="false"/>
                <w:iCs w:val="false"/>
                <w:color w:val="FFFFFF"/>
                <w:sz w:val="19"/>
                <w:szCs w:val="19"/>
              </w:rPr>
              <w:t xml:space="preserve">Core Change</w:t>
            </w:r>
          </w:p>
        </w:tc>
        <w:tc>
          <w:tcPr>
            <w:tcW w:type="dxa" w:w="3800"/>
            <w:shd w:fill="1F3864" w:val="clear"/>
            <w:tcMar>
              <w:top w:type="dxa" w:w="70"/>
              <w:left w:type="dxa" w:w="90"/>
              <w:bottom w:type="dxa" w:w="70"/>
              <w:right w:type="dxa" w:w="90"/>
            </w:tcMar>
            <w:vAlign w:val="center"/>
          </w:tcPr>
          <w:p>
            <w:pPr>
              <w:jc w:val="left"/>
            </w:pPr>
            <w:r>
              <w:rPr>
                <w:rFonts w:ascii="Calibri" w:cs="Calibri" w:eastAsia="Calibri" w:hAnsi="Calibri"/>
                <w:b/>
                <w:bCs/>
                <w:i w:val="false"/>
                <w:iCs w:val="false"/>
                <w:color w:val="FFFFFF"/>
                <w:sz w:val="19"/>
                <w:szCs w:val="19"/>
              </w:rPr>
              <w:t xml:space="preserve">Motivated By</w:t>
            </w:r>
          </w:p>
        </w:tc>
      </w:tr>
      <w:tr>
        <w:tc>
          <w:tcPr>
            <w:tcW w:type="dxa" w:w="1700"/>
            <w:tcMar>
              <w:top w:type="dxa" w:w="70"/>
              <w:left w:type="dxa" w:w="90"/>
              <w:bottom w:type="dxa" w:w="70"/>
              <w:right w:type="dxa" w:w="90"/>
            </w:tcMar>
            <w:vAlign w:val="center"/>
          </w:tcPr>
          <w:p>
            <w:pPr>
              <w:jc w:val="left"/>
            </w:pPr>
            <w:r>
              <w:rPr>
                <w:rFonts w:ascii="Calibri" w:cs="Calibri" w:eastAsia="Calibri" w:hAnsi="Calibri"/>
                <w:b/>
                <w:bCs/>
                <w:i w:val="false"/>
                <w:iCs w:val="false"/>
                <w:color w:val="000000"/>
                <w:sz w:val="19"/>
                <w:szCs w:val="19"/>
              </w:rPr>
              <w:t xml:space="preserve">v1 — Single-Pass</w:t>
            </w:r>
          </w:p>
        </w:tc>
        <w:tc>
          <w:tcPr>
            <w:tcW w:type="dxa" w:w="38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19"/>
                <w:szCs w:val="19"/>
              </w:rPr>
              <w:t xml:space="preserve">Every candidate passes through one pipeline: extraction → evidence → policy → scoring.</w:t>
            </w:r>
          </w:p>
        </w:tc>
        <w:tc>
          <w:tcPr>
            <w:tcW w:type="dxa" w:w="38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19"/>
                <w:szCs w:val="19"/>
              </w:rPr>
              <w:t xml:space="preserve">Initial project scope, prior to literature review.</w:t>
            </w:r>
          </w:p>
        </w:tc>
      </w:tr>
      <w:tr>
        <w:tc>
          <w:tcPr>
            <w:tcW w:type="dxa" w:w="1700"/>
            <w:tcMar>
              <w:top w:type="dxa" w:w="70"/>
              <w:left w:type="dxa" w:w="90"/>
              <w:bottom w:type="dxa" w:w="70"/>
              <w:right w:type="dxa" w:w="90"/>
            </w:tcMar>
            <w:vAlign w:val="center"/>
          </w:tcPr>
          <w:p>
            <w:pPr>
              <w:jc w:val="left"/>
            </w:pPr>
            <w:r>
              <w:rPr>
                <w:rFonts w:ascii="Calibri" w:cs="Calibri" w:eastAsia="Calibri" w:hAnsi="Calibri"/>
                <w:b/>
                <w:bCs/>
                <w:i w:val="false"/>
                <w:iCs w:val="false"/>
                <w:color w:val="000000"/>
                <w:sz w:val="19"/>
                <w:szCs w:val="19"/>
              </w:rPr>
              <w:t xml:space="preserve">v2 — Two-Stage (PEGS)</w:t>
            </w:r>
          </w:p>
        </w:tc>
        <w:tc>
          <w:tcPr>
            <w:tcW w:type="dxa" w:w="38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19"/>
                <w:szCs w:val="19"/>
              </w:rPr>
              <w:t xml:space="preserve">Introduced a cheap Stage 1 discovery pass, an Adaptive Gate with a derived K′ buffer, and progressive expansion with an exhaustion condition.</w:t>
            </w:r>
          </w:p>
        </w:tc>
        <w:tc>
          <w:tcPr>
            <w:tcW w:type="dxa" w:w="38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19"/>
                <w:szCs w:val="19"/>
              </w:rPr>
              <w:t xml:space="preserve">Project-internal design review (not literature-derived): running full evidence-governed evaluation on every applicant is not computationally justified once a cheap first pass can safely narrow the pool.</w:t>
            </w:r>
          </w:p>
        </w:tc>
      </w:tr>
      <w:tr>
        <w:tc>
          <w:tcPr>
            <w:tcW w:type="dxa" w:w="1700"/>
            <w:tcMar>
              <w:top w:type="dxa" w:w="70"/>
              <w:left w:type="dxa" w:w="90"/>
              <w:bottom w:type="dxa" w:w="70"/>
              <w:right w:type="dxa" w:w="90"/>
            </w:tcMar>
            <w:vAlign w:val="center"/>
          </w:tcPr>
          <w:p>
            <w:pPr>
              <w:jc w:val="left"/>
            </w:pPr>
            <w:r>
              <w:rPr>
                <w:rFonts w:ascii="Calibri" w:cs="Calibri" w:eastAsia="Calibri" w:hAnsi="Calibri"/>
                <w:b/>
                <w:bCs/>
                <w:i w:val="false"/>
                <w:iCs w:val="false"/>
                <w:color w:val="000000"/>
                <w:sz w:val="19"/>
                <w:szCs w:val="19"/>
              </w:rPr>
              <w:t xml:space="preserve">v3 — Refined</w:t>
            </w:r>
          </w:p>
        </w:tc>
        <w:tc>
          <w:tcPr>
            <w:tcW w:type="dxa" w:w="38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19"/>
                <w:szCs w:val="19"/>
              </w:rPr>
              <w:t xml:space="preserve">Tri-valued P_hard (PASS/FAIL/INDETERMINATE); evidence-state assignment separated entirely from extraction; grounding check added; K′ derived from measured failure rate rather than guessed; U_unc removed from the score.</w:t>
            </w:r>
          </w:p>
        </w:tc>
        <w:tc>
          <w:tcPr>
            <w:tcW w:type="dxa" w:w="38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19"/>
                <w:szCs w:val="19"/>
              </w:rPr>
              <w:t xml:space="preserve">Directly literature-motivated (white-fonting / Inject My PDF → grounding check and evidence separation) plus two internal contradictions resolved: (a) binary P_hard could not satisfy both “NOT_OBSERVED is not negative” and “mandatory rules must gate” at once; (b) U_unc inside the score indirectly penalized candidates lacking public evidence, violating the fairness bound the architecture itself set.</w:t>
            </w:r>
          </w:p>
        </w:tc>
      </w:tr>
      <w:tr>
        <w:tc>
          <w:tcPr>
            <w:tcW w:type="dxa" w:w="1700"/>
            <w:tcMar>
              <w:top w:type="dxa" w:w="70"/>
              <w:left w:type="dxa" w:w="90"/>
              <w:bottom w:type="dxa" w:w="70"/>
              <w:right w:type="dxa" w:w="90"/>
            </w:tcMar>
            <w:vAlign w:val="center"/>
          </w:tcPr>
          <w:p>
            <w:pPr>
              <w:jc w:val="left"/>
            </w:pPr>
            <w:r>
              <w:rPr>
                <w:rFonts w:ascii="Calibri" w:cs="Calibri" w:eastAsia="Calibri" w:hAnsi="Calibri"/>
                <w:b/>
                <w:bCs/>
                <w:i w:val="false"/>
                <w:iCs w:val="false"/>
                <w:color w:val="000000"/>
                <w:sz w:val="19"/>
                <w:szCs w:val="19"/>
              </w:rPr>
              <w:t xml:space="preserve">v4 — Current</w:t>
            </w:r>
          </w:p>
        </w:tc>
        <w:tc>
          <w:tcPr>
            <w:tcW w:type="dxa" w:w="38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19"/>
                <w:szCs w:val="19"/>
              </w:rPr>
              <w:t xml:space="preserve">Evidence-checking, graph inference, and scoring scoped to a Decisive Requirement Set (DRS); review split into a narrow blocking Eligibility Review and a non-blocking Ranking Confidence Flag; Phase F (Verification Handoff Package) added with a verification_status field and an evidence-injection interface.</w:t>
            </w:r>
          </w:p>
        </w:tc>
        <w:tc>
          <w:tcPr>
            <w:tcW w:type="dxa" w:w="38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19"/>
                <w:szCs w:val="19"/>
              </w:rPr>
              <w:t xml:space="preserve">User-directed correction after architecture walkthrough: (a) evidence-checking every claim on every resume is not achievable at project scope; (b) review volume was too high because INDETERMINATE was over-triggering on under-evidenced rather than genuinely missing claims; (c) recognition that several “tentative” evidence states are meant to be resolved at a later hiring stage, not within screening itself.</w:t>
            </w:r>
          </w:p>
        </w:tc>
      </w:tr>
    </w:tbl>
    <w:p>
      <w:r>
        <w:br w:type="page"/>
      </w:r>
    </w:p>
    <w:p>
      <w:pPr>
        <w:pStyle w:val="Heading1"/>
        <w:pBdr>
          <w:bottom w:val="single" w:color="1F3864" w:sz="6" w:space="4"/>
        </w:pBdr>
        <w:spacing w:after="160" w:before="320"/>
      </w:pPr>
      <w:r>
        <w:rPr>
          <w:rFonts w:ascii="Calibri" w:cs="Calibri" w:eastAsia="Calibri" w:hAnsi="Calibri"/>
          <w:b/>
          <w:bCs/>
          <w:color w:val="1F3864"/>
          <w:sz w:val="28"/>
          <w:szCs w:val="28"/>
        </w:rPr>
        <w:t xml:space="preserve">4. Current Architecture — Formal Specification</w:t>
      </w:r>
    </w:p>
    <w:p>
      <w:pPr>
        <w:pStyle w:val="Heading2"/>
        <w:spacing w:after="110" w:before="220"/>
      </w:pPr>
      <w:r>
        <w:rPr>
          <w:rFonts w:ascii="Calibri" w:cs="Calibri" w:eastAsia="Calibri" w:hAnsi="Calibri"/>
          <w:b/>
          <w:bCs/>
          <w:color w:val="1F3864"/>
          <w:sz w:val="23"/>
          <w:szCs w:val="23"/>
        </w:rPr>
        <w:t xml:space="preserve">4.1 Governing Principle</w:t>
      </w:r>
    </w:p>
    <w:p>
      <w:pPr>
        <w:spacing w:after="160" w:line="300"/>
        <w:jc w:val="both"/>
      </w:pPr>
      <w:r>
        <w:rPr>
          <w:rFonts w:ascii="Calibri" w:cs="Calibri" w:eastAsia="Calibri" w:hAnsi="Calibri"/>
          <w:sz w:val="21"/>
          <w:szCs w:val="21"/>
        </w:rPr>
        <w:t xml:space="preserve">Five decisions exist in this pipeline. Each is owned by exactly one component. The LLM owns none of them except reading.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300"/>
        <w:gridCol w:w="3800"/>
        <w:gridCol w:w="2200"/>
      </w:tblGrid>
      <w:tr>
        <w:tc>
          <w:tcPr>
            <w:tcW w:type="dxa" w:w="3300"/>
            <w:shd w:fill="1F3864" w:val="clear"/>
            <w:tcMar>
              <w:top w:type="dxa" w:w="70"/>
              <w:left w:type="dxa" w:w="90"/>
              <w:bottom w:type="dxa" w:w="70"/>
              <w:right w:type="dxa" w:w="90"/>
            </w:tcMar>
            <w:vAlign w:val="center"/>
          </w:tcPr>
          <w:p>
            <w:pPr>
              <w:jc w:val="left"/>
            </w:pPr>
            <w:r>
              <w:rPr>
                <w:rFonts w:ascii="Calibri" w:cs="Calibri" w:eastAsia="Calibri" w:hAnsi="Calibri"/>
                <w:b/>
                <w:bCs/>
                <w:i w:val="false"/>
                <w:iCs w:val="false"/>
                <w:color w:val="FFFFFF"/>
                <w:sz w:val="19"/>
                <w:szCs w:val="19"/>
              </w:rPr>
              <w:t xml:space="preserve">Decision</w:t>
            </w:r>
          </w:p>
        </w:tc>
        <w:tc>
          <w:tcPr>
            <w:tcW w:type="dxa" w:w="3800"/>
            <w:shd w:fill="1F3864" w:val="clear"/>
            <w:tcMar>
              <w:top w:type="dxa" w:w="70"/>
              <w:left w:type="dxa" w:w="90"/>
              <w:bottom w:type="dxa" w:w="70"/>
              <w:right w:type="dxa" w:w="90"/>
            </w:tcMar>
            <w:vAlign w:val="center"/>
          </w:tcPr>
          <w:p>
            <w:pPr>
              <w:jc w:val="left"/>
            </w:pPr>
            <w:r>
              <w:rPr>
                <w:rFonts w:ascii="Calibri" w:cs="Calibri" w:eastAsia="Calibri" w:hAnsi="Calibri"/>
                <w:b/>
                <w:bCs/>
                <w:i w:val="false"/>
                <w:iCs w:val="false"/>
                <w:color w:val="FFFFFF"/>
                <w:sz w:val="19"/>
                <w:szCs w:val="19"/>
              </w:rPr>
              <w:t xml:space="preserve">Owner</w:t>
            </w:r>
          </w:p>
        </w:tc>
        <w:tc>
          <w:tcPr>
            <w:tcW w:type="dxa" w:w="2200"/>
            <w:shd w:fill="1F3864" w:val="clear"/>
            <w:tcMar>
              <w:top w:type="dxa" w:w="70"/>
              <w:left w:type="dxa" w:w="90"/>
              <w:bottom w:type="dxa" w:w="70"/>
              <w:right w:type="dxa" w:w="90"/>
            </w:tcMar>
            <w:vAlign w:val="center"/>
          </w:tcPr>
          <w:p>
            <w:pPr>
              <w:jc w:val="left"/>
            </w:pPr>
            <w:r>
              <w:rPr>
                <w:rFonts w:ascii="Calibri" w:cs="Calibri" w:eastAsia="Calibri" w:hAnsi="Calibri"/>
                <w:b/>
                <w:bCs/>
                <w:i w:val="false"/>
                <w:iCs w:val="false"/>
                <w:color w:val="FFFFFF"/>
                <w:sz w:val="19"/>
                <w:szCs w:val="19"/>
              </w:rPr>
              <w:t xml:space="preserve">LLM Involved?</w:t>
            </w:r>
          </w:p>
        </w:tc>
      </w:tr>
      <w:tr>
        <w:tc>
          <w:tcPr>
            <w:tcW w:type="dxa" w:w="33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19"/>
                <w:szCs w:val="19"/>
              </w:rPr>
              <w:t xml:space="preserve">What was written</w:t>
            </w:r>
          </w:p>
        </w:tc>
        <w:tc>
          <w:tcPr>
            <w:tcW w:type="dxa" w:w="38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19"/>
                <w:szCs w:val="19"/>
              </w:rPr>
              <w:t xml:space="preserve">Extraction</w:t>
            </w:r>
          </w:p>
        </w:tc>
        <w:tc>
          <w:tcPr>
            <w:tcW w:type="dxa" w:w="2200"/>
            <w:tcMar>
              <w:top w:type="dxa" w:w="70"/>
              <w:left w:type="dxa" w:w="90"/>
              <w:bottom w:type="dxa" w:w="70"/>
              <w:right w:type="dxa" w:w="90"/>
            </w:tcMar>
            <w:vAlign w:val="center"/>
          </w:tcPr>
          <w:p>
            <w:pPr>
              <w:jc w:val="center"/>
            </w:pPr>
            <w:r>
              <w:rPr>
                <w:rFonts w:ascii="Calibri" w:cs="Calibri" w:eastAsia="Calibri" w:hAnsi="Calibri"/>
                <w:b w:val="false"/>
                <w:bCs w:val="false"/>
                <w:i w:val="false"/>
                <w:iCs w:val="false"/>
                <w:color w:val="000000"/>
                <w:sz w:val="19"/>
                <w:szCs w:val="19"/>
              </w:rPr>
              <w:t xml:space="preserve">Yes — reading only</w:t>
            </w:r>
          </w:p>
        </w:tc>
      </w:tr>
      <w:tr>
        <w:tc>
          <w:tcPr>
            <w:tcW w:type="dxa" w:w="33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19"/>
                <w:szCs w:val="19"/>
              </w:rPr>
              <w:t xml:space="preserve">What is supported</w:t>
            </w:r>
          </w:p>
        </w:tc>
        <w:tc>
          <w:tcPr>
            <w:tcW w:type="dxa" w:w="38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19"/>
                <w:szCs w:val="19"/>
              </w:rPr>
              <w:t xml:space="preserve">Evidence connectors + Evidence Ledger</w:t>
            </w:r>
          </w:p>
        </w:tc>
        <w:tc>
          <w:tcPr>
            <w:tcW w:type="dxa" w:w="2200"/>
            <w:tcMar>
              <w:top w:type="dxa" w:w="70"/>
              <w:left w:type="dxa" w:w="90"/>
              <w:bottom w:type="dxa" w:w="70"/>
              <w:right w:type="dxa" w:w="90"/>
            </w:tcMar>
            <w:vAlign w:val="center"/>
          </w:tcPr>
          <w:p>
            <w:pPr>
              <w:jc w:val="center"/>
            </w:pPr>
            <w:r>
              <w:rPr>
                <w:rFonts w:ascii="Calibri" w:cs="Calibri" w:eastAsia="Calibri" w:hAnsi="Calibri"/>
                <w:b w:val="false"/>
                <w:bCs w:val="false"/>
                <w:i w:val="false"/>
                <w:iCs w:val="false"/>
                <w:color w:val="000000"/>
                <w:sz w:val="19"/>
                <w:szCs w:val="19"/>
              </w:rPr>
              <w:t xml:space="preserve">No</w:t>
            </w:r>
          </w:p>
        </w:tc>
      </w:tr>
      <w:tr>
        <w:tc>
          <w:tcPr>
            <w:tcW w:type="dxa" w:w="33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19"/>
                <w:szCs w:val="19"/>
              </w:rPr>
              <w:t xml:space="preserve">What is eligible</w:t>
            </w:r>
          </w:p>
        </w:tc>
        <w:tc>
          <w:tcPr>
            <w:tcW w:type="dxa" w:w="38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19"/>
                <w:szCs w:val="19"/>
              </w:rPr>
              <w:t xml:space="preserve">OPA policy engine</w:t>
            </w:r>
          </w:p>
        </w:tc>
        <w:tc>
          <w:tcPr>
            <w:tcW w:type="dxa" w:w="2200"/>
            <w:tcMar>
              <w:top w:type="dxa" w:w="70"/>
              <w:left w:type="dxa" w:w="90"/>
              <w:bottom w:type="dxa" w:w="70"/>
              <w:right w:type="dxa" w:w="90"/>
            </w:tcMar>
            <w:vAlign w:val="center"/>
          </w:tcPr>
          <w:p>
            <w:pPr>
              <w:jc w:val="center"/>
            </w:pPr>
            <w:r>
              <w:rPr>
                <w:rFonts w:ascii="Calibri" w:cs="Calibri" w:eastAsia="Calibri" w:hAnsi="Calibri"/>
                <w:b w:val="false"/>
                <w:bCs w:val="false"/>
                <w:i w:val="false"/>
                <w:iCs w:val="false"/>
                <w:color w:val="000000"/>
                <w:sz w:val="19"/>
                <w:szCs w:val="19"/>
              </w:rPr>
              <w:t xml:space="preserve">No</w:t>
            </w:r>
          </w:p>
        </w:tc>
      </w:tr>
      <w:tr>
        <w:tc>
          <w:tcPr>
            <w:tcW w:type="dxa" w:w="33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19"/>
                <w:szCs w:val="19"/>
              </w:rPr>
              <w:t xml:space="preserve">What order</w:t>
            </w:r>
          </w:p>
        </w:tc>
        <w:tc>
          <w:tcPr>
            <w:tcW w:type="dxa" w:w="38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19"/>
                <w:szCs w:val="19"/>
              </w:rPr>
              <w:t xml:space="preserve">Scorer</w:t>
            </w:r>
          </w:p>
        </w:tc>
        <w:tc>
          <w:tcPr>
            <w:tcW w:type="dxa" w:w="2200"/>
            <w:tcMar>
              <w:top w:type="dxa" w:w="70"/>
              <w:left w:type="dxa" w:w="90"/>
              <w:bottom w:type="dxa" w:w="70"/>
              <w:right w:type="dxa" w:w="90"/>
            </w:tcMar>
            <w:vAlign w:val="center"/>
          </w:tcPr>
          <w:p>
            <w:pPr>
              <w:jc w:val="center"/>
            </w:pPr>
            <w:r>
              <w:rPr>
                <w:rFonts w:ascii="Calibri" w:cs="Calibri" w:eastAsia="Calibri" w:hAnsi="Calibri"/>
                <w:b w:val="false"/>
                <w:bCs w:val="false"/>
                <w:i w:val="false"/>
                <w:iCs w:val="false"/>
                <w:color w:val="000000"/>
                <w:sz w:val="19"/>
                <w:szCs w:val="19"/>
              </w:rPr>
              <w:t xml:space="preserve">No</w:t>
            </w:r>
          </w:p>
        </w:tc>
      </w:tr>
      <w:tr>
        <w:tc>
          <w:tcPr>
            <w:tcW w:type="dxa" w:w="33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19"/>
                <w:szCs w:val="19"/>
              </w:rPr>
              <w:t xml:space="preserve">What needs a human</w:t>
            </w:r>
          </w:p>
        </w:tc>
        <w:tc>
          <w:tcPr>
            <w:tcW w:type="dxa" w:w="38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19"/>
                <w:szCs w:val="19"/>
              </w:rPr>
              <w:t xml:space="preserve">Router</w:t>
            </w:r>
          </w:p>
        </w:tc>
        <w:tc>
          <w:tcPr>
            <w:tcW w:type="dxa" w:w="2200"/>
            <w:tcMar>
              <w:top w:type="dxa" w:w="70"/>
              <w:left w:type="dxa" w:w="90"/>
              <w:bottom w:type="dxa" w:w="70"/>
              <w:right w:type="dxa" w:w="90"/>
            </w:tcMar>
            <w:vAlign w:val="center"/>
          </w:tcPr>
          <w:p>
            <w:pPr>
              <w:jc w:val="center"/>
            </w:pPr>
            <w:r>
              <w:rPr>
                <w:rFonts w:ascii="Calibri" w:cs="Calibri" w:eastAsia="Calibri" w:hAnsi="Calibri"/>
                <w:b w:val="false"/>
                <w:bCs w:val="false"/>
                <w:i w:val="false"/>
                <w:iCs w:val="false"/>
                <w:color w:val="000000"/>
                <w:sz w:val="19"/>
                <w:szCs w:val="19"/>
              </w:rPr>
              <w:t xml:space="preserve">No</w:t>
            </w:r>
          </w:p>
        </w:tc>
      </w:tr>
    </w:tbl>
    <w:p>
      <w:pPr>
        <w:pStyle w:val="Heading2"/>
        <w:spacing w:after="110" w:before="220"/>
      </w:pPr>
      <w:r>
        <w:rPr>
          <w:rFonts w:ascii="Calibri" w:cs="Calibri" w:eastAsia="Calibri" w:hAnsi="Calibri"/>
          <w:b/>
          <w:bCs/>
          <w:color w:val="1F3864"/>
          <w:sz w:val="23"/>
          <w:szCs w:val="23"/>
        </w:rPr>
        <w:t xml:space="preserve">4.2 Decisive Requirement Set (DRS)</w:t>
      </w:r>
    </w:p>
    <w:p>
      <w:pPr>
        <w:spacing w:after="160" w:line="300"/>
        <w:jc w:val="both"/>
      </w:pPr>
      <w:r>
        <w:rPr>
          <w:rFonts w:ascii="Calibri" w:cs="Calibri" w:eastAsia="Calibri" w:hAnsi="Calibri"/>
          <w:sz w:val="21"/>
          <w:szCs w:val="21"/>
        </w:rPr>
        <w:t xml:space="preserve">For every role, the blueprint declares an explicit, bounded set of skill-graph nodes: every mandatory (P_hard) requirement, plus each requirement's graph-adjacent neighbors up to the configured depth limit — typically 5–15 nodes per role. Evidence connectors, graph inference, and E_prov scoring operate only on claims that normalize into the DRS.</w:t>
      </w:r>
    </w:p>
    <w:p>
      <w:pPr>
        <w:spacing w:after="160" w:line="300"/>
        <w:jc w:val="both"/>
      </w:pPr>
      <w:r>
        <w:rPr>
          <w:rFonts w:ascii="Calibri" w:cs="Calibri" w:eastAsia="Calibri" w:hAnsi="Calibri"/>
          <w:sz w:val="21"/>
          <w:szCs w:val="21"/>
        </w:rPr>
        <w:t xml:space="preserve">A claim outside the DRS is retained as a logged, SELF_CLAIMED contextual claim: visible in the audit trail and available to a human reviewer for context, but never evidence-checked, scored, or allowed to block or advance a candidate. This is what keeps evidence verification computationally bounded regardless of resume length or content.</w:t>
      </w:r>
    </w:p>
    <w:p>
      <w:pPr>
        <w:pStyle w:val="Heading2"/>
        <w:spacing w:after="110" w:before="220"/>
      </w:pPr>
      <w:r>
        <w:rPr>
          <w:rFonts w:ascii="Calibri" w:cs="Calibri" w:eastAsia="Calibri" w:hAnsi="Calibri"/>
          <w:b/>
          <w:bCs/>
          <w:color w:val="1F3864"/>
          <w:sz w:val="23"/>
          <w:szCs w:val="23"/>
        </w:rPr>
        <w:t xml:space="preserve">4.3 Pipeline Phases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900"/>
        <w:gridCol w:w="7400"/>
      </w:tblGrid>
      <w:tr>
        <w:tc>
          <w:tcPr>
            <w:tcW w:type="dxa" w:w="1900"/>
            <w:shd w:fill="1F3864" w:val="clear"/>
            <w:tcMar>
              <w:top w:type="dxa" w:w="70"/>
              <w:left w:type="dxa" w:w="90"/>
              <w:bottom w:type="dxa" w:w="70"/>
              <w:right w:type="dxa" w:w="90"/>
            </w:tcMar>
            <w:vAlign w:val="center"/>
          </w:tcPr>
          <w:p>
            <w:pPr>
              <w:jc w:val="left"/>
            </w:pPr>
            <w:r>
              <w:rPr>
                <w:rFonts w:ascii="Calibri" w:cs="Calibri" w:eastAsia="Calibri" w:hAnsi="Calibri"/>
                <w:b/>
                <w:bCs/>
                <w:i w:val="false"/>
                <w:iCs w:val="false"/>
                <w:color w:val="FFFFFF"/>
                <w:sz w:val="19"/>
                <w:szCs w:val="19"/>
              </w:rPr>
              <w:t xml:space="preserve">Phase</w:t>
            </w:r>
          </w:p>
        </w:tc>
        <w:tc>
          <w:tcPr>
            <w:tcW w:type="dxa" w:w="7400"/>
            <w:shd w:fill="1F3864" w:val="clear"/>
            <w:tcMar>
              <w:top w:type="dxa" w:w="70"/>
              <w:left w:type="dxa" w:w="90"/>
              <w:bottom w:type="dxa" w:w="70"/>
              <w:right w:type="dxa" w:w="90"/>
            </w:tcMar>
            <w:vAlign w:val="center"/>
          </w:tcPr>
          <w:p>
            <w:pPr>
              <w:jc w:val="left"/>
            </w:pPr>
            <w:r>
              <w:rPr>
                <w:rFonts w:ascii="Calibri" w:cs="Calibri" w:eastAsia="Calibri" w:hAnsi="Calibri"/>
                <w:b/>
                <w:bCs/>
                <w:i w:val="false"/>
                <w:iCs w:val="false"/>
                <w:color w:val="FFFFFF"/>
                <w:sz w:val="19"/>
                <w:szCs w:val="19"/>
              </w:rPr>
              <w:t xml:space="preserve">Specification</w:t>
            </w:r>
          </w:p>
        </w:tc>
      </w:tr>
      <w:tr>
        <w:tc>
          <w:tcPr>
            <w:tcW w:type="dxa" w:w="1900"/>
            <w:tcMar>
              <w:top w:type="dxa" w:w="70"/>
              <w:left w:type="dxa" w:w="90"/>
              <w:bottom w:type="dxa" w:w="70"/>
              <w:right w:type="dxa" w:w="90"/>
            </w:tcMar>
            <w:vAlign w:val="center"/>
          </w:tcPr>
          <w:p>
            <w:pPr>
              <w:jc w:val="left"/>
            </w:pPr>
            <w:r>
              <w:rPr>
                <w:rFonts w:ascii="Calibri" w:cs="Calibri" w:eastAsia="Calibri" w:hAnsi="Calibri"/>
                <w:b/>
                <w:bCs/>
                <w:i w:val="false"/>
                <w:iCs w:val="false"/>
                <w:color w:val="000000"/>
                <w:sz w:val="19"/>
                <w:szCs w:val="19"/>
              </w:rPr>
              <w:t xml:space="preserve">A — Ingest</w:t>
            </w:r>
          </w:p>
        </w:tc>
        <w:tc>
          <w:tcPr>
            <w:tcW w:type="dxa" w:w="74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19"/>
                <w:szCs w:val="19"/>
              </w:rPr>
              <w:t xml:space="preserve">Immutable snapshot; SUSPECT flag from hidden-text detection; grounded extraction (claims dropped if their source_span does not exist in or match the snapshot); every surviving claim is assigned SELF_CLAIMED by construction — extraction cannot emit any other evidence state; skill normalization.</w:t>
            </w:r>
          </w:p>
        </w:tc>
      </w:tr>
      <w:tr>
        <w:tc>
          <w:tcPr>
            <w:tcW w:type="dxa" w:w="1900"/>
            <w:tcMar>
              <w:top w:type="dxa" w:w="70"/>
              <w:left w:type="dxa" w:w="90"/>
              <w:bottom w:type="dxa" w:w="70"/>
              <w:right w:type="dxa" w:w="90"/>
            </w:tcMar>
            <w:vAlign w:val="center"/>
          </w:tcPr>
          <w:p>
            <w:pPr>
              <w:jc w:val="left"/>
            </w:pPr>
            <w:r>
              <w:rPr>
                <w:rFonts w:ascii="Calibri" w:cs="Calibri" w:eastAsia="Calibri" w:hAnsi="Calibri"/>
                <w:b/>
                <w:bCs/>
                <w:i w:val="false"/>
                <w:iCs w:val="false"/>
                <w:color w:val="000000"/>
                <w:sz w:val="19"/>
                <w:szCs w:val="19"/>
              </w:rPr>
              <w:t xml:space="preserve">B — Stage 1 (Discovery)</w:t>
            </w:r>
          </w:p>
        </w:tc>
        <w:tc>
          <w:tcPr>
            <w:tcW w:type="dxa" w:w="74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19"/>
                <w:szCs w:val="19"/>
              </w:rPr>
              <w:t xml:space="preserve">Non-governing semantic similarity score against the job description; produces a preliminary ranked queue used only to decide who is investigated further.</w:t>
            </w:r>
          </w:p>
        </w:tc>
      </w:tr>
      <w:tr>
        <w:tc>
          <w:tcPr>
            <w:tcW w:type="dxa" w:w="1900"/>
            <w:tcMar>
              <w:top w:type="dxa" w:w="70"/>
              <w:left w:type="dxa" w:w="90"/>
              <w:bottom w:type="dxa" w:w="70"/>
              <w:right w:type="dxa" w:w="90"/>
            </w:tcMar>
            <w:vAlign w:val="center"/>
          </w:tcPr>
          <w:p>
            <w:pPr>
              <w:jc w:val="left"/>
            </w:pPr>
            <w:r>
              <w:rPr>
                <w:rFonts w:ascii="Calibri" w:cs="Calibri" w:eastAsia="Calibri" w:hAnsi="Calibri"/>
                <w:b/>
                <w:bCs/>
                <w:i w:val="false"/>
                <w:iCs w:val="false"/>
                <w:color w:val="000000"/>
                <w:sz w:val="19"/>
                <w:szCs w:val="19"/>
              </w:rPr>
              <w:t xml:space="preserve">C — Adaptive Gate</w:t>
            </w:r>
          </w:p>
        </w:tc>
        <w:tc>
          <w:tcPr>
            <w:tcW w:type="dxa" w:w="74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19"/>
                <w:szCs w:val="19"/>
              </w:rPr>
              <w:t xml:space="preserve">K′ = ceil(R / (1 − f)) × margin, where f is the P_hard failure rate measured on a development split; bounded to [K_min, N]; adjusted by Stage-1 score-gap analysis.</w:t>
            </w:r>
          </w:p>
        </w:tc>
      </w:tr>
      <w:tr>
        <w:tc>
          <w:tcPr>
            <w:tcW w:type="dxa" w:w="1900"/>
            <w:tcMar>
              <w:top w:type="dxa" w:w="70"/>
              <w:left w:type="dxa" w:w="90"/>
              <w:bottom w:type="dxa" w:w="70"/>
              <w:right w:type="dxa" w:w="90"/>
            </w:tcMar>
            <w:vAlign w:val="center"/>
          </w:tcPr>
          <w:p>
            <w:pPr>
              <w:jc w:val="left"/>
            </w:pPr>
            <w:r>
              <w:rPr>
                <w:rFonts w:ascii="Calibri" w:cs="Calibri" w:eastAsia="Calibri" w:hAnsi="Calibri"/>
                <w:b/>
                <w:bCs/>
                <w:i w:val="false"/>
                <w:iCs w:val="false"/>
                <w:color w:val="000000"/>
                <w:sz w:val="19"/>
                <w:szCs w:val="19"/>
              </w:rPr>
              <w:t xml:space="preserve">D — Stage 2 (Governance)</w:t>
            </w:r>
          </w:p>
        </w:tc>
        <w:tc>
          <w:tcPr>
            <w:tcW w:type="dxa" w:w="74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19"/>
                <w:szCs w:val="19"/>
              </w:rPr>
              <w:t xml:space="preserve">Per candidate, cheap-first: (1) scope claims into DRS vs. contextual; (2) evidence connectors assign ARTIFACT_BACKED / ASSESSED for DRS claims only; (3) tri-valued policy check, FAIL exits immediately; (4) graph inference on DRS neighbors produces INFERRED, scoring-only, never policy-qualifying; (5) score M_G = w_q·Q_current + w_e·E_prov; (6) route to Eligibility Review, Ranking Confidence Flag, or QUALIFIED_AUTO.</w:t>
            </w:r>
          </w:p>
        </w:tc>
      </w:tr>
      <w:tr>
        <w:tc>
          <w:tcPr>
            <w:tcW w:type="dxa" w:w="1900"/>
            <w:tcMar>
              <w:top w:type="dxa" w:w="70"/>
              <w:left w:type="dxa" w:w="90"/>
              <w:bottom w:type="dxa" w:w="70"/>
              <w:right w:type="dxa" w:w="90"/>
            </w:tcMar>
            <w:vAlign w:val="center"/>
          </w:tcPr>
          <w:p>
            <w:pPr>
              <w:jc w:val="left"/>
            </w:pPr>
            <w:r>
              <w:rPr>
                <w:rFonts w:ascii="Calibri" w:cs="Calibri" w:eastAsia="Calibri" w:hAnsi="Calibri"/>
                <w:b/>
                <w:bCs/>
                <w:i w:val="false"/>
                <w:iCs w:val="false"/>
                <w:color w:val="000000"/>
                <w:sz w:val="19"/>
                <w:szCs w:val="19"/>
              </w:rPr>
              <w:t xml:space="preserve">E — Expansion</w:t>
            </w:r>
          </w:p>
        </w:tc>
        <w:tc>
          <w:tcPr>
            <w:tcW w:type="dxa" w:w="74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19"/>
                <w:szCs w:val="19"/>
              </w:rPr>
              <w:t xml:space="preserve">Continues until both SC1 (|QUALIFIED_AUTO| ≥ R) and SC2 (top-R stable across the last two batches) hold; pool exhaustion produces an insufficiency report with a P_hard failure breakdown, never a relaxation of standards.</w:t>
            </w:r>
          </w:p>
        </w:tc>
      </w:tr>
      <w:tr>
        <w:tc>
          <w:tcPr>
            <w:tcW w:type="dxa" w:w="1900"/>
            <w:tcMar>
              <w:top w:type="dxa" w:w="70"/>
              <w:left w:type="dxa" w:w="90"/>
              <w:bottom w:type="dxa" w:w="70"/>
              <w:right w:type="dxa" w:w="90"/>
            </w:tcMar>
            <w:vAlign w:val="center"/>
          </w:tcPr>
          <w:p>
            <w:pPr>
              <w:jc w:val="left"/>
            </w:pPr>
            <w:r>
              <w:rPr>
                <w:rFonts w:ascii="Calibri" w:cs="Calibri" w:eastAsia="Calibri" w:hAnsi="Calibri"/>
                <w:b/>
                <w:bCs/>
                <w:i w:val="false"/>
                <w:iCs w:val="false"/>
                <w:color w:val="000000"/>
                <w:sz w:val="19"/>
                <w:szCs w:val="19"/>
              </w:rPr>
              <w:t xml:space="preserve">F — Verification Handoff</w:t>
            </w:r>
          </w:p>
        </w:tc>
        <w:tc>
          <w:tcPr>
            <w:tcW w:type="dxa" w:w="74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19"/>
                <w:szCs w:val="19"/>
              </w:rPr>
              <w:t xml:space="preserve">Generates, per shortlisted or reviewed candidate, an Interview Brief, a Verification Checklist, a Compliance Record, and (once per role) a Recruiter Feedback Signal; see Section 4.6.</w:t>
            </w:r>
          </w:p>
        </w:tc>
      </w:tr>
    </w:tbl>
    <w:p>
      <w:r>
        <w:br w:type="page"/>
      </w:r>
    </w:p>
    <w:p>
      <w:pPr>
        <w:pStyle w:val="Heading2"/>
        <w:spacing w:after="110" w:before="220"/>
      </w:pPr>
      <w:r>
        <w:rPr>
          <w:rFonts w:ascii="Calibri" w:cs="Calibri" w:eastAsia="Calibri" w:hAnsi="Calibri"/>
          <w:b/>
          <w:bCs/>
          <w:color w:val="1F3864"/>
          <w:sz w:val="23"/>
          <w:szCs w:val="23"/>
        </w:rPr>
        <w:t xml:space="preserve">4.4 Policy Result Table (Tri-Valued, Per DRS Requirement)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00"/>
      </w:tblGrid>
      <w:tr>
        <w:tc>
          <w:tcPr>
            <w:tcW w:type="dxa" w:w="3200"/>
            <w:shd w:fill="1F3864" w:val="clear"/>
            <w:tcMar>
              <w:top w:type="dxa" w:w="70"/>
              <w:left w:type="dxa" w:w="90"/>
              <w:bottom w:type="dxa" w:w="70"/>
              <w:right w:type="dxa" w:w="90"/>
            </w:tcMar>
            <w:vAlign w:val="center"/>
          </w:tcPr>
          <w:p>
            <w:pPr>
              <w:jc w:val="left"/>
            </w:pPr>
            <w:r>
              <w:rPr>
                <w:rFonts w:ascii="Calibri" w:cs="Calibri" w:eastAsia="Calibri" w:hAnsi="Calibri"/>
                <w:b/>
                <w:bCs/>
                <w:i w:val="false"/>
                <w:iCs w:val="false"/>
                <w:color w:val="FFFFFF"/>
                <w:sz w:val="19"/>
                <w:szCs w:val="19"/>
              </w:rPr>
              <w:t xml:space="preserve">Evidence Found</w:t>
            </w:r>
          </w:p>
        </w:tc>
        <w:tc>
          <w:tcPr>
            <w:tcW w:type="dxa" w:w="2000"/>
            <w:shd w:fill="1F3864" w:val="clear"/>
            <w:tcMar>
              <w:top w:type="dxa" w:w="70"/>
              <w:left w:type="dxa" w:w="90"/>
              <w:bottom w:type="dxa" w:w="70"/>
              <w:right w:type="dxa" w:w="90"/>
            </w:tcMar>
            <w:vAlign w:val="center"/>
          </w:tcPr>
          <w:p>
            <w:pPr>
              <w:jc w:val="left"/>
            </w:pPr>
            <w:r>
              <w:rPr>
                <w:rFonts w:ascii="Calibri" w:cs="Calibri" w:eastAsia="Calibri" w:hAnsi="Calibri"/>
                <w:b/>
                <w:bCs/>
                <w:i w:val="false"/>
                <w:iCs w:val="false"/>
                <w:color w:val="FFFFFF"/>
                <w:sz w:val="19"/>
                <w:szCs w:val="19"/>
              </w:rPr>
              <w:t xml:space="preserve">Result</w:t>
            </w:r>
          </w:p>
        </w:tc>
        <w:tc>
          <w:tcPr>
            <w:tcW w:type="dxa" w:w="4100"/>
            <w:shd w:fill="1F3864" w:val="clear"/>
            <w:tcMar>
              <w:top w:type="dxa" w:w="70"/>
              <w:left w:type="dxa" w:w="90"/>
              <w:bottom w:type="dxa" w:w="70"/>
              <w:right w:type="dxa" w:w="90"/>
            </w:tcMar>
            <w:vAlign w:val="center"/>
          </w:tcPr>
          <w:p>
            <w:pPr>
              <w:jc w:val="left"/>
            </w:pPr>
            <w:r>
              <w:rPr>
                <w:rFonts w:ascii="Calibri" w:cs="Calibri" w:eastAsia="Calibri" w:hAnsi="Calibri"/>
                <w:b/>
                <w:bCs/>
                <w:i w:val="false"/>
                <w:iCs w:val="false"/>
                <w:color w:val="FFFFFF"/>
                <w:sz w:val="19"/>
                <w:szCs w:val="19"/>
              </w:rPr>
              <w:t xml:space="preserve">Note</w:t>
            </w:r>
          </w:p>
        </w:tc>
      </w:tr>
      <w:tr>
        <w:tc>
          <w:tcPr>
            <w:tcW w:type="dxa" w:w="32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19"/>
                <w:szCs w:val="19"/>
              </w:rPr>
              <w:t xml:space="preserve">ARTIFACT_BACKED or ASSESSED</w:t>
            </w:r>
          </w:p>
        </w:tc>
        <w:tc>
          <w:tcPr>
            <w:tcW w:type="dxa" w:w="2000"/>
            <w:shd w:fill="E2EFDA" w:val="clear"/>
            <w:tcMar>
              <w:top w:type="dxa" w:w="70"/>
              <w:left w:type="dxa" w:w="90"/>
              <w:bottom w:type="dxa" w:w="70"/>
              <w:right w:type="dxa" w:w="90"/>
            </w:tcMar>
            <w:vAlign w:val="center"/>
          </w:tcPr>
          <w:p>
            <w:pPr>
              <w:jc w:val="center"/>
            </w:pPr>
            <w:r>
              <w:rPr>
                <w:rFonts w:ascii="Calibri" w:cs="Calibri" w:eastAsia="Calibri" w:hAnsi="Calibri"/>
                <w:b/>
                <w:bCs/>
                <w:i w:val="false"/>
                <w:iCs w:val="false"/>
                <w:color w:val="000000"/>
                <w:sz w:val="19"/>
                <w:szCs w:val="19"/>
              </w:rPr>
              <w:t xml:space="preserve">PASS</w:t>
            </w:r>
          </w:p>
        </w:tc>
        <w:tc>
          <w:tcPr>
            <w:tcW w:type="dxa" w:w="41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19"/>
                <w:szCs w:val="19"/>
              </w:rPr>
              <w:t xml:space="preserve">Directly supported.</w:t>
            </w:r>
          </w:p>
        </w:tc>
      </w:tr>
      <w:tr>
        <w:tc>
          <w:tcPr>
            <w:tcW w:type="dxa" w:w="32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19"/>
                <w:szCs w:val="19"/>
              </w:rPr>
              <w:t xml:space="preserve">SELF_CLAIMED</w:t>
            </w:r>
          </w:p>
        </w:tc>
        <w:tc>
          <w:tcPr>
            <w:tcW w:type="dxa" w:w="2000"/>
            <w:shd w:fill="E2EFDA" w:val="clear"/>
            <w:tcMar>
              <w:top w:type="dxa" w:w="70"/>
              <w:left w:type="dxa" w:w="90"/>
              <w:bottom w:type="dxa" w:w="70"/>
              <w:right w:type="dxa" w:w="90"/>
            </w:tcMar>
            <w:vAlign w:val="center"/>
          </w:tcPr>
          <w:p>
            <w:pPr>
              <w:jc w:val="center"/>
            </w:pPr>
            <w:r>
              <w:rPr>
                <w:rFonts w:ascii="Calibri" w:cs="Calibri" w:eastAsia="Calibri" w:hAnsi="Calibri"/>
                <w:b/>
                <w:bCs/>
                <w:i w:val="false"/>
                <w:iCs w:val="false"/>
                <w:color w:val="000000"/>
                <w:sz w:val="19"/>
                <w:szCs w:val="19"/>
              </w:rPr>
              <w:t xml:space="preserve">PASS (tentative)</w:t>
            </w:r>
          </w:p>
        </w:tc>
        <w:tc>
          <w:tcPr>
            <w:tcW w:type="dxa" w:w="41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19"/>
                <w:szCs w:val="19"/>
              </w:rPr>
              <w:t xml:space="preserve">Verification is a later hiring-stage task; a role may override this default for any safety- or compliance-critical requirement.</w:t>
            </w:r>
          </w:p>
        </w:tc>
      </w:tr>
      <w:tr>
        <w:tc>
          <w:tcPr>
            <w:tcW w:type="dxa" w:w="32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19"/>
                <w:szCs w:val="19"/>
              </w:rPr>
              <w:t xml:space="preserve">Evidence directly contradicts the requirement</w:t>
            </w:r>
          </w:p>
        </w:tc>
        <w:tc>
          <w:tcPr>
            <w:tcW w:type="dxa" w:w="2000"/>
            <w:shd w:fill="FCE4E4" w:val="clear"/>
            <w:tcMar>
              <w:top w:type="dxa" w:w="70"/>
              <w:left w:type="dxa" w:w="90"/>
              <w:bottom w:type="dxa" w:w="70"/>
              <w:right w:type="dxa" w:w="90"/>
            </w:tcMar>
            <w:vAlign w:val="center"/>
          </w:tcPr>
          <w:p>
            <w:pPr>
              <w:jc w:val="center"/>
            </w:pPr>
            <w:r>
              <w:rPr>
                <w:rFonts w:ascii="Calibri" w:cs="Calibri" w:eastAsia="Calibri" w:hAnsi="Calibri"/>
                <w:b/>
                <w:bCs/>
                <w:i w:val="false"/>
                <w:iCs w:val="false"/>
                <w:color w:val="000000"/>
                <w:sz w:val="19"/>
                <w:szCs w:val="19"/>
              </w:rPr>
              <w:t xml:space="preserve">FAIL</w:t>
            </w:r>
          </w:p>
        </w:tc>
        <w:tc>
          <w:tcPr>
            <w:tcW w:type="dxa" w:w="41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19"/>
                <w:szCs w:val="19"/>
              </w:rPr>
              <w:t xml:space="preserve">Exits immediately; no further scoring or graph traversal runs for this candidate.</w:t>
            </w:r>
          </w:p>
        </w:tc>
      </w:tr>
      <w:tr>
        <w:tc>
          <w:tcPr>
            <w:tcW w:type="dxa" w:w="32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19"/>
                <w:szCs w:val="19"/>
              </w:rPr>
              <w:t xml:space="preserve">NOT_OBSERVED</w:t>
            </w:r>
          </w:p>
        </w:tc>
        <w:tc>
          <w:tcPr>
            <w:tcW w:type="dxa" w:w="2000"/>
            <w:shd w:fill="FFF2CC" w:val="clear"/>
            <w:tcMar>
              <w:top w:type="dxa" w:w="70"/>
              <w:left w:type="dxa" w:w="90"/>
              <w:bottom w:type="dxa" w:w="70"/>
              <w:right w:type="dxa" w:w="90"/>
            </w:tcMar>
            <w:vAlign w:val="center"/>
          </w:tcPr>
          <w:p>
            <w:pPr>
              <w:jc w:val="center"/>
            </w:pPr>
            <w:r>
              <w:rPr>
                <w:rFonts w:ascii="Calibri" w:cs="Calibri" w:eastAsia="Calibri" w:hAnsi="Calibri"/>
                <w:b/>
                <w:bCs/>
                <w:i w:val="false"/>
                <w:iCs w:val="false"/>
                <w:color w:val="000000"/>
                <w:sz w:val="19"/>
                <w:szCs w:val="19"/>
              </w:rPr>
              <w:t xml:space="preserve">INDETERMINATE</w:t>
            </w:r>
          </w:p>
        </w:tc>
        <w:tc>
          <w:tcPr>
            <w:tcW w:type="dxa" w:w="41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19"/>
                <w:szCs w:val="19"/>
              </w:rPr>
              <w:t xml:space="preserve">Routes to Eligibility Review; never treated as a failure.</w:t>
            </w:r>
          </w:p>
        </w:tc>
      </w:tr>
    </w:tbl>
    <w:p>
      <w:pPr>
        <w:spacing w:after="160" w:line="300"/>
        <w:jc w:val="both"/>
      </w:pPr>
      <w:r>
        <w:rPr>
          <w:rFonts w:ascii="Calibri" w:cs="Calibri" w:eastAsia="Calibri" w:hAnsi="Calibri"/>
          <w:i/>
          <w:iCs/>
          <w:sz w:val="21"/>
          <w:szCs w:val="21"/>
        </w:rPr>
        <w:t xml:space="preserve">Legally or compliance-sensitive requirements (e.g., work authorization) are excluded from P_hard entirely and marked “Not Evaluated — Confirmed at Offer Stage,” rather than receiving even a tentative screening-stage PASS.</w:t>
      </w:r>
    </w:p>
    <w:p>
      <w:pPr>
        <w:pStyle w:val="Heading2"/>
        <w:spacing w:after="110" w:before="220"/>
      </w:pPr>
      <w:r>
        <w:rPr>
          <w:rFonts w:ascii="Calibri" w:cs="Calibri" w:eastAsia="Calibri" w:hAnsi="Calibri"/>
          <w:b/>
          <w:bCs/>
          <w:color w:val="1F3864"/>
          <w:sz w:val="23"/>
          <w:szCs w:val="23"/>
        </w:rPr>
        <w:t xml:space="preserve">4.5 Two-Tier Review</w:t>
      </w:r>
    </w:p>
    <w:p>
      <w:pPr>
        <w:spacing w:after="160" w:line="300"/>
        <w:jc w:val="both"/>
      </w:pPr>
      <w:r>
        <w:rPr>
          <w:rFonts w:ascii="Calibri" w:cs="Calibri" w:eastAsia="Calibri" w:hAnsi="Calibri"/>
          <w:sz w:val="21"/>
          <w:szCs w:val="21"/>
        </w:rPr>
        <w:t xml:space="preserve">Eligibility Review (blocking): triggered only by a true INDETERMINATE on a DRS mandatory item, the SUSPECT flag, or a pipeline/LLM failure on a DRS claim. A candidate here cannot be finalized without resolution.</w:t>
      </w:r>
    </w:p>
    <w:p>
      <w:pPr>
        <w:spacing w:after="160" w:line="300"/>
        <w:jc w:val="both"/>
      </w:pPr>
      <w:r>
        <w:rPr>
          <w:rFonts w:ascii="Calibri" w:cs="Calibri" w:eastAsia="Calibri" w:hAnsi="Calibri"/>
          <w:sz w:val="21"/>
          <w:szCs w:val="21"/>
        </w:rPr>
        <w:t xml:space="preserve">Ranking Confidence Flag (non-blocking): a candidate with high scoring uncertainty but no eligibility question proceeds as QUALIFIED_AUTO, carrying a visible confidence flag. These are sampled periodically for audit, not reviewed individually.</w:t>
      </w:r>
    </w:p>
    <w:p>
      <w:pPr>
        <w:pStyle w:val="Heading2"/>
        <w:spacing w:after="110" w:before="220"/>
      </w:pPr>
      <w:r>
        <w:rPr>
          <w:rFonts w:ascii="Calibri" w:cs="Calibri" w:eastAsia="Calibri" w:hAnsi="Calibri"/>
          <w:b/>
          <w:bCs/>
          <w:color w:val="1F3864"/>
          <w:sz w:val="23"/>
          <w:szCs w:val="23"/>
        </w:rPr>
        <w:t xml:space="preserve">4.6 Phase F — Verification Handoff Package</w:t>
      </w:r>
    </w:p>
    <w:p>
      <w:pPr>
        <w:spacing w:after="160" w:line="300"/>
        <w:jc w:val="both"/>
      </w:pPr>
      <w:r>
        <w:rPr>
          <w:rFonts w:ascii="Calibri" w:cs="Calibri" w:eastAsia="Calibri" w:hAnsi="Calibri"/>
          <w:sz w:val="21"/>
          <w:szCs w:val="21"/>
        </w:rPr>
        <w:t xml:space="preserve">EGCA's output is not treated as a terminal decision but as a structured package consumed by later, human-run hiring stages:</w:t>
      </w:r>
    </w:p>
    <w:p>
      <w:pPr>
        <w:pStyle w:val="ListParagraph"/>
        <w:numPr>
          <w:ilvl w:val="0"/>
          <w:numId w:val="2"/>
        </w:numPr>
        <w:spacing w:after="90"/>
      </w:pPr>
      <w:r>
        <w:rPr>
          <w:rFonts w:ascii="Calibri" w:cs="Calibri" w:eastAsia="Calibri" w:hAnsi="Calibri"/>
          <w:sz w:val="21"/>
          <w:szCs w:val="21"/>
        </w:rPr>
        <w:t xml:space="preserve">Interview Brief — TENTATIVE DRS items framed as targeted questions; INFERRED skills framed as specific probes (e.g., a candidate with Fastify but not Express is asked to demonstrate the gap directly); contextual claims listed for fit conversation.</w:t>
      </w:r>
    </w:p>
    <w:p>
      <w:pPr>
        <w:pStyle w:val="ListParagraph"/>
        <w:numPr>
          <w:ilvl w:val="0"/>
          <w:numId w:val="2"/>
        </w:numPr>
        <w:spacing w:after="90"/>
      </w:pPr>
      <w:r>
        <w:rPr>
          <w:rFonts w:ascii="Calibri" w:cs="Calibri" w:eastAsia="Calibri" w:hAnsi="Calibri"/>
          <w:sz w:val="21"/>
          <w:szCs w:val="21"/>
        </w:rPr>
        <w:t xml:space="preserve">Verification Checklist — every SELF_CLAIMED mandatory item (degree, certification, duration, experience) that still needs confirmation.</w:t>
      </w:r>
    </w:p>
    <w:p>
      <w:pPr>
        <w:pStyle w:val="ListParagraph"/>
        <w:numPr>
          <w:ilvl w:val="0"/>
          <w:numId w:val="2"/>
        </w:numPr>
        <w:spacing w:after="90"/>
      </w:pPr>
      <w:r>
        <w:rPr>
          <w:rFonts w:ascii="Calibri" w:cs="Calibri" w:eastAsia="Calibri" w:hAnsi="Calibri"/>
          <w:sz w:val="21"/>
          <w:szCs w:val="21"/>
        </w:rPr>
        <w:t xml:space="preserve">Compliance Record — the full Audit Trail excerpt for the candidate, including the policy version applied.</w:t>
      </w:r>
    </w:p>
    <w:p>
      <w:pPr>
        <w:pStyle w:val="ListParagraph"/>
        <w:numPr>
          <w:ilvl w:val="0"/>
          <w:numId w:val="2"/>
        </w:numPr>
        <w:spacing w:after="90"/>
      </w:pPr>
      <w:r>
        <w:rPr>
          <w:rFonts w:ascii="Calibri" w:cs="Calibri" w:eastAsia="Calibri" w:hAnsi="Calibri"/>
          <w:sz w:val="21"/>
          <w:szCs w:val="21"/>
        </w:rPr>
        <w:t xml:space="preserve">Recruiter Feedback Signal — generated once per role, not per candidate: the pool-wide P_hard failure breakdown, surfaced so an unrealistic requirement can be corrected before the next screening cycle.</w:t>
      </w:r>
    </w:p>
    <w:p>
      <w:pPr>
        <w:spacing w:after="160" w:line="300"/>
        <w:jc w:val="both"/>
      </w:pPr>
      <w:r>
        <w:rPr>
          <w:rFonts w:ascii="Calibri" w:cs="Calibri" w:eastAsia="Calibri" w:hAnsi="Calibri"/>
          <w:sz w:val="21"/>
          <w:szCs w:val="21"/>
        </w:rPr>
        <w:t xml:space="preserve">Every screening-stage evidence state carries a verification_status of TENTATIVE or CONFIRMED. A defined evidence-injection interface lets a later stage (interview outcome, background check, HR verification) submit a new, timestamped, provenanced entry that supersedes the tentative one — consistent with the append-only log — without EGCA re-opening or re-running its own prior decision.</w:t>
      </w:r>
    </w:p>
    <w:p>
      <w:pPr>
        <w:spacing w:after="160" w:line="300"/>
        <w:jc w:val="both"/>
      </w:pPr>
      <w:r>
        <w:rPr>
          <w:rFonts w:ascii="Calibri" w:cs="Calibri" w:eastAsia="Calibri" w:hAnsi="Calibri"/>
          <w:i/>
          <w:iCs/>
          <w:sz w:val="21"/>
          <w:szCs w:val="21"/>
        </w:rPr>
        <w:t xml:space="preserve">EGCA generates this package; it does not consume what comes back to change its own output, and it does not run interviews, verification calls, or make offers. This keeps Phase F a defined extension point rather than an expansion of implementation scope.</w:t>
      </w:r>
    </w:p>
    <w:p>
      <w:r>
        <w:br w:type="page"/>
      </w:r>
    </w:p>
    <w:p>
      <w:pPr>
        <w:pStyle w:val="Heading2"/>
        <w:spacing w:after="110" w:before="220"/>
      </w:pPr>
      <w:r>
        <w:rPr>
          <w:rFonts w:ascii="Calibri" w:cs="Calibri" w:eastAsia="Calibri" w:hAnsi="Calibri"/>
          <w:b/>
          <w:bCs/>
          <w:color w:val="1F3864"/>
          <w:sz w:val="23"/>
          <w:szCs w:val="23"/>
        </w:rPr>
        <w:t xml:space="preserve">4.7 Guardrails</w:t>
      </w:r>
    </w:p>
    <w:p>
      <w:pPr>
        <w:spacing w:after="160" w:line="300"/>
        <w:jc w:val="both"/>
      </w:pPr>
      <w:r>
        <w:rPr>
          <w:rFonts w:ascii="Calibri" w:cs="Calibri" w:eastAsia="Calibri" w:hAnsi="Calibri"/>
          <w:sz w:val="21"/>
          <w:szCs w:val="21"/>
        </w:rPr>
        <w:t xml:space="preserve">Ten non-negotiable constraints. A design decision conflicting with any of these is dropped, not the guardrail.</w:t>
      </w:r>
    </w:p>
    <w:p>
      <w:pPr>
        <w:pStyle w:val="ListParagraph"/>
        <w:numPr>
          <w:ilvl w:val="0"/>
          <w:numId w:val="3"/>
        </w:numPr>
        <w:spacing w:after="100"/>
      </w:pPr>
      <w:r>
        <w:rPr>
          <w:rFonts w:ascii="Calibri" w:cs="Calibri" w:eastAsia="Calibri" w:hAnsi="Calibri"/>
          <w:sz w:val="21"/>
          <w:szCs w:val="21"/>
        </w:rPr>
        <w:t xml:space="preserve">No unauthorized data collection — all external evidence is candidate-submitted and consent-based.</w:t>
      </w:r>
    </w:p>
    <w:p>
      <w:pPr>
        <w:pStyle w:val="ListParagraph"/>
        <w:numPr>
          <w:ilvl w:val="0"/>
          <w:numId w:val="3"/>
        </w:numPr>
        <w:spacing w:after="100"/>
      </w:pPr>
      <w:r>
        <w:rPr>
          <w:rFonts w:ascii="Calibri" w:cs="Calibri" w:eastAsia="Calibri" w:hAnsi="Calibri"/>
          <w:sz w:val="21"/>
          <w:szCs w:val="21"/>
        </w:rPr>
        <w:t xml:space="preserve">Missing evidence (NOT_OBSERVED) is never treated as negative evidence.</w:t>
      </w:r>
    </w:p>
    <w:p>
      <w:pPr>
        <w:pStyle w:val="ListParagraph"/>
        <w:numPr>
          <w:ilvl w:val="0"/>
          <w:numId w:val="3"/>
        </w:numPr>
        <w:spacing w:after="100"/>
      </w:pPr>
      <w:r>
        <w:rPr>
          <w:rFonts w:ascii="Calibri" w:cs="Calibri" w:eastAsia="Calibri" w:hAnsi="Calibri"/>
          <w:sz w:val="21"/>
          <w:szCs w:val="21"/>
        </w:rPr>
        <w:t xml:space="preserve">A FAIL on a mandatory requirement is a gate, not a scored feature; no other signal compensates for it.</w:t>
      </w:r>
    </w:p>
    <w:p>
      <w:pPr>
        <w:pStyle w:val="ListParagraph"/>
        <w:numPr>
          <w:ilvl w:val="0"/>
          <w:numId w:val="3"/>
        </w:numPr>
        <w:spacing w:after="100"/>
      </w:pPr>
      <w:r>
        <w:rPr>
          <w:rFonts w:ascii="Calibri" w:cs="Calibri" w:eastAsia="Calibri" w:hAnsi="Calibri"/>
          <w:sz w:val="21"/>
          <w:szCs w:val="21"/>
        </w:rPr>
        <w:t xml:space="preserve">Pool exhaustion is reported, never resolved by relaxing eligibility standards.</w:t>
      </w:r>
    </w:p>
    <w:p>
      <w:pPr>
        <w:pStyle w:val="ListParagraph"/>
        <w:numPr>
          <w:ilvl w:val="0"/>
          <w:numId w:val="3"/>
        </w:numPr>
        <w:spacing w:after="100"/>
      </w:pPr>
      <w:r>
        <w:rPr>
          <w:rFonts w:ascii="Calibri" w:cs="Calibri" w:eastAsia="Calibri" w:hAnsi="Calibri"/>
          <w:sz w:val="21"/>
          <w:szCs w:val="21"/>
        </w:rPr>
        <w:t xml:space="preserve">The Governed Match Score is a ranking heuristic supporting a human recruiter; it does not make a hiring decision.</w:t>
      </w:r>
    </w:p>
    <w:p>
      <w:pPr>
        <w:pStyle w:val="ListParagraph"/>
        <w:numPr>
          <w:ilvl w:val="0"/>
          <w:numId w:val="3"/>
        </w:numPr>
        <w:spacing w:after="100"/>
      </w:pPr>
      <w:r>
        <w:rPr>
          <w:rFonts w:ascii="Calibri" w:cs="Calibri" w:eastAsia="Calibri" w:hAnsi="Calibri"/>
          <w:sz w:val="21"/>
          <w:szCs w:val="21"/>
        </w:rPr>
        <w:t xml:space="preserve">No personality inference is drawn from resume language.</w:t>
      </w:r>
    </w:p>
    <w:p>
      <w:pPr>
        <w:pStyle w:val="ListParagraph"/>
        <w:numPr>
          <w:ilvl w:val="0"/>
          <w:numId w:val="3"/>
        </w:numPr>
        <w:spacing w:after="100"/>
      </w:pPr>
      <w:r>
        <w:rPr>
          <w:rFonts w:ascii="Calibri" w:cs="Calibri" w:eastAsia="Calibri" w:hAnsi="Calibri"/>
          <w:sz w:val="21"/>
          <w:szCs w:val="21"/>
        </w:rPr>
        <w:t xml:space="preserve">An LLM failure or malformed output defaults to Eligibility Review, never an automatic zero score.</w:t>
      </w:r>
    </w:p>
    <w:p>
      <w:pPr>
        <w:pStyle w:val="ListParagraph"/>
        <w:numPr>
          <w:ilvl w:val="0"/>
          <w:numId w:val="3"/>
        </w:numPr>
        <w:spacing w:after="100"/>
      </w:pPr>
      <w:r>
        <w:rPr>
          <w:rFonts w:ascii="Calibri" w:cs="Calibri" w:eastAsia="Calibri" w:hAnsi="Calibri"/>
          <w:sz w:val="21"/>
          <w:szCs w:val="21"/>
        </w:rPr>
        <w:t xml:space="preserve">Policy rules are version-controlled and immutable at runtime; no override path exists, including for testing.</w:t>
      </w:r>
    </w:p>
    <w:p>
      <w:pPr>
        <w:pStyle w:val="ListParagraph"/>
        <w:numPr>
          <w:ilvl w:val="0"/>
          <w:numId w:val="3"/>
        </w:numPr>
        <w:spacing w:after="100"/>
      </w:pPr>
      <w:r>
        <w:rPr>
          <w:rFonts w:ascii="Calibri" w:cs="Calibri" w:eastAsia="Calibri" w:hAnsi="Calibri"/>
          <w:sz w:val="21"/>
          <w:szCs w:val="21"/>
        </w:rPr>
        <w:t xml:space="preserve">Evidence checking, graph inference, and scoring are scoped to the Decisive Requirement Set; claims outside it are logged but never evaluated.</w:t>
      </w:r>
    </w:p>
    <w:p>
      <w:pPr>
        <w:pStyle w:val="ListParagraph"/>
        <w:numPr>
          <w:ilvl w:val="0"/>
          <w:numId w:val="3"/>
        </w:numPr>
        <w:spacing w:after="100"/>
      </w:pPr>
      <w:r>
        <w:rPr>
          <w:rFonts w:ascii="Calibri" w:cs="Calibri" w:eastAsia="Calibri" w:hAnsi="Calibri"/>
          <w:sz w:val="21"/>
          <w:szCs w:val="21"/>
        </w:rPr>
        <w:t xml:space="preserve">A Ranking Confidence Flag never blocks progression; only Eligibility Review does.</w:t>
      </w:r>
    </w:p>
    <w:p>
      <w:r>
        <w:br w:type="page"/>
      </w:r>
    </w:p>
    <w:p>
      <w:pPr>
        <w:pStyle w:val="Heading2"/>
        <w:spacing w:after="110" w:before="220"/>
      </w:pPr>
      <w:r>
        <w:rPr>
          <w:rFonts w:ascii="Calibri" w:cs="Calibri" w:eastAsia="Calibri" w:hAnsi="Calibri"/>
          <w:b/>
          <w:bCs/>
          <w:color w:val="1F3864"/>
          <w:sz w:val="23"/>
          <w:szCs w:val="23"/>
        </w:rPr>
        <w:t xml:space="preserve">4.8 Invariants — Machine-Checked on Every Run</w:t>
      </w:r>
    </w:p>
    <w:p>
      <w:pPr>
        <w:pStyle w:val="ListParagraph"/>
        <w:numPr>
          <w:ilvl w:val="0"/>
          <w:numId w:val="2"/>
        </w:numPr>
        <w:spacing w:after="90"/>
      </w:pPr>
      <w:r>
        <w:rPr>
          <w:rFonts w:ascii="Calibri" w:cs="Calibri" w:eastAsia="Calibri" w:hAnsi="Calibri"/>
          <w:sz w:val="21"/>
          <w:szCs w:val="21"/>
        </w:rPr>
        <w:t xml:space="preserve">I1 — A SELF_CLAIMED claim never appears as ARTIFACT_BACKED without a connector record.</w:t>
      </w:r>
    </w:p>
    <w:p>
      <w:pPr>
        <w:pStyle w:val="ListParagraph"/>
        <w:numPr>
          <w:ilvl w:val="0"/>
          <w:numId w:val="2"/>
        </w:numPr>
        <w:spacing w:after="90"/>
      </w:pPr>
      <w:r>
        <w:rPr>
          <w:rFonts w:ascii="Calibri" w:cs="Calibri" w:eastAsia="Calibri" w:hAnsi="Calibri"/>
          <w:sz w:val="21"/>
          <w:szCs w:val="21"/>
        </w:rPr>
        <w:t xml:space="preserve">I2 — NOT_OBSERVED never lowers M_G.</w:t>
      </w:r>
    </w:p>
    <w:p>
      <w:pPr>
        <w:pStyle w:val="ListParagraph"/>
        <w:numPr>
          <w:ilvl w:val="0"/>
          <w:numId w:val="2"/>
        </w:numPr>
        <w:spacing w:after="90"/>
      </w:pPr>
      <w:r>
        <w:rPr>
          <w:rFonts w:ascii="Calibri" w:cs="Calibri" w:eastAsia="Calibri" w:hAnsi="Calibri"/>
          <w:sz w:val="21"/>
          <w:szCs w:val="21"/>
        </w:rPr>
        <w:t xml:space="preserve">I3 — P_hard FAIL means the candidate is never QUALIFIED_AUTO.</w:t>
      </w:r>
    </w:p>
    <w:p>
      <w:pPr>
        <w:pStyle w:val="ListParagraph"/>
        <w:numPr>
          <w:ilvl w:val="0"/>
          <w:numId w:val="2"/>
        </w:numPr>
        <w:spacing w:after="90"/>
      </w:pPr>
      <w:r>
        <w:rPr>
          <w:rFonts w:ascii="Calibri" w:cs="Calibri" w:eastAsia="Calibri" w:hAnsi="Calibri"/>
          <w:sz w:val="21"/>
          <w:szCs w:val="21"/>
        </w:rPr>
        <w:t xml:space="preserve">I4 — Every INFERRED item carries its graph path and depth.</w:t>
      </w:r>
    </w:p>
    <w:p>
      <w:pPr>
        <w:pStyle w:val="ListParagraph"/>
        <w:numPr>
          <w:ilvl w:val="0"/>
          <w:numId w:val="2"/>
        </w:numPr>
        <w:spacing w:after="90"/>
      </w:pPr>
      <w:r>
        <w:rPr>
          <w:rFonts w:ascii="Calibri" w:cs="Calibri" w:eastAsia="Calibri" w:hAnsi="Calibri"/>
          <w:sz w:val="21"/>
          <w:szCs w:val="21"/>
        </w:rPr>
        <w:t xml:space="preserve">I5 — Scoring uncertainty above threshold means a Ranking Confidence Flag, and eligibility-blocking uncertainty means Eligibility Review.</w:t>
      </w:r>
    </w:p>
    <w:p>
      <w:pPr>
        <w:pStyle w:val="ListParagraph"/>
        <w:numPr>
          <w:ilvl w:val="0"/>
          <w:numId w:val="2"/>
        </w:numPr>
        <w:spacing w:after="90"/>
      </w:pPr>
      <w:r>
        <w:rPr>
          <w:rFonts w:ascii="Calibri" w:cs="Calibri" w:eastAsia="Calibri" w:hAnsi="Calibri"/>
          <w:sz w:val="21"/>
          <w:szCs w:val="21"/>
        </w:rPr>
        <w:t xml:space="preserve">I6 — Pool exhaustion means an insufficiency report exists and the policy version was unchanged during the run.</w:t>
      </w:r>
    </w:p>
    <w:p>
      <w:pPr>
        <w:pStyle w:val="ListParagraph"/>
        <w:numPr>
          <w:ilvl w:val="0"/>
          <w:numId w:val="2"/>
        </w:numPr>
        <w:spacing w:after="90"/>
      </w:pPr>
      <w:r>
        <w:rPr>
          <w:rFonts w:ascii="Calibri" w:cs="Calibri" w:eastAsia="Calibri" w:hAnsi="Calibri"/>
          <w:sz w:val="21"/>
          <w:szCs w:val="21"/>
        </w:rPr>
        <w:t xml:space="preserve">I7 — Every state transition has a provenance record.</w:t>
      </w:r>
    </w:p>
    <w:p>
      <w:pPr>
        <w:pStyle w:val="ListParagraph"/>
        <w:numPr>
          <w:ilvl w:val="0"/>
          <w:numId w:val="2"/>
        </w:numPr>
        <w:spacing w:after="90"/>
      </w:pPr>
      <w:r>
        <w:rPr>
          <w:rFonts w:ascii="Calibri" w:cs="Calibri" w:eastAsia="Calibri" w:hAnsi="Calibri"/>
          <w:sz w:val="21"/>
          <w:szCs w:val="21"/>
        </w:rPr>
        <w:t xml:space="preserve">I8 — No out-of-DRS claim ever enters scoring.</w:t>
      </w:r>
    </w:p>
    <w:p>
      <w:pPr>
        <w:pStyle w:val="ListParagraph"/>
        <w:numPr>
          <w:ilvl w:val="0"/>
          <w:numId w:val="2"/>
        </w:numPr>
        <w:spacing w:after="90"/>
      </w:pPr>
      <w:r>
        <w:rPr>
          <w:rFonts w:ascii="Calibri" w:cs="Calibri" w:eastAsia="Calibri" w:hAnsi="Calibri"/>
          <w:sz w:val="21"/>
          <w:szCs w:val="21"/>
        </w:rPr>
        <w:t xml:space="preserve">I9 — A Ranking Confidence Flag never blocks progression.</w:t>
      </w:r>
    </w:p>
    <w:p>
      <w:r>
        <w:br w:type="page"/>
      </w:r>
    </w:p>
    <w:p>
      <w:pPr>
        <w:pStyle w:val="Heading1"/>
        <w:pBdr>
          <w:bottom w:val="single" w:color="1F3864" w:sz="6" w:space="4"/>
        </w:pBdr>
        <w:spacing w:after="160" w:before="320"/>
      </w:pPr>
      <w:r>
        <w:rPr>
          <w:rFonts w:ascii="Calibri" w:cs="Calibri" w:eastAsia="Calibri" w:hAnsi="Calibri"/>
          <w:b/>
          <w:bCs/>
          <w:color w:val="1F3864"/>
          <w:sz w:val="28"/>
          <w:szCs w:val="28"/>
        </w:rPr>
        <w:t xml:space="preserve">5. Architecture Diagram</w:t>
      </w:r>
    </w:p>
    <w:p>
      <w:pPr>
        <w:spacing w:after="160" w:line="300"/>
        <w:jc w:val="both"/>
      </w:pPr>
      <w:r>
        <w:rPr>
          <w:rFonts w:ascii="Calibri" w:cs="Calibri" w:eastAsia="Calibri" w:hAnsi="Calibri"/>
          <w:sz w:val="21"/>
          <w:szCs w:val="21"/>
        </w:rPr>
        <w:t xml:space="preserve">End-to-end pipeline, current version. Boxes are phases; arrows are the only paths data may take.</w:t>
      </w:r>
    </w:p>
    <w:p>
      <w:pPr>
        <w:shd w:fill="1B1B1B" w:val="clear"/>
        <w:spacing w:after="0" w:line="230"/>
      </w:pPr>
      <w:r>
        <w:rPr>
          <w:rFonts w:ascii="Consolas" w:cs="Consolas" w:eastAsia="Consolas" w:hAnsi="Consolas"/>
          <w:color w:val="39FF14"/>
          <w:sz w:val="15"/>
          <w:szCs w:val="15"/>
        </w:rPr>
        <w:t xml:space="preserve">  CANDIDATE RESUME (PDF/DOCX)</w:t>
      </w:r>
    </w:p>
    <w:p>
      <w:pPr>
        <w:shd w:fill="1B1B1B" w:val="clear"/>
        <w:spacing w:after="0" w:line="230"/>
      </w:pPr>
      <w:r>
        <w:rPr>
          <w:rFonts w:ascii="Consolas" w:cs="Consolas" w:eastAsia="Consolas" w:hAnsi="Consolas"/>
          <w:color w:val="39FF14"/>
          <w:sz w:val="15"/>
          <w:szCs w:val="15"/>
        </w:rPr>
        <w:t xml:space="preserve">        |</w:t>
      </w:r>
    </w:p>
    <w:p>
      <w:pPr>
        <w:shd w:fill="1B1B1B" w:val="clear"/>
        <w:spacing w:after="0" w:line="230"/>
      </w:pPr>
      <w:r>
        <w:rPr>
          <w:rFonts w:ascii="Consolas" w:cs="Consolas" w:eastAsia="Consolas" w:hAnsi="Consolas"/>
          <w:color w:val="39FF14"/>
          <w:sz w:val="15"/>
          <w:szCs w:val="15"/>
        </w:rPr>
        <w:t xml:space="preserve">        v</w:t>
      </w:r>
    </w:p>
    <w:p>
      <w:pPr>
        <w:shd w:fill="1B1B1B" w:val="clear"/>
        <w:spacing w:after="0" w:line="230"/>
      </w:pPr>
      <w:r>
        <w:rPr>
          <w:rFonts w:ascii="Consolas" w:cs="Consolas" w:eastAsia="Consolas" w:hAnsi="Consolas"/>
          <w:color w:val="39FF14"/>
          <w:sz w:val="15"/>
          <w:szCs w:val="15"/>
        </w:rPr>
        <w:t xml:space="preserve">  +-----------------------------------------------------------+</w:t>
      </w:r>
    </w:p>
    <w:p>
      <w:pPr>
        <w:shd w:fill="1B1B1B" w:val="clear"/>
        <w:spacing w:after="0" w:line="230"/>
      </w:pPr>
      <w:r>
        <w:rPr>
          <w:rFonts w:ascii="Consolas" w:cs="Consolas" w:eastAsia="Consolas" w:hAnsi="Consolas"/>
          <w:color w:val="39FF14"/>
          <w:sz w:val="15"/>
          <w:szCs w:val="15"/>
        </w:rPr>
        <w:t xml:space="preserve">  | PHASE A -- INGEST                                         |</w:t>
      </w:r>
    </w:p>
    <w:p>
      <w:pPr>
        <w:shd w:fill="1B1B1B" w:val="clear"/>
        <w:spacing w:after="0" w:line="230"/>
      </w:pPr>
      <w:r>
        <w:rPr>
          <w:rFonts w:ascii="Consolas" w:cs="Consolas" w:eastAsia="Consolas" w:hAnsi="Consolas"/>
          <w:color w:val="39FF14"/>
          <w:sz w:val="15"/>
          <w:szCs w:val="15"/>
        </w:rPr>
        <w:t xml:space="preserve">  |  immutable snapshot -&gt; hidden-text scan (SUSPECT flag)     |</w:t>
      </w:r>
    </w:p>
    <w:p>
      <w:pPr>
        <w:shd w:fill="1B1B1B" w:val="clear"/>
        <w:spacing w:after="0" w:line="230"/>
      </w:pPr>
      <w:r>
        <w:rPr>
          <w:rFonts w:ascii="Consolas" w:cs="Consolas" w:eastAsia="Consolas" w:hAnsi="Consolas"/>
          <w:color w:val="39FF14"/>
          <w:sz w:val="15"/>
          <w:szCs w:val="15"/>
        </w:rPr>
        <w:t xml:space="preserve">  |  LLM extraction -&gt; grounded claims (source_span verified)  |</w:t>
      </w:r>
    </w:p>
    <w:p>
      <w:pPr>
        <w:shd w:fill="1B1B1B" w:val="clear"/>
        <w:spacing w:after="0" w:line="230"/>
      </w:pPr>
      <w:r>
        <w:rPr>
          <w:rFonts w:ascii="Consolas" w:cs="Consolas" w:eastAsia="Consolas" w:hAnsi="Consolas"/>
          <w:color w:val="39FF14"/>
          <w:sz w:val="15"/>
          <w:szCs w:val="15"/>
        </w:rPr>
        <w:t xml:space="preserve">  |  ALL surviving claims = SELF_CLAIMED  (no other state)     |</w:t>
      </w:r>
    </w:p>
    <w:p>
      <w:pPr>
        <w:shd w:fill="1B1B1B" w:val="clear"/>
        <w:spacing w:after="0" w:line="230"/>
      </w:pPr>
      <w:r>
        <w:rPr>
          <w:rFonts w:ascii="Consolas" w:cs="Consolas" w:eastAsia="Consolas" w:hAnsi="Consolas"/>
          <w:color w:val="39FF14"/>
          <w:sz w:val="15"/>
          <w:szCs w:val="15"/>
        </w:rPr>
        <w:t xml:space="preserve">  |  skill normalization                                       |</w:t>
      </w:r>
    </w:p>
    <w:p>
      <w:pPr>
        <w:shd w:fill="1B1B1B" w:val="clear"/>
        <w:spacing w:after="0" w:line="230"/>
      </w:pPr>
      <w:r>
        <w:rPr>
          <w:rFonts w:ascii="Consolas" w:cs="Consolas" w:eastAsia="Consolas" w:hAnsi="Consolas"/>
          <w:color w:val="39FF14"/>
          <w:sz w:val="15"/>
          <w:szCs w:val="15"/>
        </w:rPr>
        <w:t xml:space="preserve">  +-----------------------------------------------------------+</w:t>
      </w:r>
    </w:p>
    <w:p>
      <w:pPr>
        <w:shd w:fill="1B1B1B" w:val="clear"/>
        <w:spacing w:after="0" w:line="230"/>
      </w:pPr>
      <w:r>
        <w:rPr>
          <w:rFonts w:ascii="Consolas" w:cs="Consolas" w:eastAsia="Consolas" w:hAnsi="Consolas"/>
          <w:color w:val="39FF14"/>
          <w:sz w:val="15"/>
          <w:szCs w:val="15"/>
        </w:rPr>
        <w:t xml:space="preserve">        |</w:t>
      </w:r>
    </w:p>
    <w:p>
      <w:pPr>
        <w:shd w:fill="1B1B1B" w:val="clear"/>
        <w:spacing w:after="0" w:line="230"/>
      </w:pPr>
      <w:r>
        <w:rPr>
          <w:rFonts w:ascii="Consolas" w:cs="Consolas" w:eastAsia="Consolas" w:hAnsi="Consolas"/>
          <w:color w:val="39FF14"/>
          <w:sz w:val="15"/>
          <w:szCs w:val="15"/>
        </w:rPr>
        <w:t xml:space="preserve">        v</w:t>
      </w:r>
    </w:p>
    <w:p>
      <w:pPr>
        <w:shd w:fill="1B1B1B" w:val="clear"/>
        <w:spacing w:after="0" w:line="230"/>
      </w:pPr>
      <w:r>
        <w:rPr>
          <w:rFonts w:ascii="Consolas" w:cs="Consolas" w:eastAsia="Consolas" w:hAnsi="Consolas"/>
          <w:color w:val="39FF14"/>
          <w:sz w:val="15"/>
          <w:szCs w:val="15"/>
        </w:rPr>
        <w:t xml:space="preserve">  +-----------------------------------------------------------+</w:t>
      </w:r>
    </w:p>
    <w:p>
      <w:pPr>
        <w:shd w:fill="1B1B1B" w:val="clear"/>
        <w:spacing w:after="0" w:line="230"/>
      </w:pPr>
      <w:r>
        <w:rPr>
          <w:rFonts w:ascii="Consolas" w:cs="Consolas" w:eastAsia="Consolas" w:hAnsi="Consolas"/>
          <w:color w:val="39FF14"/>
          <w:sz w:val="15"/>
          <w:szCs w:val="15"/>
        </w:rPr>
        <w:t xml:space="preserve">  | PHASE B -- STAGE 1 : DISCOVERY (non-governing)             |</w:t>
      </w:r>
    </w:p>
    <w:p>
      <w:pPr>
        <w:shd w:fill="1B1B1B" w:val="clear"/>
        <w:spacing w:after="0" w:line="230"/>
      </w:pPr>
      <w:r>
        <w:rPr>
          <w:rFonts w:ascii="Consolas" w:cs="Consolas" w:eastAsia="Consolas" w:hAnsi="Consolas"/>
          <w:color w:val="39FF14"/>
          <w:sz w:val="15"/>
          <w:szCs w:val="15"/>
        </w:rPr>
        <w:t xml:space="preserve">  |  semantic similarity -&gt; preliminary ranked queue            |</w:t>
      </w:r>
    </w:p>
    <w:p>
      <w:pPr>
        <w:shd w:fill="1B1B1B" w:val="clear"/>
        <w:spacing w:after="0" w:line="230"/>
      </w:pPr>
      <w:r>
        <w:rPr>
          <w:rFonts w:ascii="Consolas" w:cs="Consolas" w:eastAsia="Consolas" w:hAnsi="Consolas"/>
          <w:color w:val="39FF14"/>
          <w:sz w:val="15"/>
          <w:szCs w:val="15"/>
        </w:rPr>
        <w:t xml:space="preserve">  +-----------------------------------------------------------+</w:t>
      </w:r>
    </w:p>
    <w:p>
      <w:pPr>
        <w:shd w:fill="1B1B1B" w:val="clear"/>
        <w:spacing w:after="0" w:line="230"/>
      </w:pPr>
      <w:r>
        <w:rPr>
          <w:rFonts w:ascii="Consolas" w:cs="Consolas" w:eastAsia="Consolas" w:hAnsi="Consolas"/>
          <w:color w:val="39FF14"/>
          <w:sz w:val="15"/>
          <w:szCs w:val="15"/>
        </w:rPr>
        <w:t xml:space="preserve">        |</w:t>
      </w:r>
    </w:p>
    <w:p>
      <w:pPr>
        <w:shd w:fill="1B1B1B" w:val="clear"/>
        <w:spacing w:after="0" w:line="230"/>
      </w:pPr>
      <w:r>
        <w:rPr>
          <w:rFonts w:ascii="Consolas" w:cs="Consolas" w:eastAsia="Consolas" w:hAnsi="Consolas"/>
          <w:color w:val="39FF14"/>
          <w:sz w:val="15"/>
          <w:szCs w:val="15"/>
        </w:rPr>
        <w:t xml:space="preserve">        v</w:t>
      </w:r>
    </w:p>
    <w:p>
      <w:pPr>
        <w:shd w:fill="1B1B1B" w:val="clear"/>
        <w:spacing w:after="0" w:line="230"/>
      </w:pPr>
      <w:r>
        <w:rPr>
          <w:rFonts w:ascii="Consolas" w:cs="Consolas" w:eastAsia="Consolas" w:hAnsi="Consolas"/>
          <w:color w:val="39FF14"/>
          <w:sz w:val="15"/>
          <w:szCs w:val="15"/>
        </w:rPr>
        <w:t xml:space="preserve">  +-----------------------------------------------------------+</w:t>
      </w:r>
    </w:p>
    <w:p>
      <w:pPr>
        <w:shd w:fill="1B1B1B" w:val="clear"/>
        <w:spacing w:after="0" w:line="230"/>
      </w:pPr>
      <w:r>
        <w:rPr>
          <w:rFonts w:ascii="Consolas" w:cs="Consolas" w:eastAsia="Consolas" w:hAnsi="Consolas"/>
          <w:color w:val="39FF14"/>
          <w:sz w:val="15"/>
          <w:szCs w:val="15"/>
        </w:rPr>
        <w:t xml:space="preserve">  | PHASE C -- ADAPTIVE GATE                                   |</w:t>
      </w:r>
    </w:p>
    <w:p>
      <w:pPr>
        <w:shd w:fill="1B1B1B" w:val="clear"/>
        <w:spacing w:after="0" w:line="230"/>
      </w:pPr>
      <w:r>
        <w:rPr>
          <w:rFonts w:ascii="Consolas" w:cs="Consolas" w:eastAsia="Consolas" w:hAnsi="Consolas"/>
          <w:color w:val="39FF14"/>
          <w:sz w:val="15"/>
          <w:szCs w:val="15"/>
        </w:rPr>
        <w:t xml:space="preserve">  |  K' = ceil(R / (1-f)) x margin   [f = measured P_hard rate] |</w:t>
      </w:r>
    </w:p>
    <w:p>
      <w:pPr>
        <w:shd w:fill="1B1B1B" w:val="clear"/>
        <w:spacing w:after="0" w:line="230"/>
      </w:pPr>
      <w:r>
        <w:rPr>
          <w:rFonts w:ascii="Consolas" w:cs="Consolas" w:eastAsia="Consolas" w:hAnsi="Consolas"/>
          <w:color w:val="39FF14"/>
          <w:sz w:val="15"/>
          <w:szCs w:val="15"/>
        </w:rPr>
        <w:t xml:space="preserve">  |  forwards buffered pool, adjusted by score-gap analysis     |</w:t>
      </w:r>
    </w:p>
    <w:p>
      <w:pPr>
        <w:shd w:fill="1B1B1B" w:val="clear"/>
        <w:spacing w:after="0" w:line="230"/>
      </w:pPr>
      <w:r>
        <w:rPr>
          <w:rFonts w:ascii="Consolas" w:cs="Consolas" w:eastAsia="Consolas" w:hAnsi="Consolas"/>
          <w:color w:val="39FF14"/>
          <w:sz w:val="15"/>
          <w:szCs w:val="15"/>
        </w:rPr>
        <w:t xml:space="preserve">  +-----------------------------------------------------------+</w:t>
      </w:r>
    </w:p>
    <w:p>
      <w:pPr>
        <w:shd w:fill="1B1B1B" w:val="clear"/>
        <w:spacing w:after="0" w:line="230"/>
      </w:pPr>
      <w:r>
        <w:rPr>
          <w:rFonts w:ascii="Consolas" w:cs="Consolas" w:eastAsia="Consolas" w:hAnsi="Consolas"/>
          <w:color w:val="39FF14"/>
          <w:sz w:val="15"/>
          <w:szCs w:val="15"/>
        </w:rPr>
        <w:t xml:space="preserve">        |</w:t>
      </w:r>
    </w:p>
    <w:p>
      <w:pPr>
        <w:shd w:fill="1B1B1B" w:val="clear"/>
        <w:spacing w:after="0" w:line="230"/>
      </w:pPr>
      <w:r>
        <w:rPr>
          <w:rFonts w:ascii="Consolas" w:cs="Consolas" w:eastAsia="Consolas" w:hAnsi="Consolas"/>
          <w:color w:val="39FF14"/>
          <w:sz w:val="15"/>
          <w:szCs w:val="15"/>
        </w:rPr>
        <w:t xml:space="preserve">        v</w:t>
      </w:r>
    </w:p>
    <w:p>
      <w:pPr>
        <w:shd w:fill="1B1B1B" w:val="clear"/>
        <w:spacing w:after="0" w:line="230"/>
      </w:pPr>
      <w:r>
        <w:rPr>
          <w:rFonts w:ascii="Consolas" w:cs="Consolas" w:eastAsia="Consolas" w:hAnsi="Consolas"/>
          <w:color w:val="39FF14"/>
          <w:sz w:val="15"/>
          <w:szCs w:val="15"/>
        </w:rPr>
        <w:t xml:space="preserve">  +-----------------------------------------------------------+</w:t>
      </w:r>
    </w:p>
    <w:p>
      <w:pPr>
        <w:shd w:fill="1B1B1B" w:val="clear"/>
        <w:spacing w:after="0" w:line="230"/>
      </w:pPr>
      <w:r>
        <w:rPr>
          <w:rFonts w:ascii="Consolas" w:cs="Consolas" w:eastAsia="Consolas" w:hAnsi="Consolas"/>
          <w:color w:val="39FF14"/>
          <w:sz w:val="15"/>
          <w:szCs w:val="15"/>
        </w:rPr>
        <w:t xml:space="preserve">  | PHASE D -- STAGE 2 : GOVERNANCE   (per candidate)           |</w:t>
      </w:r>
    </w:p>
    <w:p>
      <w:pPr>
        <w:shd w:fill="1B1B1B" w:val="clear"/>
        <w:spacing w:after="0" w:line="230"/>
      </w:pPr>
      <w:r>
        <w:rPr>
          <w:rFonts w:ascii="Consolas" w:cs="Consolas" w:eastAsia="Consolas" w:hAnsi="Consolas"/>
          <w:color w:val="39FF14"/>
          <w:sz w:val="15"/>
          <w:szCs w:val="15"/>
        </w:rPr>
        <w:t xml:space="preserve">  |                                                              |</w:t>
      </w:r>
    </w:p>
    <w:p>
      <w:pPr>
        <w:shd w:fill="1B1B1B" w:val="clear"/>
        <w:spacing w:after="0" w:line="230"/>
      </w:pPr>
      <w:r>
        <w:rPr>
          <w:rFonts w:ascii="Consolas" w:cs="Consolas" w:eastAsia="Consolas" w:hAnsi="Consolas"/>
          <w:color w:val="39FF14"/>
          <w:sz w:val="15"/>
          <w:szCs w:val="15"/>
        </w:rPr>
        <w:t xml:space="preserve">  |  D0  scope claim -&gt; DRS or CONTEXTUAL (logged only)          |</w:t>
      </w:r>
    </w:p>
    <w:p>
      <w:pPr>
        <w:shd w:fill="1B1B1B" w:val="clear"/>
        <w:spacing w:after="0" w:line="230"/>
      </w:pPr>
      <w:r>
        <w:rPr>
          <w:rFonts w:ascii="Consolas" w:cs="Consolas" w:eastAsia="Consolas" w:hAnsi="Consolas"/>
          <w:color w:val="39FF14"/>
          <w:sz w:val="15"/>
          <w:szCs w:val="15"/>
        </w:rPr>
        <w:t xml:space="preserve">  |        |                                                     |</w:t>
      </w:r>
    </w:p>
    <w:p>
      <w:pPr>
        <w:shd w:fill="1B1B1B" w:val="clear"/>
        <w:spacing w:after="0" w:line="230"/>
      </w:pPr>
      <w:r>
        <w:rPr>
          <w:rFonts w:ascii="Consolas" w:cs="Consolas" w:eastAsia="Consolas" w:hAnsi="Consolas"/>
          <w:color w:val="39FF14"/>
          <w:sz w:val="15"/>
          <w:szCs w:val="15"/>
        </w:rPr>
        <w:t xml:space="preserve">  |        v  (DRS claims only)                                  |</w:t>
      </w:r>
    </w:p>
    <w:p>
      <w:pPr>
        <w:shd w:fill="1B1B1B" w:val="clear"/>
        <w:spacing w:after="0" w:line="230"/>
      </w:pPr>
      <w:r>
        <w:rPr>
          <w:rFonts w:ascii="Consolas" w:cs="Consolas" w:eastAsia="Consolas" w:hAnsi="Consolas"/>
          <w:color w:val="39FF14"/>
          <w:sz w:val="15"/>
          <w:szCs w:val="15"/>
        </w:rPr>
        <w:t xml:space="preserve">  |  D1  evidence connectors -&gt; Evidence Ledger                  |</w:t>
      </w:r>
    </w:p>
    <w:p>
      <w:pPr>
        <w:shd w:fill="1B1B1B" w:val="clear"/>
        <w:spacing w:after="0" w:line="230"/>
      </w:pPr>
      <w:r>
        <w:rPr>
          <w:rFonts w:ascii="Consolas" w:cs="Consolas" w:eastAsia="Consolas" w:hAnsi="Consolas"/>
          <w:color w:val="39FF14"/>
          <w:sz w:val="15"/>
          <w:szCs w:val="15"/>
        </w:rPr>
        <w:t xml:space="preserve">  |        NOT_OBSERVED | SELF_CLAIMED | INFERRED |               |</w:t>
      </w:r>
    </w:p>
    <w:p>
      <w:pPr>
        <w:shd w:fill="1B1B1B" w:val="clear"/>
        <w:spacing w:after="0" w:line="230"/>
      </w:pPr>
      <w:r>
        <w:rPr>
          <w:rFonts w:ascii="Consolas" w:cs="Consolas" w:eastAsia="Consolas" w:hAnsi="Consolas"/>
          <w:color w:val="39FF14"/>
          <w:sz w:val="15"/>
          <w:szCs w:val="15"/>
        </w:rPr>
        <w:t xml:space="preserve">  |        ARTIFACT_BACKED | ASSESSED                             |</w:t>
      </w:r>
    </w:p>
    <w:p>
      <w:pPr>
        <w:shd w:fill="1B1B1B" w:val="clear"/>
        <w:spacing w:after="0" w:line="230"/>
      </w:pPr>
      <w:r>
        <w:rPr>
          <w:rFonts w:ascii="Consolas" w:cs="Consolas" w:eastAsia="Consolas" w:hAnsi="Consolas"/>
          <w:color w:val="39FF14"/>
          <w:sz w:val="15"/>
          <w:szCs w:val="15"/>
        </w:rPr>
        <w:t xml:space="preserve">  |        |                                                     |</w:t>
      </w:r>
    </w:p>
    <w:p>
      <w:pPr>
        <w:shd w:fill="1B1B1B" w:val="clear"/>
        <w:spacing w:after="0" w:line="230"/>
      </w:pPr>
      <w:r>
        <w:rPr>
          <w:rFonts w:ascii="Consolas" w:cs="Consolas" w:eastAsia="Consolas" w:hAnsi="Consolas"/>
          <w:color w:val="39FF14"/>
          <w:sz w:val="15"/>
          <w:szCs w:val="15"/>
        </w:rPr>
        <w:t xml:space="preserve">  |        v                                                     |</w:t>
      </w:r>
    </w:p>
    <w:p>
      <w:pPr>
        <w:shd w:fill="1B1B1B" w:val="clear"/>
        <w:spacing w:after="0" w:line="230"/>
      </w:pPr>
      <w:r>
        <w:rPr>
          <w:rFonts w:ascii="Consolas" w:cs="Consolas" w:eastAsia="Consolas" w:hAnsi="Consolas"/>
          <w:color w:val="39FF14"/>
          <w:sz w:val="15"/>
          <w:szCs w:val="15"/>
        </w:rPr>
        <w:t xml:space="preserve">  |  D2  POLICY (tri-valued, isolated from LLM)                   |</w:t>
      </w:r>
    </w:p>
    <w:p>
      <w:pPr>
        <w:shd w:fill="1B1B1B" w:val="clear"/>
        <w:spacing w:after="0" w:line="230"/>
      </w:pPr>
      <w:r>
        <w:rPr>
          <w:rFonts w:ascii="Consolas" w:cs="Consolas" w:eastAsia="Consolas" w:hAnsi="Consolas"/>
          <w:color w:val="39FF14"/>
          <w:sz w:val="15"/>
          <w:szCs w:val="15"/>
        </w:rPr>
        <w:t xml:space="preserve">  |        ARTIFACT_BACKED/ASSESSED --------------&gt; PASS          |</w:t>
      </w:r>
    </w:p>
    <w:p>
      <w:pPr>
        <w:shd w:fill="1B1B1B" w:val="clear"/>
        <w:spacing w:after="0" w:line="230"/>
      </w:pPr>
      <w:r>
        <w:rPr>
          <w:rFonts w:ascii="Consolas" w:cs="Consolas" w:eastAsia="Consolas" w:hAnsi="Consolas"/>
          <w:color w:val="39FF14"/>
          <w:sz w:val="15"/>
          <w:szCs w:val="15"/>
        </w:rPr>
        <w:t xml:space="preserve">  |        SELF_CLAIMED --------------------------&gt; PASS(tent.)   |</w:t>
      </w:r>
    </w:p>
    <w:p>
      <w:pPr>
        <w:shd w:fill="1B1B1B" w:val="clear"/>
        <w:spacing w:after="0" w:line="230"/>
      </w:pPr>
      <w:r>
        <w:rPr>
          <w:rFonts w:ascii="Consolas" w:cs="Consolas" w:eastAsia="Consolas" w:hAnsi="Consolas"/>
          <w:color w:val="39FF14"/>
          <w:sz w:val="15"/>
          <w:szCs w:val="15"/>
        </w:rPr>
        <w:t xml:space="preserve">  |        contradicted ---------------------------&gt; FAIL --+     |</w:t>
      </w:r>
    </w:p>
    <w:p>
      <w:pPr>
        <w:shd w:fill="1B1B1B" w:val="clear"/>
        <w:spacing w:after="0" w:line="230"/>
      </w:pPr>
      <w:r>
        <w:rPr>
          <w:rFonts w:ascii="Consolas" w:cs="Consolas" w:eastAsia="Consolas" w:hAnsi="Consolas"/>
          <w:color w:val="39FF14"/>
          <w:sz w:val="15"/>
          <w:szCs w:val="15"/>
        </w:rPr>
        <w:t xml:space="preserve">  |        NOT_OBSERVED ---------------------------&gt; INDETERMINATE|</w:t>
      </w:r>
    </w:p>
    <w:p>
      <w:pPr>
        <w:shd w:fill="1B1B1B" w:val="clear"/>
        <w:spacing w:after="0" w:line="230"/>
      </w:pPr>
      <w:r>
        <w:rPr>
          <w:rFonts w:ascii="Consolas" w:cs="Consolas" w:eastAsia="Consolas" w:hAnsi="Consolas"/>
          <w:color w:val="39FF14"/>
          <w:sz w:val="15"/>
          <w:szCs w:val="15"/>
        </w:rPr>
        <w:t xml:space="preserve">  |                                                          |     |</w:t>
      </w:r>
    </w:p>
    <w:p>
      <w:pPr>
        <w:shd w:fill="1B1B1B" w:val="clear"/>
        <w:spacing w:after="0" w:line="230"/>
      </w:pPr>
      <w:r>
        <w:rPr>
          <w:rFonts w:ascii="Consolas" w:cs="Consolas" w:eastAsia="Consolas" w:hAnsi="Consolas"/>
          <w:color w:val="39FF14"/>
          <w:sz w:val="15"/>
          <w:szCs w:val="15"/>
        </w:rPr>
        <w:t xml:space="preserve">  |        v (PASS only)                    (FAIL) ----------+     |</w:t>
      </w:r>
    </w:p>
    <w:p>
      <w:pPr>
        <w:shd w:fill="1B1B1B" w:val="clear"/>
        <w:spacing w:after="0" w:line="230"/>
      </w:pPr>
      <w:r>
        <w:rPr>
          <w:rFonts w:ascii="Consolas" w:cs="Consolas" w:eastAsia="Consolas" w:hAnsi="Consolas"/>
          <w:color w:val="39FF14"/>
          <w:sz w:val="15"/>
          <w:szCs w:val="15"/>
        </w:rPr>
        <w:t xml:space="preserve">  |  D3  Skill Graph -&gt; INFERRED (scoring only,        |           |</w:t>
      </w:r>
    </w:p>
    <w:p>
      <w:pPr>
        <w:shd w:fill="1B1B1B" w:val="clear"/>
        <w:spacing w:after="0" w:line="230"/>
      </w:pPr>
      <w:r>
        <w:rPr>
          <w:rFonts w:ascii="Consolas" w:cs="Consolas" w:eastAsia="Consolas" w:hAnsi="Consolas"/>
          <w:color w:val="39FF14"/>
          <w:sz w:val="15"/>
          <w:szCs w:val="15"/>
        </w:rPr>
        <w:t xml:space="preserve">  |       never satisfies policy, depth-limited)       v           |</w:t>
      </w:r>
    </w:p>
    <w:p>
      <w:pPr>
        <w:shd w:fill="1B1B1B" w:val="clear"/>
        <w:spacing w:after="0" w:line="230"/>
      </w:pPr>
      <w:r>
        <w:rPr>
          <w:rFonts w:ascii="Consolas" w:cs="Consolas" w:eastAsia="Consolas" w:hAnsi="Consolas"/>
          <w:color w:val="39FF14"/>
          <w:sz w:val="15"/>
          <w:szCs w:val="15"/>
        </w:rPr>
        <w:t xml:space="preserve">  |        |                                    INELIGIBLE         |</w:t>
      </w:r>
    </w:p>
    <w:p>
      <w:pPr>
        <w:shd w:fill="1B1B1B" w:val="clear"/>
        <w:spacing w:after="0" w:line="230"/>
      </w:pPr>
      <w:r>
        <w:rPr>
          <w:rFonts w:ascii="Consolas" w:cs="Consolas" w:eastAsia="Consolas" w:hAnsi="Consolas"/>
          <w:color w:val="39FF14"/>
          <w:sz w:val="15"/>
          <w:szCs w:val="15"/>
        </w:rPr>
        <w:t xml:space="preserve">  |        v                                    + reason           |</w:t>
      </w:r>
    </w:p>
    <w:p>
      <w:pPr>
        <w:shd w:fill="1B1B1B" w:val="clear"/>
        <w:spacing w:after="0" w:line="230"/>
      </w:pPr>
      <w:r>
        <w:rPr>
          <w:rFonts w:ascii="Consolas" w:cs="Consolas" w:eastAsia="Consolas" w:hAnsi="Consolas"/>
          <w:color w:val="39FF14"/>
          <w:sz w:val="15"/>
          <w:szCs w:val="15"/>
        </w:rPr>
        <w:t xml:space="preserve">  |  D4  M_G = wq*Q_current + we*E_prov  (DRS-scoped, no U_unc)     |</w:t>
      </w:r>
    </w:p>
    <w:p>
      <w:pPr>
        <w:shd w:fill="1B1B1B" w:val="clear"/>
        <w:spacing w:after="0" w:line="230"/>
      </w:pPr>
      <w:r>
        <w:rPr>
          <w:rFonts w:ascii="Consolas" w:cs="Consolas" w:eastAsia="Consolas" w:hAnsi="Consolas"/>
          <w:color w:val="39FF14"/>
          <w:sz w:val="15"/>
          <w:szCs w:val="15"/>
        </w:rPr>
        <w:t xml:space="preserve">  |        |                                                        |</w:t>
      </w:r>
    </w:p>
    <w:p>
      <w:pPr>
        <w:shd w:fill="1B1B1B" w:val="clear"/>
        <w:spacing w:after="0" w:line="230"/>
      </w:pPr>
      <w:r>
        <w:rPr>
          <w:rFonts w:ascii="Consolas" w:cs="Consolas" w:eastAsia="Consolas" w:hAnsi="Consolas"/>
          <w:color w:val="39FF14"/>
          <w:sz w:val="15"/>
          <w:szCs w:val="15"/>
        </w:rPr>
        <w:t xml:space="preserve">  |        v                                                        |</w:t>
      </w:r>
    </w:p>
    <w:p>
      <w:pPr>
        <w:shd w:fill="1B1B1B" w:val="clear"/>
        <w:spacing w:after="0" w:line="230"/>
      </w:pPr>
      <w:r>
        <w:rPr>
          <w:rFonts w:ascii="Consolas" w:cs="Consolas" w:eastAsia="Consolas" w:hAnsi="Consolas"/>
          <w:color w:val="39FF14"/>
          <w:sz w:val="15"/>
          <w:szCs w:val="15"/>
        </w:rPr>
        <w:t xml:space="preserve">  |  D5  ROUTER                                                     |</w:t>
      </w:r>
    </w:p>
    <w:p>
      <w:pPr>
        <w:shd w:fill="1B1B1B" w:val="clear"/>
        <w:spacing w:after="0" w:line="230"/>
      </w:pPr>
      <w:r>
        <w:rPr>
          <w:rFonts w:ascii="Consolas" w:cs="Consolas" w:eastAsia="Consolas" w:hAnsi="Consolas"/>
          <w:color w:val="39FF14"/>
          <w:sz w:val="15"/>
          <w:szCs w:val="15"/>
        </w:rPr>
        <w:t xml:space="preserve">  |        eligibility-blocking uncertainty / SUSPECT / failure     |</w:t>
      </w:r>
    </w:p>
    <w:p>
      <w:pPr>
        <w:shd w:fill="1B1B1B" w:val="clear"/>
        <w:spacing w:after="0" w:line="230"/>
      </w:pPr>
      <w:r>
        <w:rPr>
          <w:rFonts w:ascii="Consolas" w:cs="Consolas" w:eastAsia="Consolas" w:hAnsi="Consolas"/>
          <w:color w:val="39FF14"/>
          <w:sz w:val="15"/>
          <w:szCs w:val="15"/>
        </w:rPr>
        <w:t xml:space="preserve">  |              -&gt; ELIGIBILITY REVIEW  (blocking)                  |</w:t>
      </w:r>
    </w:p>
    <w:p>
      <w:pPr>
        <w:shd w:fill="1B1B1B" w:val="clear"/>
        <w:spacing w:after="0" w:line="230"/>
      </w:pPr>
      <w:r>
        <w:rPr>
          <w:rFonts w:ascii="Consolas" w:cs="Consolas" w:eastAsia="Consolas" w:hAnsi="Consolas"/>
          <w:color w:val="39FF14"/>
          <w:sz w:val="15"/>
          <w:szCs w:val="15"/>
        </w:rPr>
        <w:t xml:space="preserve">  |        scoring uncertainty only                                 |</w:t>
      </w:r>
    </w:p>
    <w:p>
      <w:pPr>
        <w:shd w:fill="1B1B1B" w:val="clear"/>
        <w:spacing w:after="0" w:line="230"/>
      </w:pPr>
      <w:r>
        <w:rPr>
          <w:rFonts w:ascii="Consolas" w:cs="Consolas" w:eastAsia="Consolas" w:hAnsi="Consolas"/>
          <w:color w:val="39FF14"/>
          <w:sz w:val="15"/>
          <w:szCs w:val="15"/>
        </w:rPr>
        <w:t xml:space="preserve">  |              -&gt; QUALIFIED_AUTO + Confidence Flag (non-blocking) |</w:t>
      </w:r>
    </w:p>
    <w:p>
      <w:pPr>
        <w:shd w:fill="1B1B1B" w:val="clear"/>
        <w:spacing w:after="0" w:line="230"/>
      </w:pPr>
      <w:r>
        <w:rPr>
          <w:rFonts w:ascii="Consolas" w:cs="Consolas" w:eastAsia="Consolas" w:hAnsi="Consolas"/>
          <w:color w:val="39FF14"/>
          <w:sz w:val="15"/>
          <w:szCs w:val="15"/>
        </w:rPr>
        <w:t xml:space="preserve">  |        else -&gt; QUALIFIED_AUTO                                   |</w:t>
      </w:r>
    </w:p>
    <w:p>
      <w:pPr>
        <w:shd w:fill="1B1B1B" w:val="clear"/>
        <w:spacing w:after="0" w:line="230"/>
      </w:pPr>
      <w:r>
        <w:rPr>
          <w:rFonts w:ascii="Consolas" w:cs="Consolas" w:eastAsia="Consolas" w:hAnsi="Consolas"/>
          <w:color w:val="39FF14"/>
          <w:sz w:val="15"/>
          <w:szCs w:val="15"/>
        </w:rPr>
        <w:t xml:space="preserve">  +-----------------------------------------------------------+</w:t>
      </w:r>
    </w:p>
    <w:p>
      <w:pPr>
        <w:shd w:fill="1B1B1B" w:val="clear"/>
        <w:spacing w:after="0" w:line="230"/>
      </w:pPr>
      <w:r>
        <w:rPr>
          <w:rFonts w:ascii="Consolas" w:cs="Consolas" w:eastAsia="Consolas" w:hAnsi="Consolas"/>
          <w:color w:val="39FF14"/>
          <w:sz w:val="15"/>
          <w:szCs w:val="15"/>
        </w:rPr>
        <w:t xml:space="preserve">        |</w:t>
      </w:r>
    </w:p>
    <w:p>
      <w:pPr>
        <w:shd w:fill="1B1B1B" w:val="clear"/>
        <w:spacing w:after="0" w:line="230"/>
      </w:pPr>
      <w:r>
        <w:rPr>
          <w:rFonts w:ascii="Consolas" w:cs="Consolas" w:eastAsia="Consolas" w:hAnsi="Consolas"/>
          <w:color w:val="39FF14"/>
          <w:sz w:val="15"/>
          <w:szCs w:val="15"/>
        </w:rPr>
        <w:t xml:space="preserve">        v</w:t>
      </w:r>
    </w:p>
    <w:p>
      <w:pPr>
        <w:shd w:fill="1B1B1B" w:val="clear"/>
        <w:spacing w:after="0" w:line="230"/>
      </w:pPr>
      <w:r>
        <w:rPr>
          <w:rFonts w:ascii="Consolas" w:cs="Consolas" w:eastAsia="Consolas" w:hAnsi="Consolas"/>
          <w:color w:val="39FF14"/>
          <w:sz w:val="15"/>
          <w:szCs w:val="15"/>
        </w:rPr>
        <w:t xml:space="preserve">  +-----------------------------------------------------------+</w:t>
      </w:r>
    </w:p>
    <w:p>
      <w:pPr>
        <w:shd w:fill="1B1B1B" w:val="clear"/>
        <w:spacing w:after="0" w:line="230"/>
      </w:pPr>
      <w:r>
        <w:rPr>
          <w:rFonts w:ascii="Consolas" w:cs="Consolas" w:eastAsia="Consolas" w:hAnsi="Consolas"/>
          <w:color w:val="39FF14"/>
          <w:sz w:val="15"/>
          <w:szCs w:val="15"/>
        </w:rPr>
        <w:t xml:space="preserve">  | PHASE E -- PROGRESSIVE EXPANSION                            |</w:t>
      </w:r>
    </w:p>
    <w:p>
      <w:pPr>
        <w:shd w:fill="1B1B1B" w:val="clear"/>
        <w:spacing w:after="0" w:line="230"/>
      </w:pPr>
      <w:r>
        <w:rPr>
          <w:rFonts w:ascii="Consolas" w:cs="Consolas" w:eastAsia="Consolas" w:hAnsi="Consolas"/>
          <w:color w:val="39FF14"/>
          <w:sz w:val="15"/>
          <w:szCs w:val="15"/>
        </w:rPr>
        <w:t xml:space="preserve">  |  stop iff  SC1: |QUALIFIED_AUTO| &gt;= R                       |</w:t>
      </w:r>
    </w:p>
    <w:p>
      <w:pPr>
        <w:shd w:fill="1B1B1B" w:val="clear"/>
        <w:spacing w:after="0" w:line="230"/>
      </w:pPr>
      <w:r>
        <w:rPr>
          <w:rFonts w:ascii="Consolas" w:cs="Consolas" w:eastAsia="Consolas" w:hAnsi="Consolas"/>
          <w:color w:val="39FF14"/>
          <w:sz w:val="15"/>
          <w:szCs w:val="15"/>
        </w:rPr>
        <w:t xml:space="preserve">  |       AND  SC2: top-R stable across last 2 batches          |</w:t>
      </w:r>
    </w:p>
    <w:p>
      <w:pPr>
        <w:shd w:fill="1B1B1B" w:val="clear"/>
        <w:spacing w:after="0" w:line="230"/>
      </w:pPr>
      <w:r>
        <w:rPr>
          <w:rFonts w:ascii="Consolas" w:cs="Consolas" w:eastAsia="Consolas" w:hAnsi="Consolas"/>
          <w:color w:val="39FF14"/>
          <w:sz w:val="15"/>
          <w:szCs w:val="15"/>
        </w:rPr>
        <w:t xml:space="preserve">  |  pool exhausted before SC1 -&gt; insufficiency report           |</w:t>
      </w:r>
    </w:p>
    <w:p>
      <w:pPr>
        <w:shd w:fill="1B1B1B" w:val="clear"/>
        <w:spacing w:after="0" w:line="230"/>
      </w:pPr>
      <w:r>
        <w:rPr>
          <w:rFonts w:ascii="Consolas" w:cs="Consolas" w:eastAsia="Consolas" w:hAnsi="Consolas"/>
          <w:color w:val="39FF14"/>
          <w:sz w:val="15"/>
          <w:szCs w:val="15"/>
        </w:rPr>
        <w:t xml:space="preserve">  |                                (P_hard failure breakdown)     |</w:t>
      </w:r>
    </w:p>
    <w:p>
      <w:pPr>
        <w:shd w:fill="1B1B1B" w:val="clear"/>
        <w:spacing w:after="0" w:line="230"/>
      </w:pPr>
      <w:r>
        <w:rPr>
          <w:rFonts w:ascii="Consolas" w:cs="Consolas" w:eastAsia="Consolas" w:hAnsi="Consolas"/>
          <w:color w:val="39FF14"/>
          <w:sz w:val="15"/>
          <w:szCs w:val="15"/>
        </w:rPr>
        <w:t xml:space="preserve">  +-----------------------------------------------------------+</w:t>
      </w:r>
    </w:p>
    <w:p>
      <w:pPr>
        <w:shd w:fill="1B1B1B" w:val="clear"/>
        <w:spacing w:after="0" w:line="230"/>
      </w:pPr>
      <w:r>
        <w:rPr>
          <w:rFonts w:ascii="Consolas" w:cs="Consolas" w:eastAsia="Consolas" w:hAnsi="Consolas"/>
          <w:color w:val="39FF14"/>
          <w:sz w:val="15"/>
          <w:szCs w:val="15"/>
        </w:rPr>
        <w:t xml:space="preserve">        |</w:t>
      </w:r>
    </w:p>
    <w:p>
      <w:pPr>
        <w:shd w:fill="1B1B1B" w:val="clear"/>
        <w:spacing w:after="0" w:line="230"/>
      </w:pPr>
      <w:r>
        <w:rPr>
          <w:rFonts w:ascii="Consolas" w:cs="Consolas" w:eastAsia="Consolas" w:hAnsi="Consolas"/>
          <w:color w:val="39FF14"/>
          <w:sz w:val="15"/>
          <w:szCs w:val="15"/>
        </w:rPr>
        <w:t xml:space="preserve">        v</w:t>
      </w:r>
    </w:p>
    <w:p>
      <w:pPr>
        <w:shd w:fill="1B1B1B" w:val="clear"/>
        <w:spacing w:after="0" w:line="230"/>
      </w:pPr>
      <w:r>
        <w:rPr>
          <w:rFonts w:ascii="Consolas" w:cs="Consolas" w:eastAsia="Consolas" w:hAnsi="Consolas"/>
          <w:color w:val="39FF14"/>
          <w:sz w:val="15"/>
          <w:szCs w:val="15"/>
        </w:rPr>
        <w:t xml:space="preserve">  +-----------------------------------------------------------+</w:t>
      </w:r>
    </w:p>
    <w:p>
      <w:pPr>
        <w:shd w:fill="1B1B1B" w:val="clear"/>
        <w:spacing w:after="0" w:line="230"/>
      </w:pPr>
      <w:r>
        <w:rPr>
          <w:rFonts w:ascii="Consolas" w:cs="Consolas" w:eastAsia="Consolas" w:hAnsi="Consolas"/>
          <w:color w:val="39FF14"/>
          <w:sz w:val="15"/>
          <w:szCs w:val="15"/>
        </w:rPr>
        <w:t xml:space="preserve">  | PHASE F -- VERIFICATION HANDOFF (per shortlisted candidate) |</w:t>
      </w:r>
    </w:p>
    <w:p>
      <w:pPr>
        <w:shd w:fill="1B1B1B" w:val="clear"/>
        <w:spacing w:after="0" w:line="230"/>
      </w:pPr>
      <w:r>
        <w:rPr>
          <w:rFonts w:ascii="Consolas" w:cs="Consolas" w:eastAsia="Consolas" w:hAnsi="Consolas"/>
          <w:color w:val="39FF14"/>
          <w:sz w:val="15"/>
          <w:szCs w:val="15"/>
        </w:rPr>
        <w:t xml:space="preserve">  |  Interview Brief | Verification Checklist |                 |</w:t>
      </w:r>
    </w:p>
    <w:p>
      <w:pPr>
        <w:shd w:fill="1B1B1B" w:val="clear"/>
        <w:spacing w:after="0" w:line="230"/>
      </w:pPr>
      <w:r>
        <w:rPr>
          <w:rFonts w:ascii="Consolas" w:cs="Consolas" w:eastAsia="Consolas" w:hAnsi="Consolas"/>
          <w:color w:val="39FF14"/>
          <w:sz w:val="15"/>
          <w:szCs w:val="15"/>
        </w:rPr>
        <w:t xml:space="preserve">  |  Compliance Record | Recruiter Feedback Signal (per role)    |</w:t>
      </w:r>
    </w:p>
    <w:p>
      <w:pPr>
        <w:shd w:fill="1B1B1B" w:val="clear"/>
        <w:spacing w:after="0" w:line="230"/>
      </w:pPr>
      <w:r>
        <w:rPr>
          <w:rFonts w:ascii="Consolas" w:cs="Consolas" w:eastAsia="Consolas" w:hAnsi="Consolas"/>
          <w:color w:val="39FF14"/>
          <w:sz w:val="15"/>
          <w:szCs w:val="15"/>
        </w:rPr>
        <w:t xml:space="preserve">  |  verification_status: TENTATIVE &lt;-&gt; CONFIRMED via            |</w:t>
      </w:r>
    </w:p>
    <w:p>
      <w:pPr>
        <w:shd w:fill="1B1B1B" w:val="clear"/>
        <w:spacing w:after="0" w:line="230"/>
      </w:pPr>
      <w:r>
        <w:rPr>
          <w:rFonts w:ascii="Consolas" w:cs="Consolas" w:eastAsia="Consolas" w:hAnsi="Consolas"/>
          <w:color w:val="39FF14"/>
          <w:sz w:val="15"/>
          <w:szCs w:val="15"/>
        </w:rPr>
        <w:t xml:space="preserve">  |  evidence-injection interface (later hiring stages write back)|</w:t>
      </w:r>
    </w:p>
    <w:p>
      <w:pPr>
        <w:shd w:fill="1B1B1B" w:val="clear"/>
        <w:spacing w:after="0" w:line="230"/>
      </w:pPr>
      <w:r>
        <w:rPr>
          <w:rFonts w:ascii="Consolas" w:cs="Consolas" w:eastAsia="Consolas" w:hAnsi="Consolas"/>
          <w:color w:val="39FF14"/>
          <w:sz w:val="15"/>
          <w:szCs w:val="15"/>
        </w:rPr>
        <w:t xml:space="preserve">  +-----------------------------------------------------------+</w:t>
      </w:r>
    </w:p>
    <w:p>
      <w:pPr>
        <w:shd w:fill="1B1B1B" w:val="clear"/>
        <w:spacing w:after="0" w:line="230"/>
      </w:pPr>
      <w:r>
        <w:rPr>
          <w:rFonts w:ascii="Consolas" w:cs="Consolas" w:eastAsia="Consolas" w:hAnsi="Consolas"/>
          <w:color w:val="39FF14"/>
          <w:sz w:val="15"/>
          <w:szCs w:val="15"/>
        </w:rPr>
        <w:t xml:space="preserve"> </w:t>
      </w:r>
    </w:p>
    <w:p>
      <w:pPr>
        <w:shd w:fill="1B1B1B" w:val="clear"/>
        <w:spacing w:after="0" w:line="230"/>
      </w:pPr>
      <w:r>
        <w:rPr>
          <w:rFonts w:ascii="Consolas" w:cs="Consolas" w:eastAsia="Consolas" w:hAnsi="Consolas"/>
          <w:color w:val="39FF14"/>
          <w:sz w:val="15"/>
          <w:szCs w:val="15"/>
        </w:rPr>
        <w:t xml:space="preserve">  AUDIT TRAIL LOG -- cross-cutting across every phase above.</w:t>
      </w:r>
    </w:p>
    <w:p>
      <w:pPr>
        <w:shd w:fill="1B1B1B" w:val="clear"/>
        <w:spacing w:after="0" w:line="230"/>
      </w:pPr>
      <w:r>
        <w:rPr>
          <w:rFonts w:ascii="Consolas" w:cs="Consolas" w:eastAsia="Consolas" w:hAnsi="Consolas"/>
          <w:color w:val="39FF14"/>
          <w:sz w:val="15"/>
          <w:szCs w:val="15"/>
        </w:rPr>
        <w:t xml:space="preserve">  Append-only. I1-I9 replayed and checked on every run.</w:t>
      </w:r>
    </w:p>
    <w:p>
      <w:r>
        <w:br w:type="page"/>
      </w:r>
    </w:p>
    <w:p>
      <w:pPr>
        <w:pStyle w:val="Heading1"/>
        <w:pBdr>
          <w:bottom w:val="single" w:color="1F3864" w:sz="6" w:space="4"/>
        </w:pBdr>
        <w:spacing w:after="160" w:before="320"/>
      </w:pPr>
      <w:r>
        <w:rPr>
          <w:rFonts w:ascii="Calibri" w:cs="Calibri" w:eastAsia="Calibri" w:hAnsi="Calibri"/>
          <w:b/>
          <w:bCs/>
          <w:color w:val="1F3864"/>
          <w:sz w:val="28"/>
          <w:szCs w:val="28"/>
        </w:rPr>
        <w:t xml:space="preserve">6. What This Architecture Does Not Claim</w:t>
      </w:r>
    </w:p>
    <w:p>
      <w:pPr>
        <w:pStyle w:val="ListParagraph"/>
        <w:numPr>
          <w:ilvl w:val="0"/>
          <w:numId w:val="2"/>
        </w:numPr>
        <w:spacing w:after="90"/>
      </w:pPr>
      <w:r>
        <w:rPr>
          <w:rFonts w:ascii="Calibri" w:cs="Calibri" w:eastAsia="Calibri" w:hAnsi="Calibri"/>
          <w:sz w:val="21"/>
          <w:szCs w:val="21"/>
        </w:rPr>
        <w:t xml:space="preserve">It does not claim to identify better engineers — that requires post-hire outcome data, which this project does not have.</w:t>
      </w:r>
    </w:p>
    <w:p>
      <w:pPr>
        <w:pStyle w:val="ListParagraph"/>
        <w:numPr>
          <w:ilvl w:val="0"/>
          <w:numId w:val="2"/>
        </w:numPr>
        <w:spacing w:after="90"/>
      </w:pPr>
      <w:r>
        <w:rPr>
          <w:rFonts w:ascii="Calibri" w:cs="Calibri" w:eastAsia="Calibri" w:hAnsi="Calibri"/>
          <w:sz w:val="21"/>
          <w:szCs w:val="21"/>
        </w:rPr>
        <w:t xml:space="preserve">It does not claim to make hiring fair — a fairness audit across protected characteristics is explicitly future work, following the literature's own documentation of AI hiring bias.</w:t>
      </w:r>
    </w:p>
    <w:p>
      <w:pPr>
        <w:pStyle w:val="ListParagraph"/>
        <w:numPr>
          <w:ilvl w:val="0"/>
          <w:numId w:val="2"/>
        </w:numPr>
        <w:spacing w:after="90"/>
      </w:pPr>
      <w:r>
        <w:rPr>
          <w:rFonts w:ascii="Calibri" w:cs="Calibri" w:eastAsia="Calibri" w:hAnsi="Calibri"/>
          <w:sz w:val="21"/>
          <w:szCs w:val="21"/>
        </w:rPr>
        <w:t xml:space="preserve">It does not cover the interview stage — the literature reviewed shows that a governed resume stage followed by a flawed interview stage still produces poor outcomes; EGCA governs one stage only.</w:t>
      </w:r>
    </w:p>
    <w:p>
      <w:pPr>
        <w:pStyle w:val="ListParagraph"/>
        <w:numPr>
          <w:ilvl w:val="0"/>
          <w:numId w:val="2"/>
        </w:numPr>
        <w:spacing w:after="90"/>
      </w:pPr>
      <w:r>
        <w:rPr>
          <w:rFonts w:ascii="Calibri" w:cs="Calibri" w:eastAsia="Calibri" w:hAnsi="Calibri"/>
          <w:sz w:val="21"/>
          <w:szCs w:val="21"/>
        </w:rPr>
        <w:t xml:space="preserve">It does not provide longitudinal or real-world validation — evaluation runs on a 100-candidate synthetic dataset, so results describe system behavior, not real hiring outcomes.</w:t>
      </w:r>
    </w:p>
    <w:p>
      <w:pPr>
        <w:pStyle w:val="ListParagraph"/>
        <w:numPr>
          <w:ilvl w:val="0"/>
          <w:numId w:val="2"/>
        </w:numPr>
        <w:spacing w:after="90"/>
      </w:pPr>
      <w:r>
        <w:rPr>
          <w:rFonts w:ascii="Calibri" w:cs="Calibri" w:eastAsia="Calibri" w:hAnsi="Calibri"/>
          <w:sz w:val="21"/>
          <w:szCs w:val="21"/>
        </w:rPr>
        <w:t xml:space="preserve">The Governed Match Score is a ranking heuristic over a defined evidence construct, not a measurement of candidate capability.</w:t>
      </w:r>
    </w:p>
    <w:p>
      <w:pPr>
        <w:spacing w:after="160" w:line="300"/>
        <w:jc w:val="both"/>
      </w:pPr>
      <w:r>
        <w:rPr>
          <w:rFonts w:ascii="Calibri" w:cs="Calibri" w:eastAsia="Calibri" w:hAnsi="Calibri"/>
          <w:i/>
          <w:iCs/>
          <w:sz w:val="21"/>
          <w:szCs w:val="21"/>
        </w:rPr>
        <w:t xml:space="preserve">Following the CDC Continuum of Evidence of Effectiveness (Section 2.2), this places EGCA's own claims at “promising/emerging,” consistent with how the primary source paper rates its own contributions, including GitMeter.</w:t>
      </w:r>
    </w:p>
    <w:p>
      <w:r>
        <w:br w:type="page"/>
      </w:r>
    </w:p>
    <w:p>
      <w:pPr>
        <w:pStyle w:val="Heading1"/>
        <w:pBdr>
          <w:bottom w:val="single" w:color="1F3864" w:sz="6" w:space="4"/>
        </w:pBdr>
        <w:spacing w:after="160" w:before="320"/>
      </w:pPr>
      <w:r>
        <w:rPr>
          <w:rFonts w:ascii="Calibri" w:cs="Calibri" w:eastAsia="Calibri" w:hAnsi="Calibri"/>
          <w:b/>
          <w:bCs/>
          <w:color w:val="1F3864"/>
          <w:sz w:val="28"/>
          <w:szCs w:val="28"/>
        </w:rPr>
        <w:t xml:space="preserve">7. Master Traceability Table</w:t>
      </w:r>
    </w:p>
    <w:p>
      <w:pPr>
        <w:spacing w:after="160" w:line="300"/>
        <w:jc w:val="both"/>
      </w:pPr>
      <w:r>
        <w:rPr>
          <w:rFonts w:ascii="Calibri" w:cs="Calibri" w:eastAsia="Calibri" w:hAnsi="Calibri"/>
          <w:sz w:val="21"/>
          <w:szCs w:val="21"/>
        </w:rPr>
        <w:t xml:space="preserve">Every mechanism in the current architecture, its motivating source, and how it is (or will be) validated.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200"/>
        <w:gridCol w:w="1900"/>
      </w:tblGrid>
      <w:tr>
        <w:tc>
          <w:tcPr>
            <w:tcW w:type="dxa" w:w="2600"/>
            <w:shd w:fill="1F3864" w:val="clear"/>
            <w:tcMar>
              <w:top w:type="dxa" w:w="70"/>
              <w:left w:type="dxa" w:w="90"/>
              <w:bottom w:type="dxa" w:w="70"/>
              <w:right w:type="dxa" w:w="90"/>
            </w:tcMar>
            <w:vAlign w:val="center"/>
          </w:tcPr>
          <w:p>
            <w:pPr>
              <w:jc w:val="left"/>
            </w:pPr>
            <w:r>
              <w:rPr>
                <w:rFonts w:ascii="Calibri" w:cs="Calibri" w:eastAsia="Calibri" w:hAnsi="Calibri"/>
                <w:b/>
                <w:bCs/>
                <w:i w:val="false"/>
                <w:iCs w:val="false"/>
                <w:color w:val="FFFFFF"/>
                <w:sz w:val="19"/>
                <w:szCs w:val="19"/>
              </w:rPr>
              <w:t xml:space="preserve">Problem</w:t>
            </w:r>
          </w:p>
        </w:tc>
        <w:tc>
          <w:tcPr>
            <w:tcW w:type="dxa" w:w="2600"/>
            <w:shd w:fill="1F3864" w:val="clear"/>
            <w:tcMar>
              <w:top w:type="dxa" w:w="70"/>
              <w:left w:type="dxa" w:w="90"/>
              <w:bottom w:type="dxa" w:w="70"/>
              <w:right w:type="dxa" w:w="90"/>
            </w:tcMar>
            <w:vAlign w:val="center"/>
          </w:tcPr>
          <w:p>
            <w:pPr>
              <w:jc w:val="left"/>
            </w:pPr>
            <w:r>
              <w:rPr>
                <w:rFonts w:ascii="Calibri" w:cs="Calibri" w:eastAsia="Calibri" w:hAnsi="Calibri"/>
                <w:b/>
                <w:bCs/>
                <w:i w:val="false"/>
                <w:iCs w:val="false"/>
                <w:color w:val="FFFFFF"/>
                <w:sz w:val="19"/>
                <w:szCs w:val="19"/>
              </w:rPr>
              <w:t xml:space="preserve">Mechanism</w:t>
            </w:r>
          </w:p>
        </w:tc>
        <w:tc>
          <w:tcPr>
            <w:tcW w:type="dxa" w:w="2200"/>
            <w:shd w:fill="1F3864" w:val="clear"/>
            <w:tcMar>
              <w:top w:type="dxa" w:w="70"/>
              <w:left w:type="dxa" w:w="90"/>
              <w:bottom w:type="dxa" w:w="70"/>
              <w:right w:type="dxa" w:w="90"/>
            </w:tcMar>
            <w:vAlign w:val="center"/>
          </w:tcPr>
          <w:p>
            <w:pPr>
              <w:jc w:val="left"/>
            </w:pPr>
            <w:r>
              <w:rPr>
                <w:rFonts w:ascii="Calibri" w:cs="Calibri" w:eastAsia="Calibri" w:hAnsi="Calibri"/>
                <w:b/>
                <w:bCs/>
                <w:i w:val="false"/>
                <w:iCs w:val="false"/>
                <w:color w:val="FFFFFF"/>
                <w:sz w:val="19"/>
                <w:szCs w:val="19"/>
              </w:rPr>
              <w:t xml:space="preserve">Source</w:t>
            </w:r>
          </w:p>
        </w:tc>
        <w:tc>
          <w:tcPr>
            <w:tcW w:type="dxa" w:w="1900"/>
            <w:shd w:fill="1F3864" w:val="clear"/>
            <w:tcMar>
              <w:top w:type="dxa" w:w="70"/>
              <w:left w:type="dxa" w:w="90"/>
              <w:bottom w:type="dxa" w:w="70"/>
              <w:right w:type="dxa" w:w="90"/>
            </w:tcMar>
            <w:vAlign w:val="center"/>
          </w:tcPr>
          <w:p>
            <w:pPr>
              <w:jc w:val="left"/>
            </w:pPr>
            <w:r>
              <w:rPr>
                <w:rFonts w:ascii="Calibri" w:cs="Calibri" w:eastAsia="Calibri" w:hAnsi="Calibri"/>
                <w:b/>
                <w:bCs/>
                <w:i w:val="false"/>
                <w:iCs w:val="false"/>
                <w:color w:val="FFFFFF"/>
                <w:sz w:val="19"/>
                <w:szCs w:val="19"/>
              </w:rPr>
              <w:t xml:space="preserve">Validation Status</w:t>
            </w:r>
          </w:p>
        </w:tc>
      </w:tr>
      <w:tr>
        <w:tc>
          <w:tcPr>
            <w:tcW w:type="dxa" w:w="26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19"/>
                <w:szCs w:val="19"/>
              </w:rPr>
              <w:t xml:space="preserve">Self-reported claims treated as fact</w:t>
            </w:r>
          </w:p>
        </w:tc>
        <w:tc>
          <w:tcPr>
            <w:tcW w:type="dxa" w:w="26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19"/>
                <w:szCs w:val="19"/>
              </w:rPr>
              <w:t xml:space="preserve">Evidence classification separated from extraction</w:t>
            </w:r>
          </w:p>
        </w:tc>
        <w:tc>
          <w:tcPr>
            <w:tcW w:type="dxa" w:w="22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18"/>
                <w:szCs w:val="18"/>
              </w:rPr>
              <w:t xml:space="preserve">Literature (2504.06387, core premise)</w:t>
            </w:r>
          </w:p>
        </w:tc>
        <w:tc>
          <w:tcPr>
            <w:tcW w:type="dxa" w:w="19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18"/>
                <w:szCs w:val="18"/>
              </w:rPr>
              <w:t xml:space="preserve">Measured (E1, E2)</w:t>
            </w:r>
          </w:p>
        </w:tc>
      </w:tr>
      <w:tr>
        <w:tc>
          <w:tcPr>
            <w:tcW w:type="dxa" w:w="26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19"/>
                <w:szCs w:val="19"/>
              </w:rPr>
              <w:t xml:space="preserve">Document-layer prompt injection (white-fonting, Inject My PDF)</w:t>
            </w:r>
          </w:p>
        </w:tc>
        <w:tc>
          <w:tcPr>
            <w:tcW w:type="dxa" w:w="26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19"/>
                <w:szCs w:val="19"/>
              </w:rPr>
              <w:t xml:space="preserve">SUSPECT flag + grounding check</w:t>
            </w:r>
          </w:p>
        </w:tc>
        <w:tc>
          <w:tcPr>
            <w:tcW w:type="dxa" w:w="22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18"/>
                <w:szCs w:val="18"/>
              </w:rPr>
              <w:t xml:space="preserve">Literature (2504.06387, citing CNBC and Greshake et al. 2023)</w:t>
            </w:r>
          </w:p>
        </w:tc>
        <w:tc>
          <w:tcPr>
            <w:tcW w:type="dxa" w:w="19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18"/>
                <w:szCs w:val="18"/>
              </w:rPr>
              <w:t xml:space="preserve">Design-only (adversarial test set planned)</w:t>
            </w:r>
          </w:p>
        </w:tc>
      </w:tr>
      <w:tr>
        <w:tc>
          <w:tcPr>
            <w:tcW w:type="dxa" w:w="26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19"/>
                <w:szCs w:val="19"/>
              </w:rPr>
              <w:t xml:space="preserve">Keyword / vocabulary brittleness</w:t>
            </w:r>
          </w:p>
        </w:tc>
        <w:tc>
          <w:tcPr>
            <w:tcW w:type="dxa" w:w="26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19"/>
                <w:szCs w:val="19"/>
              </w:rPr>
              <w:t xml:space="preserve">Skill normalization + Skill Knowledge Graph</w:t>
            </w:r>
          </w:p>
        </w:tc>
        <w:tc>
          <w:tcPr>
            <w:tcW w:type="dxa" w:w="22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18"/>
                <w:szCs w:val="18"/>
              </w:rPr>
              <w:t xml:space="preserve">Literature (2504.06387)</w:t>
            </w:r>
          </w:p>
        </w:tc>
        <w:tc>
          <w:tcPr>
            <w:tcW w:type="dxa" w:w="19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18"/>
                <w:szCs w:val="18"/>
              </w:rPr>
              <w:t xml:space="preserve">Measured (E3)</w:t>
            </w:r>
          </w:p>
        </w:tc>
      </w:tr>
      <w:tr>
        <w:tc>
          <w:tcPr>
            <w:tcW w:type="dxa" w:w="26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19"/>
                <w:szCs w:val="19"/>
              </w:rPr>
              <w:t xml:space="preserve">Unsupported skill equivalence</w:t>
            </w:r>
          </w:p>
        </w:tc>
        <w:tc>
          <w:tcPr>
            <w:tcW w:type="dxa" w:w="26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19"/>
                <w:szCs w:val="19"/>
              </w:rPr>
              <w:t xml:space="preserve">Depth-limited INFERRED state, never policy-qualifying</w:t>
            </w:r>
          </w:p>
        </w:tc>
        <w:tc>
          <w:tcPr>
            <w:tcW w:type="dxa" w:w="22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18"/>
                <w:szCs w:val="18"/>
              </w:rPr>
              <w:t xml:space="preserve">Internal design + literature framing of experiential evidence</w:t>
            </w:r>
          </w:p>
        </w:tc>
        <w:tc>
          <w:tcPr>
            <w:tcW w:type="dxa" w:w="19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18"/>
                <w:szCs w:val="18"/>
              </w:rPr>
              <w:t xml:space="preserve">Measured (E3)</w:t>
            </w:r>
          </w:p>
        </w:tc>
      </w:tr>
      <w:tr>
        <w:tc>
          <w:tcPr>
            <w:tcW w:type="dxa" w:w="26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19"/>
                <w:szCs w:val="19"/>
              </w:rPr>
              <w:t xml:space="preserve">Similarity score overriding mandatory rules</w:t>
            </w:r>
          </w:p>
        </w:tc>
        <w:tc>
          <w:tcPr>
            <w:tcW w:type="dxa" w:w="26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19"/>
                <w:szCs w:val="19"/>
              </w:rPr>
              <w:t xml:space="preserve">Tri-valued P_hard, isolated OPA policy engine</w:t>
            </w:r>
          </w:p>
        </w:tc>
        <w:tc>
          <w:tcPr>
            <w:tcW w:type="dxa" w:w="22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18"/>
                <w:szCs w:val="18"/>
              </w:rPr>
              <w:t xml:space="preserve">Internal contradiction resolved in v3; isolation reasoning independent of the unverified Policy-as-Prompt figure (Sec. 2.3)</w:t>
            </w:r>
          </w:p>
        </w:tc>
        <w:tc>
          <w:tcPr>
            <w:tcW w:type="dxa" w:w="19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18"/>
                <w:szCs w:val="18"/>
              </w:rPr>
              <w:t xml:space="preserve">Invariant-checked (I3)</w:t>
            </w:r>
          </w:p>
        </w:tc>
      </w:tr>
      <w:tr>
        <w:tc>
          <w:tcPr>
            <w:tcW w:type="dxa" w:w="26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19"/>
                <w:szCs w:val="19"/>
              </w:rPr>
              <w:t xml:space="preserve">Score manufacturing false certainty</w:t>
            </w:r>
          </w:p>
        </w:tc>
        <w:tc>
          <w:tcPr>
            <w:tcW w:type="dxa" w:w="26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19"/>
                <w:szCs w:val="19"/>
              </w:rPr>
              <w:t xml:space="preserve">U_unc removed from M_G; routing-only</w:t>
            </w:r>
          </w:p>
        </w:tc>
        <w:tc>
          <w:tcPr>
            <w:tcW w:type="dxa" w:w="22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18"/>
                <w:szCs w:val="18"/>
              </w:rPr>
              <w:t xml:space="preserve">Internal contradiction resolved in v3 (violated E2 fairness bound)</w:t>
            </w:r>
          </w:p>
        </w:tc>
        <w:tc>
          <w:tcPr>
            <w:tcW w:type="dxa" w:w="19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18"/>
                <w:szCs w:val="18"/>
              </w:rPr>
              <w:t xml:space="preserve">Invariant-checked (I2, I5)</w:t>
            </w:r>
          </w:p>
        </w:tc>
      </w:tr>
      <w:tr>
        <w:tc>
          <w:tcPr>
            <w:tcW w:type="dxa" w:w="26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19"/>
                <w:szCs w:val="19"/>
              </w:rPr>
              <w:t xml:space="preserve">Missing public evidence penalized as absence of skill</w:t>
            </w:r>
          </w:p>
        </w:tc>
        <w:tc>
          <w:tcPr>
            <w:tcW w:type="dxa" w:w="26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19"/>
                <w:szCs w:val="19"/>
              </w:rPr>
              <w:t xml:space="preserve">NOT_OBSERVED ≠ negative; tri-valued policy; capped artifact weight in E_prov</w:t>
            </w:r>
          </w:p>
        </w:tc>
        <w:tc>
          <w:tcPr>
            <w:tcW w:type="dxa" w:w="22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18"/>
                <w:szCs w:val="18"/>
              </w:rPr>
              <w:t xml:space="preserve">Literature (2504.06387) + internal correction</w:t>
            </w:r>
          </w:p>
        </w:tc>
        <w:tc>
          <w:tcPr>
            <w:tcW w:type="dxa" w:w="19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18"/>
                <w:szCs w:val="18"/>
              </w:rPr>
              <w:t xml:space="preserve">Measured (E2)</w:t>
            </w:r>
          </w:p>
        </w:tc>
      </w:tr>
      <w:tr>
        <w:tc>
          <w:tcPr>
            <w:tcW w:type="dxa" w:w="26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19"/>
                <w:szCs w:val="19"/>
              </w:rPr>
              <w:t xml:space="preserve">Opaque rejection reasoning</w:t>
            </w:r>
          </w:p>
        </w:tc>
        <w:tc>
          <w:tcPr>
            <w:tcW w:type="dxa" w:w="26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19"/>
                <w:szCs w:val="19"/>
              </w:rPr>
              <w:t xml:space="preserve">Evidence Ledger + append-only Audit Trail</w:t>
            </w:r>
          </w:p>
        </w:tc>
        <w:tc>
          <w:tcPr>
            <w:tcW w:type="dxa" w:w="22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18"/>
                <w:szCs w:val="18"/>
              </w:rPr>
              <w:t xml:space="preserve">Literature (2504.06387, candidate distrust of unexplained rejection)</w:t>
            </w:r>
          </w:p>
        </w:tc>
        <w:tc>
          <w:tcPr>
            <w:tcW w:type="dxa" w:w="19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18"/>
                <w:szCs w:val="18"/>
              </w:rPr>
              <w:t xml:space="preserve">Invariant-checked (I7)</w:t>
            </w:r>
          </w:p>
        </w:tc>
      </w:tr>
      <w:tr>
        <w:tc>
          <w:tcPr>
            <w:tcW w:type="dxa" w:w="26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19"/>
                <w:szCs w:val="19"/>
              </w:rPr>
              <w:t xml:space="preserve">Candidate order affecting outcome</w:t>
            </w:r>
          </w:p>
        </w:tc>
        <w:tc>
          <w:tcPr>
            <w:tcW w:type="dxa" w:w="26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19"/>
                <w:szCs w:val="19"/>
              </w:rPr>
              <w:t xml:space="preserve">Deterministic tie-breaking; two-condition stable expansion</w:t>
            </w:r>
          </w:p>
        </w:tc>
        <w:tc>
          <w:tcPr>
            <w:tcW w:type="dxa" w:w="22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18"/>
                <w:szCs w:val="18"/>
              </w:rPr>
              <w:t xml:space="preserve">Internal design</w:t>
            </w:r>
          </w:p>
        </w:tc>
        <w:tc>
          <w:tcPr>
            <w:tcW w:type="dxa" w:w="19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18"/>
                <w:szCs w:val="18"/>
              </w:rPr>
              <w:t xml:space="preserve">Measured (E4)</w:t>
            </w:r>
          </w:p>
        </w:tc>
      </w:tr>
      <w:tr>
        <w:tc>
          <w:tcPr>
            <w:tcW w:type="dxa" w:w="26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19"/>
                <w:szCs w:val="19"/>
              </w:rPr>
              <w:t xml:space="preserve">Full expensive evaluation on every applicant</w:t>
            </w:r>
          </w:p>
        </w:tc>
        <w:tc>
          <w:tcPr>
            <w:tcW w:type="dxa" w:w="26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19"/>
                <w:szCs w:val="19"/>
              </w:rPr>
              <w:t xml:space="preserve">Adaptive Gate with derived K′</w:t>
            </w:r>
          </w:p>
        </w:tc>
        <w:tc>
          <w:tcPr>
            <w:tcW w:type="dxa" w:w="22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18"/>
                <w:szCs w:val="18"/>
              </w:rPr>
              <w:t xml:space="preserve">Internal design (v2, PEGS)</w:t>
            </w:r>
          </w:p>
        </w:tc>
        <w:tc>
          <w:tcPr>
            <w:tcW w:type="dxa" w:w="19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18"/>
                <w:szCs w:val="18"/>
              </w:rPr>
              <w:t xml:space="preserve">Measured (E5, optional)</w:t>
            </w:r>
          </w:p>
        </w:tc>
      </w:tr>
      <w:tr>
        <w:tc>
          <w:tcPr>
            <w:tcW w:type="dxa" w:w="26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19"/>
                <w:szCs w:val="19"/>
              </w:rPr>
              <w:t xml:space="preserve">Relaxing standards when the pool is thin</w:t>
            </w:r>
          </w:p>
        </w:tc>
        <w:tc>
          <w:tcPr>
            <w:tcW w:type="dxa" w:w="26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19"/>
                <w:szCs w:val="19"/>
              </w:rPr>
              <w:t xml:space="preserve">Explicit exhaustion / insufficiency report</w:t>
            </w:r>
          </w:p>
        </w:tc>
        <w:tc>
          <w:tcPr>
            <w:tcW w:type="dxa" w:w="22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18"/>
                <w:szCs w:val="18"/>
              </w:rPr>
              <w:t xml:space="preserve">Internal design</w:t>
            </w:r>
          </w:p>
        </w:tc>
        <w:tc>
          <w:tcPr>
            <w:tcW w:type="dxa" w:w="19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18"/>
                <w:szCs w:val="18"/>
              </w:rPr>
              <w:t xml:space="preserve">Invariant-checked (I6)</w:t>
            </w:r>
          </w:p>
        </w:tc>
      </w:tr>
      <w:tr>
        <w:tc>
          <w:tcPr>
            <w:tcW w:type="dxa" w:w="26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19"/>
                <w:szCs w:val="19"/>
              </w:rPr>
              <w:t xml:space="preserve">Evidence-checking every claim on every resume is computationally unbounded</w:t>
            </w:r>
          </w:p>
        </w:tc>
        <w:tc>
          <w:tcPr>
            <w:tcW w:type="dxa" w:w="26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19"/>
                <w:szCs w:val="19"/>
              </w:rPr>
              <w:t xml:space="preserve">Decisive Requirement Set (DRS) scoping</w:t>
            </w:r>
          </w:p>
        </w:tc>
        <w:tc>
          <w:tcPr>
            <w:tcW w:type="dxa" w:w="22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18"/>
                <w:szCs w:val="18"/>
              </w:rPr>
              <w:t xml:space="preserve">User-directed correction (v4)</w:t>
            </w:r>
          </w:p>
        </w:tc>
        <w:tc>
          <w:tcPr>
            <w:tcW w:type="dxa" w:w="19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18"/>
                <w:szCs w:val="18"/>
              </w:rPr>
              <w:t xml:space="preserve">Invariant-checked (I8)</w:t>
            </w:r>
          </w:p>
        </w:tc>
      </w:tr>
      <w:tr>
        <w:tc>
          <w:tcPr>
            <w:tcW w:type="dxa" w:w="26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19"/>
                <w:szCs w:val="19"/>
              </w:rPr>
              <w:t xml:space="preserve">Excessive human-review volume from over-broad INDETERMINATE routing</w:t>
            </w:r>
          </w:p>
        </w:tc>
        <w:tc>
          <w:tcPr>
            <w:tcW w:type="dxa" w:w="26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19"/>
                <w:szCs w:val="19"/>
              </w:rPr>
              <w:t xml:space="preserve">Corrected tri-valued table + two-tier review (Eligibility Review vs. Confidence Flag)</w:t>
            </w:r>
          </w:p>
        </w:tc>
        <w:tc>
          <w:tcPr>
            <w:tcW w:type="dxa" w:w="22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18"/>
                <w:szCs w:val="18"/>
              </w:rPr>
              <w:t xml:space="preserve">User-directed correction (v4)</w:t>
            </w:r>
          </w:p>
        </w:tc>
        <w:tc>
          <w:tcPr>
            <w:tcW w:type="dxa" w:w="19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18"/>
                <w:szCs w:val="18"/>
              </w:rPr>
              <w:t xml:space="preserve">Invariant-checked (I9); review-rate to be measured</w:t>
            </w:r>
          </w:p>
        </w:tc>
      </w:tr>
      <w:tr>
        <w:tc>
          <w:tcPr>
            <w:tcW w:type="dxa" w:w="26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19"/>
                <w:szCs w:val="19"/>
              </w:rPr>
              <w:t xml:space="preserve">Tentative screening-stage judgments never resolved by later hiring stages</w:t>
            </w:r>
          </w:p>
        </w:tc>
        <w:tc>
          <w:tcPr>
            <w:tcW w:type="dxa" w:w="26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19"/>
                <w:szCs w:val="19"/>
              </w:rPr>
              <w:t xml:space="preserve">Phase F handoff package + verification_status + evidence-injection interface</w:t>
            </w:r>
          </w:p>
        </w:tc>
        <w:tc>
          <w:tcPr>
            <w:tcW w:type="dxa" w:w="22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18"/>
                <w:szCs w:val="18"/>
              </w:rPr>
              <w:t xml:space="preserve">User-directed extension (v4)</w:t>
            </w:r>
          </w:p>
        </w:tc>
        <w:tc>
          <w:tcPr>
            <w:tcW w:type="dxa" w:w="19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18"/>
                <w:szCs w:val="18"/>
              </w:rPr>
              <w:t xml:space="preserve">Design-only, outside implementation scope</w:t>
            </w:r>
          </w:p>
        </w:tc>
      </w:tr>
      <w:tr>
        <w:tc>
          <w:tcPr>
            <w:tcW w:type="dxa" w:w="26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19"/>
                <w:szCs w:val="19"/>
              </w:rPr>
              <w:t xml:space="preserve">Historical / proxy bias in AI hiring tools</w:t>
            </w:r>
          </w:p>
        </w:tc>
        <w:tc>
          <w:tcPr>
            <w:tcW w:type="dxa" w:w="26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19"/>
                <w:szCs w:val="19"/>
              </w:rPr>
              <w:t xml:space="preserve">Explicitly not claimed solved</w:t>
            </w:r>
          </w:p>
        </w:tc>
        <w:tc>
          <w:tcPr>
            <w:tcW w:type="dxa" w:w="22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18"/>
                <w:szCs w:val="18"/>
              </w:rPr>
              <w:t xml:space="preserve">Literature (2504.06387, Amazon / Armstrong et al. 2024 / Glazko et al. 2024)</w:t>
            </w:r>
          </w:p>
        </w:tc>
        <w:tc>
          <w:tcPr>
            <w:tcW w:type="dxa" w:w="19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18"/>
                <w:szCs w:val="18"/>
              </w:rPr>
              <w:t xml:space="preserve">Not addressed — stated limitation</w:t>
            </w:r>
          </w:p>
        </w:tc>
      </w:tr>
      <w:tr>
        <w:tc>
          <w:tcPr>
            <w:tcW w:type="dxa" w:w="26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19"/>
                <w:szCs w:val="19"/>
              </w:rPr>
              <w:t xml:space="preserve">Real-world hiring effectiveness</w:t>
            </w:r>
          </w:p>
        </w:tc>
        <w:tc>
          <w:tcPr>
            <w:tcW w:type="dxa" w:w="26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19"/>
                <w:szCs w:val="19"/>
              </w:rPr>
              <w:t xml:space="preserve">Not claimed</w:t>
            </w:r>
          </w:p>
        </w:tc>
        <w:tc>
          <w:tcPr>
            <w:tcW w:type="dxa" w:w="22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18"/>
                <w:szCs w:val="18"/>
              </w:rPr>
              <w:t xml:space="preserve">Literature's own Continuum-of-Evidence framing applied to this project</w:t>
            </w:r>
          </w:p>
        </w:tc>
        <w:tc>
          <w:tcPr>
            <w:tcW w:type="dxa" w:w="1900"/>
            <w:tcMar>
              <w:top w:type="dxa" w:w="70"/>
              <w:left w:type="dxa" w:w="90"/>
              <w:bottom w:type="dxa" w:w="70"/>
              <w:right w:type="dxa" w:w="90"/>
            </w:tcMar>
            <w:vAlign w:val="center"/>
          </w:tcPr>
          <w:p>
            <w:pPr>
              <w:jc w:val="left"/>
            </w:pPr>
            <w:r>
              <w:rPr>
                <w:rFonts w:ascii="Calibri" w:cs="Calibri" w:eastAsia="Calibri" w:hAnsi="Calibri"/>
                <w:b w:val="false"/>
                <w:bCs w:val="false"/>
                <w:i w:val="false"/>
                <w:iCs w:val="false"/>
                <w:color w:val="000000"/>
                <w:sz w:val="18"/>
                <w:szCs w:val="18"/>
              </w:rPr>
              <w:t xml:space="preserve">Not addressed — stated limitation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6"/>
        <w:szCs w:val="16"/>
      </w:rPr>
      <w:t xml:space="preserve">EGCA Architecture Design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2026-09-29T05:09:31.343Z</dcterms:created>
  <dcterms:modified xsi:type="dcterms:W3CDTF">2026-09-29T05:09:31.350Z</dcterms:modified>
</cp:coreProperties>
</file>

<file path=docProps/custom.xml><?xml version="1.0" encoding="utf-8"?>
<Properties xmlns="http://schemas.openxmlformats.org/officeDocument/2006/custom-properties" xmlns:vt="http://schemas.openxmlformats.org/officeDocument/2006/docPropsVTypes"/>
</file>