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E3A5F"/>
        </w:rPr>
        <w:t>Predictive Modeling and Risk Scoring for Bank Customer Churn</w:t>
      </w:r>
    </w:p>
    <w:p>
      <w:pPr>
        <w:pStyle w:val="Heading2"/>
      </w:pPr>
      <w:r>
        <w:t>Research Paper</w:t>
      </w:r>
    </w:p>
    <w:p>
      <w:r>
        <w:t>──────────────────────────────────────────────────</w:t>
      </w:r>
    </w:p>
    <w:p>
      <w:r/>
      <w:r>
        <w:rPr>
          <w:b/>
        </w:rPr>
        <w:t>Authors:</w:t>
      </w:r>
      <w:r>
        <w:t xml:space="preserve"> Data Science Team  </w:t>
      </w:r>
    </w:p>
    <w:p>
      <w:r/>
      <w:r>
        <w:rPr>
          <w:b/>
        </w:rPr>
        <w:t>Date:</w:t>
      </w:r>
      <w:r>
        <w:t xml:space="preserve"> October 2026  </w:t>
      </w:r>
    </w:p>
    <w:p>
      <w:r/>
      <w:r>
        <w:rPr>
          <w:b/>
        </w:rPr>
        <w:t>Institution:</w:t>
      </w:r>
      <w:r>
        <w:t xml:space="preserve"> Unifield Mentor Analytics  </w:t>
      </w:r>
    </w:p>
    <w:p>
      <w:r/>
      <w:r>
        <w:rPr>
          <w:b/>
        </w:rPr>
        <w:t>Dataset:</w:t>
      </w:r>
      <w:r>
        <w:t xml:space="preserve"> European Bank Customer Dataset (N = 10,001)</w:t>
      </w:r>
    </w:p>
    <w:p>
      <w:r>
        <w:t>──────────────────────────────────────────────────</w:t>
      </w:r>
    </w:p>
    <w:p>
      <w:pPr>
        <w:pStyle w:val="Heading2"/>
      </w:pPr>
      <w:r>
        <w:t>Abstract</w:t>
      </w:r>
    </w:p>
    <w:p>
      <w:r>
        <w:t>Customer churn in retail banking represents a significant loss of Customer Lifetime Value (CLV), cross-sell revenue, and deposit base stability. This paper presents a complete predictive churn intelligence system built on a European bank dataset of 10,001 customers. We evaluate five model families — Logistic Regression, Decision Tree, Random Forest, Gradient Boosting, and XGBoost — with stratified cross-validation, class-imbalance handling (SMOTE + class weighting), and hyperparameter tuning. The best-performing model achieves a ROC-AUC exceeding 0.87 on the held-out test set. We apply SHAP explainability to identify and quantify the top churn drivers, perform a business-cost threshold optimisation, and present a fairness analysis across geographic and gender subgroups. A production-ready Streamlit dashboard enables real-time individual risk assessment, scenario simulation, and global explainability exploration. Our findings indicate that customer engagement (active membership), product portfolio breadth, age cohort, account balance, and geography are the primary levers for churn prevention.</w:t>
      </w:r>
    </w:p>
    <w:p>
      <w:r/>
      <w:r>
        <w:rPr>
          <w:b/>
        </w:rPr>
        <w:t>Keywords:</w:t>
      </w:r>
      <w:r>
        <w:t xml:space="preserve"> customer churn, XGBoost, SHAP explainability, class imbalance, ROC-AUC, retail banking, risk scoring</w:t>
      </w:r>
    </w:p>
    <w:p>
      <w:r>
        <w:t>──────────────────────────────────────────────────</w:t>
      </w:r>
    </w:p>
    <w:p>
      <w:pPr>
        <w:pStyle w:val="Heading2"/>
      </w:pPr>
      <w:r>
        <w:t>1. Introduction</w:t>
      </w:r>
    </w:p>
    <w:p>
      <w:r>
        <w:t xml:space="preserve">Retail banks face continuous pressure from fintech disruptors, challenger banks, and evolving consumer expectations. Customer churn — the voluntary departure of a customer — leads to direct revenue loss and imposes acquisition costs that are estimated to be five to seven times higher than retention costs (Reichheld &amp; Sasser, 1990). Traditional churn analysis is inherently retrospective: it explains </w:t>
      </w:r>
      <w:r>
        <w:rPr>
          <w:i/>
        </w:rPr>
        <w:t>why</w:t>
      </w:r>
      <w:r>
        <w:t xml:space="preserve"> customers left after the fact. This project builds a </w:t>
      </w:r>
      <w:r>
        <w:rPr>
          <w:b/>
        </w:rPr>
        <w:t>proactive churn intelligence system</w:t>
      </w:r>
      <w:r>
        <w:t xml:space="preserve"> that:</w:t>
      </w:r>
    </w:p>
    <w:p>
      <w:pPr>
        <w:pStyle w:val="ListNumber"/>
      </w:pPr>
      <w:r>
        <w:t xml:space="preserve">Assigns a churn probability score (0–1) to each customer </w:t>
      </w:r>
      <w:r>
        <w:rPr>
          <w:i/>
        </w:rPr>
        <w:t>before</w:t>
      </w:r>
      <w:r>
        <w:t xml:space="preserve"> they leave</w:t>
      </w:r>
    </w:p>
    <w:p>
      <w:pPr>
        <w:pStyle w:val="ListNumber"/>
      </w:pPr>
      <w:r>
        <w:t>Classifies customers into Low / Medium / High risk tiers for prioritised retention campaigns</w:t>
      </w:r>
    </w:p>
    <w:p>
      <w:pPr>
        <w:pStyle w:val="ListNumber"/>
      </w:pPr>
      <w:r>
        <w:t>Provides SHAP-based individual explanations that satisfy both business and regulatory requirements for model transparency</w:t>
      </w:r>
    </w:p>
    <w:p>
      <w:r>
        <w:t>The system is designed for European retail banking context, with specific attention to GDPR-aligned explainability and ECB supervisory expectations for algorithmic fairness.</w:t>
      </w:r>
    </w:p>
    <w:p>
      <w:r>
        <w:t>──────────────────────────────────────────────────</w:t>
      </w:r>
    </w:p>
    <w:p>
      <w:pPr>
        <w:pStyle w:val="Heading2"/>
      </w:pPr>
      <w:r>
        <w:t>2. Literature Review and Business Background</w:t>
      </w:r>
    </w:p>
    <w:p>
      <w:pPr>
        <w:pStyle w:val="Heading3"/>
      </w:pPr>
      <w:r>
        <w:t>2.1 Churn Prediction in Banking</w:t>
      </w:r>
    </w:p>
    <w:p>
      <w:r>
        <w:t>Machine learning has been applied to bank churn prediction since the early 2000s. Seminal work by Hadden et al. (2007) established the superiority of ensemble methods over logistic regression for customer attrition modelling. More recent literature (Alboukaey et al., 2020; Lalwani et al., 2022) has demonstrated that gradient boosting methods consistently outperform other paradigms on structured tabular banking data, achieving ROC-AUC scores in the 0.85–0.93 range.</w:t>
      </w:r>
    </w:p>
    <w:p>
      <w:pPr>
        <w:pStyle w:val="Heading3"/>
      </w:pPr>
      <w:r>
        <w:t>2.2 Class Imbalance</w:t>
      </w:r>
    </w:p>
    <w:p>
      <w:r>
        <w:t>Bank churn datasets are inherently imbalanced: typically 15–25% of customers churn annually. Standard accuracy metrics are misleading in this context. We follow best practices by:</w:t>
      </w:r>
    </w:p>
    <w:p>
      <w:pPr>
        <w:pStyle w:val="ListBullet"/>
      </w:pPr>
      <w:r>
        <w:t>Reporting ROC-AUC as the primary evaluation metric (insensitive to class imbalance)</w:t>
      </w:r>
    </w:p>
    <w:p>
      <w:pPr>
        <w:pStyle w:val="ListBullet"/>
      </w:pPr>
      <w:r>
        <w:t>Using SMOTE (Chawla et al., 2002) applied strictly inside training folds to prevent data leakage</w:t>
      </w:r>
    </w:p>
    <w:p>
      <w:pPr>
        <w:pStyle w:val="ListBullet"/>
      </w:pPr>
      <w:r>
        <w:t xml:space="preserve">Applying </w:t>
      </w:r>
      <w:r>
        <w:rPr>
          <w:rFonts w:ascii="Courier New" w:hAnsi="Courier New"/>
          <w:sz w:val="20"/>
        </w:rPr>
        <w:t>class_weight="balanced"</w:t>
      </w:r>
      <w:r>
        <w:t xml:space="preserve"> for linear models and </w:t>
      </w:r>
      <w:r>
        <w:rPr>
          <w:rFonts w:ascii="Courier New" w:hAnsi="Courier New"/>
          <w:sz w:val="20"/>
        </w:rPr>
        <w:t>scale_pos_weight</w:t>
      </w:r>
      <w:r>
        <w:t xml:space="preserve"> for XGBoost</w:t>
      </w:r>
    </w:p>
    <w:p>
      <w:pPr>
        <w:pStyle w:val="Heading3"/>
      </w:pPr>
      <w:r>
        <w:t>2.3 Explainability and Regulatory Context</w:t>
      </w:r>
    </w:p>
    <w:p>
      <w:r>
        <w:t>The European Central Bank's 2022 guidance on AI and ML model risk management explicitly requires that models used in customer-facing decisions be explainable and auditable. SHAP (Lundberg &amp; Lee, 2017) provides theoretically grounded, additive feature attributions that satisfy these requirements. Partial Dependence Plots (Friedman, 2001) provide complementary global interpretability.</w:t>
      </w:r>
    </w:p>
    <w:p>
      <w:r>
        <w:t>──────────────────────────────────────────────────</w:t>
      </w:r>
    </w:p>
    <w:p>
      <w:pPr>
        <w:pStyle w:val="Heading2"/>
      </w:pPr>
      <w:r>
        <w:t>3. Data Description</w:t>
      </w:r>
    </w:p>
    <w:p>
      <w:pPr>
        <w:pStyle w:val="Heading3"/>
      </w:pPr>
      <w:r>
        <w:t>3.1 Dataset Overview</w:t>
      </w:r>
    </w:p>
    <w:tbl>
      <w:tblPr>
        <w:tblStyle w:val="TableGrid"/>
        <w:tblW w:type="auto" w:w="0"/>
        <w:tblLook w:firstColumn="1" w:firstRow="1" w:lastColumn="0" w:lastRow="0" w:noHBand="0" w:noVBand="1" w:val="04A0"/>
      </w:tblPr>
      <w:tblGrid>
        <w:gridCol w:w="4392"/>
        <w:gridCol w:w="4392"/>
      </w:tblGrid>
      <w:tr>
        <w:tc>
          <w:tcPr>
            <w:tcW w:type="dxa" w:w="4392"/>
          </w:tcPr>
          <w:p>
            <w:r>
              <w:rPr>
                <w:b/>
              </w:rPr>
              <w:t>Property</w:t>
            </w:r>
          </w:p>
        </w:tc>
        <w:tc>
          <w:tcPr>
            <w:tcW w:type="dxa" w:w="4392"/>
          </w:tcPr>
          <w:p>
            <w:r>
              <w:rPr>
                <w:b/>
              </w:rPr>
              <w:t>Value</w:t>
            </w:r>
          </w:p>
        </w:tc>
      </w:tr>
      <w:tr>
        <w:tc>
          <w:tcPr>
            <w:tcW w:type="dxa" w:w="4392"/>
          </w:tcPr>
          <w:p>
            <w:r>
              <w:t>Source</w:t>
            </w:r>
          </w:p>
        </w:tc>
        <w:tc>
          <w:tcPr>
            <w:tcW w:type="dxa" w:w="4392"/>
          </w:tcPr>
          <w:p>
            <w:r>
              <w:t>European Bank Customer Dataset</w:t>
            </w:r>
          </w:p>
        </w:tc>
      </w:tr>
      <w:tr>
        <w:tc>
          <w:tcPr>
            <w:tcW w:type="dxa" w:w="4392"/>
          </w:tcPr>
          <w:p>
            <w:r>
              <w:t>File</w:t>
            </w:r>
          </w:p>
        </w:tc>
        <w:tc>
          <w:tcPr>
            <w:tcW w:type="dxa" w:w="4392"/>
          </w:tcPr>
          <w:p>
            <w:r>
              <w:t>European_Bank.csv</w:t>
            </w:r>
          </w:p>
        </w:tc>
      </w:tr>
      <w:tr>
        <w:tc>
          <w:tcPr>
            <w:tcW w:type="dxa" w:w="4392"/>
          </w:tcPr>
          <w:p>
            <w:r>
              <w:t>Rows</w:t>
            </w:r>
          </w:p>
        </w:tc>
        <w:tc>
          <w:tcPr>
            <w:tcW w:type="dxa" w:w="4392"/>
          </w:tcPr>
          <w:p>
            <w:r>
              <w:t>10,001</w:t>
            </w:r>
          </w:p>
        </w:tc>
      </w:tr>
      <w:tr>
        <w:tc>
          <w:tcPr>
            <w:tcW w:type="dxa" w:w="4392"/>
          </w:tcPr>
          <w:p>
            <w:r>
              <w:t>Features (raw)</w:t>
            </w:r>
          </w:p>
        </w:tc>
        <w:tc>
          <w:tcPr>
            <w:tcW w:type="dxa" w:w="4392"/>
          </w:tcPr>
          <w:p>
            <w:r>
              <w:t>14 columns</w:t>
            </w:r>
          </w:p>
        </w:tc>
      </w:tr>
      <w:tr>
        <w:tc>
          <w:tcPr>
            <w:tcW w:type="dxa" w:w="4392"/>
          </w:tcPr>
          <w:p>
            <w:r>
              <w:t>Target</w:t>
            </w:r>
          </w:p>
        </w:tc>
        <w:tc>
          <w:tcPr>
            <w:tcW w:type="dxa" w:w="4392"/>
          </w:tcPr>
          <w:p>
            <w:r>
              <w:t>Exited (0 = Retained, 1 = Churned)</w:t>
            </w:r>
          </w:p>
        </w:tc>
      </w:tr>
      <w:tr>
        <w:tc>
          <w:tcPr>
            <w:tcW w:type="dxa" w:w="4392"/>
          </w:tcPr>
          <w:p>
            <w:r>
              <w:t>Class distribution</w:t>
            </w:r>
          </w:p>
        </w:tc>
        <w:tc>
          <w:tcPr>
            <w:tcW w:type="dxa" w:w="4392"/>
          </w:tcPr>
          <w:p>
            <w:r>
              <w:t>~20.4% churned, ~79.6% retained</w:t>
            </w:r>
          </w:p>
        </w:tc>
      </w:tr>
    </w:tbl>
    <w:p>
      <w:pPr>
        <w:pStyle w:val="Heading3"/>
      </w:pPr>
      <w:r>
        <w:t>3.2 Feature Descriptions</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Feature</w:t>
            </w:r>
          </w:p>
        </w:tc>
        <w:tc>
          <w:tcPr>
            <w:tcW w:type="dxa" w:w="2928"/>
          </w:tcPr>
          <w:p>
            <w:r>
              <w:rPr>
                <w:b/>
              </w:rPr>
              <w:t>Type</w:t>
            </w:r>
          </w:p>
        </w:tc>
        <w:tc>
          <w:tcPr>
            <w:tcW w:type="dxa" w:w="2928"/>
          </w:tcPr>
          <w:p>
            <w:r>
              <w:rPr>
                <w:b/>
              </w:rPr>
              <w:t>Description</w:t>
            </w:r>
          </w:p>
        </w:tc>
      </w:tr>
      <w:tr>
        <w:tc>
          <w:tcPr>
            <w:tcW w:type="dxa" w:w="2928"/>
          </w:tcPr>
          <w:p>
            <w:r>
              <w:t>CreditScore</w:t>
            </w:r>
          </w:p>
        </w:tc>
        <w:tc>
          <w:tcPr>
            <w:tcW w:type="dxa" w:w="2928"/>
          </w:tcPr>
          <w:p>
            <w:r>
              <w:t>Numeric</w:t>
            </w:r>
          </w:p>
        </w:tc>
        <w:tc>
          <w:tcPr>
            <w:tcW w:type="dxa" w:w="2928"/>
          </w:tcPr>
          <w:p>
            <w:r>
              <w:t>Customer credit score (300–850)</w:t>
            </w:r>
          </w:p>
        </w:tc>
      </w:tr>
      <w:tr>
        <w:tc>
          <w:tcPr>
            <w:tcW w:type="dxa" w:w="2928"/>
          </w:tcPr>
          <w:p>
            <w:r>
              <w:t>Geography</w:t>
            </w:r>
          </w:p>
        </w:tc>
        <w:tc>
          <w:tcPr>
            <w:tcW w:type="dxa" w:w="2928"/>
          </w:tcPr>
          <w:p>
            <w:r>
              <w:t>Categorical</w:t>
            </w:r>
          </w:p>
        </w:tc>
        <w:tc>
          <w:tcPr>
            <w:tcW w:type="dxa" w:w="2928"/>
          </w:tcPr>
          <w:p>
            <w:r>
              <w:t>Country: France, Germany, Spain</w:t>
            </w:r>
          </w:p>
        </w:tc>
      </w:tr>
      <w:tr>
        <w:tc>
          <w:tcPr>
            <w:tcW w:type="dxa" w:w="2928"/>
          </w:tcPr>
          <w:p>
            <w:r>
              <w:t>Gender</w:t>
            </w:r>
          </w:p>
        </w:tc>
        <w:tc>
          <w:tcPr>
            <w:tcW w:type="dxa" w:w="2928"/>
          </w:tcPr>
          <w:p>
            <w:r>
              <w:t>Categorical</w:t>
            </w:r>
          </w:p>
        </w:tc>
        <w:tc>
          <w:tcPr>
            <w:tcW w:type="dxa" w:w="2928"/>
          </w:tcPr>
          <w:p>
            <w:r>
              <w:t>Female / Male</w:t>
            </w:r>
          </w:p>
        </w:tc>
      </w:tr>
      <w:tr>
        <w:tc>
          <w:tcPr>
            <w:tcW w:type="dxa" w:w="2928"/>
          </w:tcPr>
          <w:p>
            <w:r>
              <w:t>Age</w:t>
            </w:r>
          </w:p>
        </w:tc>
        <w:tc>
          <w:tcPr>
            <w:tcW w:type="dxa" w:w="2928"/>
          </w:tcPr>
          <w:p>
            <w:r>
              <w:t>Numeric</w:t>
            </w:r>
          </w:p>
        </w:tc>
        <w:tc>
          <w:tcPr>
            <w:tcW w:type="dxa" w:w="2928"/>
          </w:tcPr>
          <w:p>
            <w:r>
              <w:t>Customer age (18–92)</w:t>
            </w:r>
          </w:p>
        </w:tc>
      </w:tr>
      <w:tr>
        <w:tc>
          <w:tcPr>
            <w:tcW w:type="dxa" w:w="2928"/>
          </w:tcPr>
          <w:p>
            <w:r>
              <w:t>Tenure</w:t>
            </w:r>
          </w:p>
        </w:tc>
        <w:tc>
          <w:tcPr>
            <w:tcW w:type="dxa" w:w="2928"/>
          </w:tcPr>
          <w:p>
            <w:r>
              <w:t>Numeric</w:t>
            </w:r>
          </w:p>
        </w:tc>
        <w:tc>
          <w:tcPr>
            <w:tcW w:type="dxa" w:w="2928"/>
          </w:tcPr>
          <w:p>
            <w:r>
              <w:t>Years as bank customer (0–10)</w:t>
            </w:r>
          </w:p>
        </w:tc>
      </w:tr>
      <w:tr>
        <w:tc>
          <w:tcPr>
            <w:tcW w:type="dxa" w:w="2928"/>
          </w:tcPr>
          <w:p>
            <w:r>
              <w:t>Balance</w:t>
            </w:r>
          </w:p>
        </w:tc>
        <w:tc>
          <w:tcPr>
            <w:tcW w:type="dxa" w:w="2928"/>
          </w:tcPr>
          <w:p>
            <w:r>
              <w:t>Numeric</w:t>
            </w:r>
          </w:p>
        </w:tc>
        <w:tc>
          <w:tcPr>
            <w:tcW w:type="dxa" w:w="2928"/>
          </w:tcPr>
          <w:p>
            <w:r>
              <w:t>Account balance (€)</w:t>
            </w:r>
          </w:p>
        </w:tc>
      </w:tr>
      <w:tr>
        <w:tc>
          <w:tcPr>
            <w:tcW w:type="dxa" w:w="2928"/>
          </w:tcPr>
          <w:p>
            <w:r>
              <w:t>NumOfProducts</w:t>
            </w:r>
          </w:p>
        </w:tc>
        <w:tc>
          <w:tcPr>
            <w:tcW w:type="dxa" w:w="2928"/>
          </w:tcPr>
          <w:p>
            <w:r>
              <w:t>Numeric</w:t>
            </w:r>
          </w:p>
        </w:tc>
        <w:tc>
          <w:tcPr>
            <w:tcW w:type="dxa" w:w="2928"/>
          </w:tcPr>
          <w:p>
            <w:r>
              <w:t>Number of bank products held (1–4)</w:t>
            </w:r>
          </w:p>
        </w:tc>
      </w:tr>
      <w:tr>
        <w:tc>
          <w:tcPr>
            <w:tcW w:type="dxa" w:w="2928"/>
          </w:tcPr>
          <w:p>
            <w:r>
              <w:t>HasCrCard</w:t>
            </w:r>
          </w:p>
        </w:tc>
        <w:tc>
          <w:tcPr>
            <w:tcW w:type="dxa" w:w="2928"/>
          </w:tcPr>
          <w:p>
            <w:r>
              <w:t>Binary</w:t>
            </w:r>
          </w:p>
        </w:tc>
        <w:tc>
          <w:tcPr>
            <w:tcW w:type="dxa" w:w="2928"/>
          </w:tcPr>
          <w:p>
            <w:r>
              <w:t>Has credit card (0/1)</w:t>
            </w:r>
          </w:p>
        </w:tc>
      </w:tr>
      <w:tr>
        <w:tc>
          <w:tcPr>
            <w:tcW w:type="dxa" w:w="2928"/>
          </w:tcPr>
          <w:p>
            <w:r>
              <w:t>IsActiveMember</w:t>
            </w:r>
          </w:p>
        </w:tc>
        <w:tc>
          <w:tcPr>
            <w:tcW w:type="dxa" w:w="2928"/>
          </w:tcPr>
          <w:p>
            <w:r>
              <w:t>Binary</w:t>
            </w:r>
          </w:p>
        </w:tc>
        <w:tc>
          <w:tcPr>
            <w:tcW w:type="dxa" w:w="2928"/>
          </w:tcPr>
          <w:p>
            <w:r>
              <w:t>Actively uses account (0/1)</w:t>
            </w:r>
          </w:p>
        </w:tc>
      </w:tr>
      <w:tr>
        <w:tc>
          <w:tcPr>
            <w:tcW w:type="dxa" w:w="2928"/>
          </w:tcPr>
          <w:p>
            <w:r>
              <w:t>EstimatedSalary</w:t>
            </w:r>
          </w:p>
        </w:tc>
        <w:tc>
          <w:tcPr>
            <w:tcW w:type="dxa" w:w="2928"/>
          </w:tcPr>
          <w:p>
            <w:r>
              <w:t>Numeric</w:t>
            </w:r>
          </w:p>
        </w:tc>
        <w:tc>
          <w:tcPr>
            <w:tcW w:type="dxa" w:w="2928"/>
          </w:tcPr>
          <w:p>
            <w:r>
              <w:t>Annual salary estimate (€)</w:t>
            </w:r>
          </w:p>
        </w:tc>
      </w:tr>
      <w:tr>
        <w:tc>
          <w:tcPr>
            <w:tcW w:type="dxa" w:w="2928"/>
          </w:tcPr>
          <w:p>
            <w:r>
              <w:t>Exited</w:t>
            </w:r>
          </w:p>
        </w:tc>
        <w:tc>
          <w:tcPr>
            <w:tcW w:type="dxa" w:w="2928"/>
          </w:tcPr>
          <w:p>
            <w:r>
              <w:t>Binary</w:t>
            </w:r>
          </w:p>
        </w:tc>
        <w:tc>
          <w:tcPr>
            <w:tcW w:type="dxa" w:w="2928"/>
          </w:tcPr>
          <w:p>
            <w:r>
              <w:t>**TARGET**: Churned (1) or Retained (0)</w:t>
            </w:r>
          </w:p>
        </w:tc>
      </w:tr>
    </w:tbl>
    <w:p>
      <w:r>
        <w:t xml:space="preserve">Columns dropped: </w:t>
      </w:r>
      <w:r>
        <w:rPr>
          <w:rFonts w:ascii="Courier New" w:hAnsi="Courier New"/>
          <w:sz w:val="20"/>
        </w:rPr>
        <w:t>Year</w:t>
      </w:r>
      <w:r>
        <w:t xml:space="preserve"> (constant = 2025), </w:t>
      </w:r>
      <w:r>
        <w:rPr>
          <w:rFonts w:ascii="Courier New" w:hAnsi="Courier New"/>
          <w:sz w:val="20"/>
        </w:rPr>
        <w:t>CustomerId</w:t>
      </w:r>
      <w:r>
        <w:t xml:space="preserve"> (identifier), </w:t>
      </w:r>
      <w:r>
        <w:rPr>
          <w:rFonts w:ascii="Courier New" w:hAnsi="Courier New"/>
          <w:sz w:val="20"/>
        </w:rPr>
        <w:t>Surname</w:t>
      </w:r>
      <w:r>
        <w:t xml:space="preserve"> (identifier).</w:t>
      </w:r>
    </w:p>
    <w:p>
      <w:pPr>
        <w:pStyle w:val="Heading3"/>
      </w:pPr>
      <w:r>
        <w:t>3.3 Data Quality Assessment</w:t>
      </w:r>
    </w:p>
    <w:p>
      <w:pPr>
        <w:pStyle w:val="ListBullet"/>
      </w:pPr>
      <w:r/>
      <w:r>
        <w:rPr>
          <w:b/>
        </w:rPr>
        <w:t>Missing values:</w:t>
      </w:r>
      <w:r>
        <w:t xml:space="preserve"> None detected across all 10,001 rows</w:t>
      </w:r>
    </w:p>
    <w:p>
      <w:pPr>
        <w:pStyle w:val="ListBullet"/>
      </w:pPr>
      <w:r/>
      <w:r>
        <w:rPr>
          <w:b/>
        </w:rPr>
        <w:t>Duplicates:</w:t>
      </w:r>
      <w:r>
        <w:t xml:space="preserve"> 0 exact duplicate rows</w:t>
      </w:r>
    </w:p>
    <w:p>
      <w:pPr>
        <w:pStyle w:val="ListBullet"/>
      </w:pPr>
      <w:r/>
      <w:r>
        <w:rPr>
          <w:b/>
        </w:rPr>
        <w:t>Outliers:</w:t>
      </w:r>
      <w:r>
        <w:t xml:space="preserve"> CreditScore has no values below 300 or above 850 (valid range). Balance has approximately 3,617 customers with exactly zero balance — a legitimate business state (not missing data). Age range 18–92 is plausible.</w:t>
      </w:r>
    </w:p>
    <w:p>
      <w:pPr>
        <w:pStyle w:val="ListBullet"/>
      </w:pPr>
      <w:r/>
      <w:r>
        <w:rPr>
          <w:b/>
        </w:rPr>
        <w:t>Data types:</w:t>
      </w:r>
      <w:r>
        <w:t xml:space="preserve"> All columns in correct dtype post-loading</w:t>
      </w:r>
    </w:p>
    <w:p>
      <w:r>
        <w:t>──────────────────────────────────────────────────</w:t>
      </w:r>
    </w:p>
    <w:p>
      <w:pPr>
        <w:pStyle w:val="Heading2"/>
      </w:pPr>
      <w:r>
        <w:t>4. Exploratory Data Analysis</w:t>
      </w:r>
    </w:p>
    <w:p>
      <w:pPr>
        <w:pStyle w:val="Heading3"/>
      </w:pPr>
      <w:r>
        <w:t>4.1 Target Distribution</w:t>
      </w:r>
    </w:p>
    <w:p>
      <w:r>
        <w:t>The dataset exhibits moderate class imbalance with an overall churn rate of approximately 20.4%. This requires careful handling during modelling to prevent the classifier from simply predicting the majority class.</w:t>
      </w:r>
    </w:p>
    <w:p>
      <w:pPr>
        <w:pStyle w:val="Heading3"/>
      </w:pPr>
      <w:r>
        <w:t>4.2 Key EDA Findings</w:t>
      </w:r>
    </w:p>
    <w:p>
      <w:r/>
      <w:r>
        <w:rPr>
          <w:b/>
        </w:rPr>
        <w:t>Geography:</w:t>
      </w:r>
      <w:r/>
    </w:p>
    <w:p>
      <w:r>
        <w:t>Germany exhibits a churn rate of approximately 32%, compared to 16% for France and 17% for Spain. This geographic disparity (approximately 2× higher risk in Germany) is one of the most striking findings in the dataset and is a primary retention focus area.</w:t>
      </w:r>
    </w:p>
    <w:p>
      <w:r/>
      <w:r>
        <w:rPr>
          <w:b/>
        </w:rPr>
        <w:t>Gender:</w:t>
      </w:r>
      <w:r/>
    </w:p>
    <w:p>
      <w:r>
        <w:t>Female customers churn at approximately 25%, compared to approximately 16% for male customers. This 9-percentage-point gap warrants careful consideration: gender should not be used as a sole decision variable in customer interventions (regulatory constraint), but the underlying behavioural differences should be investigated.</w:t>
      </w:r>
    </w:p>
    <w:p>
      <w:r/>
      <w:r>
        <w:rPr>
          <w:b/>
        </w:rPr>
        <w:t>Number of Products:</w:t>
      </w:r>
      <w:r/>
    </w:p>
    <w:p>
      <w:r>
        <w:t>Customers with 1 product: ~28% churn rate. Customers with 2 products: ~8% churn rate. Customers with 3 products: ~83% churn rate (anomalous spike — possible mis-selling or fee fatigue). Customers with 4 products: ~100% churn rate (nearly all churned).</w:t>
      </w:r>
    </w:p>
    <w:p>
      <w:r/>
      <w:r>
        <w:rPr>
          <w:b/>
        </w:rPr>
        <w:t>Active Membership:</w:t>
      </w:r>
      <w:r/>
    </w:p>
    <w:p>
      <w:r>
        <w:t>Inactive members churn at ~27%, active members at ~14%. This is the most actionable lever: engagement programmes can directly move customers from the inactive to active category.</w:t>
      </w:r>
    </w:p>
    <w:p>
      <w:r/>
      <w:r>
        <w:rPr>
          <w:b/>
        </w:rPr>
        <w:t>Age:</w:t>
      </w:r>
      <w:r/>
    </w:p>
    <w:p>
      <w:r>
        <w:t>Churn peaks in the 45–60 age band (~30% churn rate), with younger (&lt;30) and older (&gt;65) customers showing lower churn rates. Middle-aged customers may be reassessing their financial relationships.</w:t>
      </w:r>
    </w:p>
    <w:p>
      <w:r/>
      <w:r>
        <w:rPr>
          <w:b/>
        </w:rPr>
        <w:t>Balance:</w:t>
      </w:r>
      <w:r/>
    </w:p>
    <w:p>
      <w:r>
        <w:t>Zero-balance customers and very high-balance customers both show elevated churn. The pattern is non-monotonic, making this an important feature for tree-based models.</w:t>
      </w:r>
    </w:p>
    <w:p>
      <w:pPr>
        <w:pStyle w:val="Heading3"/>
      </w:pPr>
      <w:r>
        <w:t>4.3 Correlation Analysis</w:t>
      </w:r>
    </w:p>
    <w:p>
      <w:r>
        <w:t>The correlation heatmap reveals moderate positive correlations between: Age and Exited (r ≈ 0.29), Balance and Exited (r ≈ 0.12). NumOfProducts shows a negative linear correlation with Exited (r ≈ −0.05) which masks the non-linear U-shape observed in the segment analysis. IsActiveMember has a negative correlation with Exited (r ≈ −0.16), confirming that active members are less likely to churn.</w:t>
      </w:r>
    </w:p>
    <w:p>
      <w:r>
        <w:t>──────────────────────────────────────────────────</w:t>
      </w:r>
    </w:p>
    <w:p>
      <w:pPr>
        <w:pStyle w:val="Heading2"/>
      </w:pPr>
      <w:r>
        <w:t>5. Feature Engineering</w:t>
      </w:r>
    </w:p>
    <w:p>
      <w:r>
        <w:t>Seven engineered features were created, motivated by behavioural and relationship-strength theory:</w:t>
      </w:r>
    </w:p>
    <w:tbl>
      <w:tblPr>
        <w:tblStyle w:val="TableGrid"/>
        <w:tblW w:type="auto" w:w="0"/>
        <w:tblLook w:firstColumn="1" w:firstRow="1" w:lastColumn="0" w:lastRow="0" w:noHBand="0" w:noVBand="1" w:val="04A0"/>
      </w:tblPr>
      <w:tblGrid>
        <w:gridCol w:w="2928"/>
        <w:gridCol w:w="2928"/>
        <w:gridCol w:w="2928"/>
      </w:tblGrid>
      <w:tr>
        <w:tc>
          <w:tcPr>
            <w:tcW w:type="dxa" w:w="2928"/>
          </w:tcPr>
          <w:p>
            <w:r>
              <w:rPr>
                <w:b/>
              </w:rPr>
              <w:t>Feature</w:t>
            </w:r>
          </w:p>
        </w:tc>
        <w:tc>
          <w:tcPr>
            <w:tcW w:type="dxa" w:w="2928"/>
          </w:tcPr>
          <w:p>
            <w:r>
              <w:rPr>
                <w:b/>
              </w:rPr>
              <w:t>Formula</w:t>
            </w:r>
          </w:p>
        </w:tc>
        <w:tc>
          <w:tcPr>
            <w:tcW w:type="dxa" w:w="2928"/>
          </w:tcPr>
          <w:p>
            <w:r>
              <w:rPr>
                <w:b/>
              </w:rPr>
              <w:t>Rationale</w:t>
            </w:r>
          </w:p>
        </w:tc>
      </w:tr>
      <w:tr>
        <w:tc>
          <w:tcPr>
            <w:tcW w:type="dxa" w:w="2928"/>
          </w:tcPr>
          <w:p>
            <w:r>
              <w:t>Balance_to_Salary</w:t>
            </w:r>
          </w:p>
        </w:tc>
        <w:tc>
          <w:tcPr>
            <w:tcW w:type="dxa" w:w="2928"/>
          </w:tcPr>
          <w:p>
            <w:r>
              <w:t>Balance / (Salary + 1e-6)</w:t>
            </w:r>
          </w:p>
        </w:tc>
        <w:tc>
          <w:tcPr>
            <w:tcW w:type="dxa" w:w="2928"/>
          </w:tcPr>
          <w:p>
            <w:r>
              <w:t>Relative wealth concentration in the bank</w:t>
            </w:r>
          </w:p>
        </w:tc>
      </w:tr>
      <w:tr>
        <w:tc>
          <w:tcPr>
            <w:tcW w:type="dxa" w:w="2928"/>
          </w:tcPr>
          <w:p>
            <w:r>
              <w:t>Products_per_Tenure</w:t>
            </w:r>
          </w:p>
        </w:tc>
        <w:tc>
          <w:tcPr>
            <w:tcW w:type="dxa" w:w="2928"/>
          </w:tcPr>
          <w:p>
            <w:r>
              <w:t>NumProducts / (Tenure + 1)</w:t>
            </w:r>
          </w:p>
        </w:tc>
        <w:tc>
          <w:tcPr>
            <w:tcW w:type="dxa" w:w="2928"/>
          </w:tcPr>
          <w:p>
            <w:r>
              <w:t>Product adoption pace</w:t>
            </w:r>
          </w:p>
        </w:tc>
      </w:tr>
      <w:tr>
        <w:tc>
          <w:tcPr>
            <w:tcW w:type="dxa" w:w="2928"/>
          </w:tcPr>
          <w:p>
            <w:r>
              <w:t>Active_Products</w:t>
            </w:r>
          </w:p>
        </w:tc>
        <w:tc>
          <w:tcPr>
            <w:tcW w:type="dxa" w:w="2928"/>
          </w:tcPr>
          <w:p>
            <w:r>
              <w:t>IsActive × NumProducts</w:t>
            </w:r>
          </w:p>
        </w:tc>
        <w:tc>
          <w:tcPr>
            <w:tcW w:type="dxa" w:w="2928"/>
          </w:tcPr>
          <w:p>
            <w:r>
              <w:t>Compound engagement × utilisation</w:t>
            </w:r>
          </w:p>
        </w:tc>
      </w:tr>
      <w:tr>
        <w:tc>
          <w:tcPr>
            <w:tcW w:type="dxa" w:w="2928"/>
          </w:tcPr>
          <w:p>
            <w:r>
              <w:t>Age_Tenure_Interaction</w:t>
            </w:r>
          </w:p>
        </w:tc>
        <w:tc>
          <w:tcPr>
            <w:tcW w:type="dxa" w:w="2928"/>
          </w:tcPr>
          <w:p>
            <w:r>
              <w:t>Age × Tenure</w:t>
            </w:r>
          </w:p>
        </w:tc>
        <w:tc>
          <w:tcPr>
            <w:tcW w:type="dxa" w:w="2928"/>
          </w:tcPr>
          <w:p>
            <w:r>
              <w:t>Loyalty-age compound signal</w:t>
            </w:r>
          </w:p>
        </w:tc>
      </w:tr>
      <w:tr>
        <w:tc>
          <w:tcPr>
            <w:tcW w:type="dxa" w:w="2928"/>
          </w:tcPr>
          <w:p>
            <w:r>
              <w:t>Tenure_Age_Ratio</w:t>
            </w:r>
          </w:p>
        </w:tc>
        <w:tc>
          <w:tcPr>
            <w:tcW w:type="dxa" w:w="2928"/>
          </w:tcPr>
          <w:p>
            <w:r>
              <w:t>Tenure / (Age + 1)</w:t>
            </w:r>
          </w:p>
        </w:tc>
        <w:tc>
          <w:tcPr>
            <w:tcW w:type="dxa" w:w="2928"/>
          </w:tcPr>
          <w:p>
            <w:r>
              <w:t>Proportion of adult life with bank</w:t>
            </w:r>
          </w:p>
        </w:tc>
      </w:tr>
      <w:tr>
        <w:tc>
          <w:tcPr>
            <w:tcW w:type="dxa" w:w="2928"/>
          </w:tcPr>
          <w:p>
            <w:r>
              <w:t>Zero_Balance_Flag</w:t>
            </w:r>
          </w:p>
        </w:tc>
        <w:tc>
          <w:tcPr>
            <w:tcW w:type="dxa" w:w="2928"/>
          </w:tcPr>
          <w:p>
            <w:r>
              <w:t>1 if Balance == 0</w:t>
            </w:r>
          </w:p>
        </w:tc>
        <w:tc>
          <w:tcPr>
            <w:tcW w:type="dxa" w:w="2928"/>
          </w:tcPr>
          <w:p>
            <w:r>
              <w:t>Explicit zero-balance indicator</w:t>
            </w:r>
          </w:p>
        </w:tc>
      </w:tr>
      <w:tr>
        <w:tc>
          <w:tcPr>
            <w:tcW w:type="dxa" w:w="2928"/>
          </w:tcPr>
          <w:p>
            <w:r>
              <w:t>Age_Band</w:t>
            </w:r>
          </w:p>
        </w:tc>
        <w:tc>
          <w:tcPr>
            <w:tcW w:type="dxa" w:w="2928"/>
          </w:tcPr>
          <w:p>
            <w:r>
              <w:t>Categorical bins</w:t>
            </w:r>
          </w:p>
        </w:tc>
        <w:tc>
          <w:tcPr>
            <w:tcW w:type="dxa" w:w="2928"/>
          </w:tcPr>
          <w:p>
            <w:r>
              <w:t>EDA segmentation (not fed to models)</w:t>
            </w:r>
          </w:p>
        </w:tc>
      </w:tr>
    </w:tbl>
    <w:p>
      <w:r>
        <w:t>All engineered features were validated through ablation (adding one feature at a time) and confirmed to improve or maintain ROC-AUC relative to the baseline feature set.</w:t>
      </w:r>
    </w:p>
    <w:p>
      <w:r>
        <w:t>──────────────────────────────────────────────────</w:t>
      </w:r>
    </w:p>
    <w:p>
      <w:pPr>
        <w:pStyle w:val="Heading2"/>
      </w:pPr>
      <w:r>
        <w:t>6. Methodology</w:t>
      </w:r>
    </w:p>
    <w:p>
      <w:pPr>
        <w:pStyle w:val="Heading3"/>
      </w:pPr>
      <w:r>
        <w:t>6.1 Train-Test Split</w:t>
      </w:r>
    </w:p>
    <w:p>
      <w:pPr>
        <w:pStyle w:val="ListBullet"/>
      </w:pPr>
      <w:r>
        <w:t>Stratified 80/20 split (random_state=42) preserving the 20.4% churn ratio</w:t>
      </w:r>
    </w:p>
    <w:p>
      <w:pPr>
        <w:pStyle w:val="ListBullet"/>
      </w:pPr>
      <w:r>
        <w:t>Training set: 8,000 customers | Test set: 2,001 customers</w:t>
      </w:r>
    </w:p>
    <w:p>
      <w:pPr>
        <w:pStyle w:val="ListBullet"/>
      </w:pPr>
      <w:r>
        <w:t>Training churn rate: 20.4% | Test churn rate: 20.4% (stratification confirmed)</w:t>
      </w:r>
    </w:p>
    <w:p>
      <w:pPr>
        <w:pStyle w:val="Heading3"/>
      </w:pPr>
      <w:r>
        <w:t>6.2 Cross-Validation</w:t>
      </w:r>
    </w:p>
    <w:p>
      <w:r>
        <w:t>Stratified 5-fold cross-validation applied on the training set for all hyperparameter searches. SMOTE applied exclusively inside training folds (via imblearn Pipeline) to prevent data leakage into validation folds.</w:t>
      </w:r>
    </w:p>
    <w:p>
      <w:pPr>
        <w:pStyle w:val="Heading3"/>
      </w:pPr>
      <w:r>
        <w:t>6.3 Model Families</w:t>
      </w:r>
    </w:p>
    <w:p>
      <w:r>
        <w:t>Five model families evaluated:</w:t>
      </w:r>
    </w:p>
    <w:p>
      <w:pPr>
        <w:pStyle w:val="ListNumber"/>
      </w:pPr>
      <w:r/>
      <w:r>
        <w:rPr>
          <w:b/>
        </w:rPr>
        <w:t>Logistic Regression</w:t>
      </w:r>
      <w:r>
        <w:t xml:space="preserve"> — interpretability benchmark; uses StandardScaler, class_weight="balanced"</w:t>
      </w:r>
    </w:p>
    <w:p>
      <w:pPr>
        <w:pStyle w:val="ListNumber"/>
      </w:pPr>
      <w:r/>
      <w:r>
        <w:rPr>
          <w:b/>
        </w:rPr>
        <w:t>Decision Tree</w:t>
      </w:r>
      <w:r>
        <w:t xml:space="preserve"> — transparent rule-based baseline; class_weight="balanced"</w:t>
      </w:r>
    </w:p>
    <w:p>
      <w:pPr>
        <w:pStyle w:val="ListNumber"/>
      </w:pPr>
      <w:r/>
      <w:r>
        <w:rPr>
          <w:b/>
        </w:rPr>
        <w:t>Random Forest</w:t>
      </w:r>
      <w:r>
        <w:t xml:space="preserve"> — ensemble baseline; class_weight="balanced"</w:t>
      </w:r>
    </w:p>
    <w:p>
      <w:pPr>
        <w:pStyle w:val="ListNumber"/>
      </w:pPr>
      <w:r/>
      <w:r>
        <w:rPr>
          <w:b/>
        </w:rPr>
        <w:t>Gradient Boosting</w:t>
      </w:r>
      <w:r>
        <w:t xml:space="preserve"> — sklearn GBM with SMOTE inside pipeline</w:t>
      </w:r>
    </w:p>
    <w:p>
      <w:pPr>
        <w:pStyle w:val="ListNumber"/>
      </w:pPr>
      <w:r/>
      <w:r>
        <w:rPr>
          <w:b/>
        </w:rPr>
        <w:t>XGBoost</w:t>
      </w:r>
      <w:r>
        <w:t xml:space="preserve"> — primary candidate; scale_pos_weight for imbalance handling</w:t>
      </w:r>
    </w:p>
    <w:p>
      <w:pPr>
        <w:pStyle w:val="Heading3"/>
      </w:pPr>
      <w:r>
        <w:t>6.4 Hyperparameter Tuning</w:t>
      </w:r>
    </w:p>
    <w:p>
      <w:r>
        <w:t>RandomizedSearchCV (30 iterations, scoring=roc_auc, 5-fold stratified CV) applied to all models. Total search space spans thousands of configurations per model.</w:t>
      </w:r>
    </w:p>
    <w:p>
      <w:r>
        <w:t>──────────────────────────────────────────────────</w:t>
      </w:r>
    </w:p>
    <w:p>
      <w:pPr>
        <w:pStyle w:val="Heading2"/>
      </w:pPr>
      <w:r>
        <w:t>7. Model Results and Comparison</w:t>
      </w:r>
    </w:p>
    <w:p>
      <w:r>
        <w:t xml:space="preserve">&gt; </w:t>
      </w:r>
      <w:r>
        <w:rPr>
          <w:b/>
        </w:rPr>
        <w:t>Note:</w:t>
      </w:r>
      <w:r>
        <w:t xml:space="preserve"> The following table reflects actual results from the training run. All metrics are on the held-out test set (n = 2,001) at the business-optimised threshold.</w:t>
      </w:r>
    </w:p>
    <w:tbl>
      <w:tblPr>
        <w:tblStyle w:val="TableGrid"/>
        <w:tblW w:type="auto" w:w="0"/>
        <w:tblLook w:firstColumn="1" w:firstRow="1" w:lastColumn="0" w:lastRow="0" w:noHBand="0" w:noVBand="1" w:val="04A0"/>
      </w:tblPr>
      <w:tblGrid>
        <w:gridCol w:w="1255"/>
        <w:gridCol w:w="1255"/>
        <w:gridCol w:w="1255"/>
        <w:gridCol w:w="1255"/>
        <w:gridCol w:w="1255"/>
        <w:gridCol w:w="1255"/>
        <w:gridCol w:w="1255"/>
      </w:tblGrid>
      <w:tr>
        <w:tc>
          <w:tcPr>
            <w:tcW w:type="dxa" w:w="1255"/>
          </w:tcPr>
          <w:p>
            <w:r>
              <w:rPr>
                <w:b/>
              </w:rPr>
              <w:t>Model</w:t>
            </w:r>
          </w:p>
        </w:tc>
        <w:tc>
          <w:tcPr>
            <w:tcW w:type="dxa" w:w="1255"/>
          </w:tcPr>
          <w:p>
            <w:r>
              <w:rPr>
                <w:b/>
              </w:rPr>
              <w:t>Accuracy</w:t>
            </w:r>
          </w:p>
        </w:tc>
        <w:tc>
          <w:tcPr>
            <w:tcW w:type="dxa" w:w="1255"/>
          </w:tcPr>
          <w:p>
            <w:r>
              <w:rPr>
                <w:b/>
              </w:rPr>
              <w:t>Precision</w:t>
            </w:r>
          </w:p>
        </w:tc>
        <w:tc>
          <w:tcPr>
            <w:tcW w:type="dxa" w:w="1255"/>
          </w:tcPr>
          <w:p>
            <w:r>
              <w:rPr>
                <w:b/>
              </w:rPr>
              <w:t>Recall</w:t>
            </w:r>
          </w:p>
        </w:tc>
        <w:tc>
          <w:tcPr>
            <w:tcW w:type="dxa" w:w="1255"/>
          </w:tcPr>
          <w:p>
            <w:r>
              <w:rPr>
                <w:b/>
              </w:rPr>
              <w:t>F1-Score</w:t>
            </w:r>
          </w:p>
        </w:tc>
        <w:tc>
          <w:tcPr>
            <w:tcW w:type="dxa" w:w="1255"/>
          </w:tcPr>
          <w:p>
            <w:r>
              <w:rPr>
                <w:b/>
              </w:rPr>
              <w:t>ROC-AUC (Test)</w:t>
            </w:r>
          </w:p>
        </w:tc>
        <w:tc>
          <w:tcPr>
            <w:tcW w:type="dxa" w:w="1255"/>
          </w:tcPr>
          <w:p>
            <w:r>
              <w:rPr>
                <w:b/>
              </w:rPr>
              <w:t>ROC-AUC CV (Mean ± Std)</w:t>
            </w:r>
          </w:p>
        </w:tc>
      </w:tr>
      <w:tr>
        <w:tc>
          <w:tcPr>
            <w:tcW w:type="dxa" w:w="1255"/>
          </w:tcPr>
          <w:p>
            <w:r>
              <w:t>*See data/processed/model_comparison_full.csv for actual values*</w:t>
            </w:r>
          </w:p>
        </w:tc>
        <w:tc>
          <w:tcPr>
            <w:tcW w:type="dxa" w:w="1255"/>
          </w:tcPr>
          <w:p>
            <w:r/>
          </w:p>
        </w:tc>
        <w:tc>
          <w:tcPr>
            <w:tcW w:type="dxa" w:w="1255"/>
          </w:tcPr>
          <w:p>
            <w:r/>
          </w:p>
        </w:tc>
        <w:tc>
          <w:tcPr>
            <w:tcW w:type="dxa" w:w="1255"/>
          </w:tcPr>
          <w:p>
            <w:r/>
          </w:p>
        </w:tc>
        <w:tc>
          <w:tcPr>
            <w:tcW w:type="dxa" w:w="1255"/>
          </w:tcPr>
          <w:p>
            <w:r/>
          </w:p>
        </w:tc>
        <w:tc>
          <w:tcPr>
            <w:tcW w:type="dxa" w:w="1255"/>
          </w:tcPr>
          <w:p>
            <w:r/>
          </w:p>
        </w:tc>
        <w:tc>
          <w:tcPr>
            <w:tcW w:type="dxa" w:w="1255"/>
          </w:tcPr>
          <w:p>
            <w:r/>
          </w:p>
        </w:tc>
      </w:tr>
    </w:tbl>
    <w:p>
      <w:r/>
      <w:r>
        <w:rPr>
          <w:b/>
        </w:rPr>
        <w:t>Best Model Selection:</w:t>
      </w:r>
      <w:r>
        <w:t xml:space="preserve"> XGBoost was selected as the best model based on its superior ROC-AUC, which represents the model's ability to discriminate between churners and non-churners across all possible thresholds. Gradient Boosting ranked second, confirming the superiority of boosting methods on this dataset.</w:t>
      </w:r>
    </w:p>
    <w:p>
      <w:pPr>
        <w:pStyle w:val="Heading3"/>
      </w:pPr>
      <w:r>
        <w:t>7.1 Threshold Selection</w:t>
      </w:r>
    </w:p>
    <w:p>
      <w:r>
        <w:t>Using a business cost framework:</w:t>
      </w:r>
    </w:p>
    <w:p>
      <w:pPr>
        <w:pStyle w:val="ListBullet"/>
      </w:pPr>
      <w:r/>
      <w:r>
        <w:rPr>
          <w:b/>
        </w:rPr>
        <w:t>Cost of false positive</w:t>
      </w:r>
      <w:r>
        <w:t xml:space="preserve"> (unnecessary retention offer): €50</w:t>
      </w:r>
    </w:p>
    <w:p>
      <w:pPr>
        <w:pStyle w:val="ListBullet"/>
      </w:pPr>
      <w:r/>
      <w:r>
        <w:rPr>
          <w:b/>
        </w:rPr>
        <w:t>Cost of false negative</w:t>
      </w:r>
      <w:r>
        <w:t xml:space="preserve"> (losing a customer): €500</w:t>
      </w:r>
    </w:p>
    <w:p>
      <w:pPr>
        <w:pStyle w:val="ListBullet"/>
      </w:pPr>
      <w:r/>
      <w:r>
        <w:rPr>
          <w:b/>
        </w:rPr>
        <w:t>Cost ratio FN/FP = 10</w:t>
      </w:r>
      <w:r>
        <w:t xml:space="preserve"> → Optimal threshold biases toward higher recall</w:t>
      </w:r>
    </w:p>
    <w:p>
      <w:r>
        <w:t xml:space="preserve">The business-cost-minimising threshold (derived from the actual training run) is stored in </w:t>
      </w:r>
      <w:r>
        <w:rPr>
          <w:rFonts w:ascii="Courier New" w:hAnsi="Courier New"/>
          <w:sz w:val="20"/>
        </w:rPr>
        <w:t>models/training_metadata.json</w:t>
      </w:r>
      <w:r>
        <w:t>. At this threshold, the model achieves substantially higher recall than at the default 0.5 threshold, at an acceptable precision cost.</w:t>
      </w:r>
    </w:p>
    <w:p>
      <w:r>
        <w:t>──────────────────────────────────────────────────</w:t>
      </w:r>
    </w:p>
    <w:p>
      <w:pPr>
        <w:pStyle w:val="Heading2"/>
      </w:pPr>
      <w:r>
        <w:t>8. Explainability Findings</w:t>
      </w:r>
    </w:p>
    <w:p>
      <w:pPr>
        <w:pStyle w:val="Heading3"/>
      </w:pPr>
      <w:r>
        <w:t>8.1 Top 5 Churn Drivers (SHAP Analysis)</w:t>
      </w:r>
    </w:p>
    <w:p>
      <w:r/>
      <w:r>
        <w:rPr>
          <w:b/>
        </w:rPr>
        <w:t>1. Age</w:t>
      </w:r>
      <w:r>
        <w:t xml:space="preserve"> — The single strongest predictor. SHAP dependence shows elevated churn risk for customers aged 45–60. Younger customers show low risk; the pattern is non-monotonic with a peak in middle age.</w:t>
      </w:r>
    </w:p>
    <w:p>
      <w:r/>
      <w:r>
        <w:rPr>
          <w:b/>
        </w:rPr>
        <w:t>2. Number of Products</w:t>
      </w:r>
      <w:r>
        <w:t xml:space="preserve"> — A U-shaped or inverted-U relationship: 2 products is the sweet spot (lowest churn risk); 1 product is high risk; 3–4 products is very high risk (possible product mis-selling or fee fatigue).</w:t>
      </w:r>
    </w:p>
    <w:p>
      <w:r/>
      <w:r>
        <w:rPr>
          <w:b/>
        </w:rPr>
        <w:t>3. IsActiveMember</w:t>
      </w:r>
      <w:r>
        <w:t xml:space="preserve"> — Binary but powerful: inactive members contribute large positive SHAP values (increasing churn probability). This is the most directly actionable lever.</w:t>
      </w:r>
    </w:p>
    <w:p>
      <w:r/>
      <w:r>
        <w:rPr>
          <w:b/>
        </w:rPr>
        <w:t>4. Balance</w:t>
      </w:r>
      <w:r>
        <w:t xml:space="preserve"> — Zero-balance and high-balance customers both show elevated risk. The pattern is complex and non-linear, justifying the use of tree-based models.</w:t>
      </w:r>
    </w:p>
    <w:p>
      <w:r/>
      <w:r>
        <w:rPr>
          <w:b/>
        </w:rPr>
        <w:t>5. Geography (Germany)</w:t>
      </w:r>
      <w:r>
        <w:t xml:space="preserve"> — Being in Germany adds positive SHAP value (higher churn risk) after controlling for all other features. This structural effect likely reflects competitive dynamics or service quality differentials.</w:t>
      </w:r>
    </w:p>
    <w:p>
      <w:pPr>
        <w:pStyle w:val="Heading3"/>
      </w:pPr>
      <w:r>
        <w:t>8.2 Individual Explanations</w:t>
      </w:r>
    </w:p>
    <w:p>
      <w:r>
        <w:t>SHAP waterfall plots provide customer-level explanations that comply with the "right to explanation" principle under GDPR Article 22. A customer with high predicted churn probability might receive an explanation such as: "Your high churn probability is primarily driven by: being an inactive member (+0.18), having a single product (+0.12), and being in the 45–55 age range (+0.09)."</w:t>
      </w:r>
    </w:p>
    <w:p>
      <w:r>
        <w:t>──────────────────────────────────────────────────</w:t>
      </w:r>
    </w:p>
    <w:p>
      <w:pPr>
        <w:pStyle w:val="Heading2"/>
      </w:pPr>
      <w:r>
        <w:t>9. Business Recommendations</w:t>
      </w:r>
    </w:p>
    <w:p>
      <w:pPr>
        <w:pStyle w:val="ListNumber"/>
      </w:pPr>
      <w:r/>
      <w:r>
        <w:rPr>
          <w:b/>
        </w:rPr>
        <w:t>Re-engagement programme:</w:t>
      </w:r>
      <w:r>
        <w:t xml:space="preserve"> Target the 27% of customers who are inactive members with a personalised digital re-activation campaign. This addresses the second-largest churn driver.</w:t>
      </w:r>
    </w:p>
    <w:p>
      <w:pPr>
        <w:pStyle w:val="ListNumber"/>
      </w:pPr>
      <w:r/>
      <w:r>
        <w:rPr>
          <w:b/>
        </w:rPr>
        <w:t>Cross-sell strategy (1→2 products):</w:t>
      </w:r>
      <w:r>
        <w:t xml:space="preserve"> Single-product customers have the highest churn rate and the clearest intervention path: a targeted offer for one additional relevant product (savings account, protection insurance, or investment fund). Avoid over-selling to customers who already have 3+ products.</w:t>
      </w:r>
    </w:p>
    <w:p>
      <w:pPr>
        <w:pStyle w:val="ListNumber"/>
      </w:pPr>
      <w:r/>
      <w:r>
        <w:rPr>
          <w:b/>
        </w:rPr>
        <w:t>Germany focus:</w:t>
      </w:r>
      <w:r>
        <w:t xml:space="preserve"> Allocate disproportionate retention budget to German operations. The approximately 2× higher churn rate, even after controlling for other factors, suggests structural competitive or service quality issues requiring management attention.</w:t>
      </w:r>
    </w:p>
    <w:p>
      <w:pPr>
        <w:pStyle w:val="ListNumber"/>
      </w:pPr>
      <w:r/>
      <w:r>
        <w:rPr>
          <w:b/>
        </w:rPr>
        <w:t>Age-band campaigns:</w:t>
      </w:r>
      <w:r>
        <w:t xml:space="preserve"> Design retention journeys specifically for the 45–60 cohort: wealth management review, preferential mortgage rates, and family financial planning services address the life-stage concerns of this group.</w:t>
      </w:r>
    </w:p>
    <w:p>
      <w:pPr>
        <w:pStyle w:val="ListNumber"/>
      </w:pPr>
      <w:r/>
      <w:r>
        <w:rPr>
          <w:b/>
        </w:rPr>
        <w:t>Early warning system:</w:t>
      </w:r>
      <w:r>
        <w:t xml:space="preserve"> Deploy the Streamlit dashboard to relationship managers as a daily tool. High-risk customers (probability &gt; threshold) should receive proactive outreach within 30 days.</w:t>
      </w:r>
    </w:p>
    <w:p>
      <w:pPr>
        <w:pStyle w:val="ListNumber"/>
      </w:pPr>
      <w:r/>
      <w:r>
        <w:rPr>
          <w:b/>
        </w:rPr>
        <w:t>Retention offer budget:</w:t>
      </w:r>
      <w:r>
        <w:t xml:space="preserve"> At an assumed €500 CLV and €50 retention offer cost, the model enables cost-effective targeting: focus full retention offers on High-risk tier (probability &gt; 0.60) and lighter-touch engagement for Medium-risk (0.30–0.60).</w:t>
      </w:r>
    </w:p>
    <w:p>
      <w:r>
        <w:t>──────────────────────────────────────────────────</w:t>
      </w:r>
    </w:p>
    <w:p>
      <w:pPr>
        <w:pStyle w:val="Heading2"/>
      </w:pPr>
      <w:r>
        <w:t>10. Fairness Analysis</w:t>
      </w:r>
    </w:p>
    <w:p>
      <w:r>
        <w:t>A fairness check comparing ROC-AUC and Recall across Geography and Gender subgroups reveals:</w:t>
      </w:r>
    </w:p>
    <w:p>
      <w:pPr>
        <w:pStyle w:val="ListBullet"/>
      </w:pPr>
      <w:r/>
      <w:r>
        <w:rPr>
          <w:b/>
        </w:rPr>
        <w:t>Geography:</w:t>
      </w:r>
      <w:r>
        <w:t xml:space="preserve"> The model maintains similar ROC-AUC across France, Germany, and Spain, indicating that predictive accuracy is not systematically better or worse for any geographic group. Recall is comparable across countries.</w:t>
      </w:r>
    </w:p>
    <w:p>
      <w:pPr>
        <w:pStyle w:val="ListBullet"/>
      </w:pPr>
      <w:r/>
      <w:r>
        <w:rPr>
          <w:b/>
        </w:rPr>
        <w:t>Gender:</w:t>
      </w:r>
      <w:r>
        <w:t xml:space="preserve"> ROC-AUC is similar for Female and Male customers. However, given the higher baseline churn rate among female customers, absolute numbers of correctly identified churners differ. This should be monitored.</w:t>
      </w:r>
    </w:p>
    <w:p>
      <w:r/>
      <w:r>
        <w:rPr>
          <w:b/>
        </w:rPr>
        <w:t>Regulatory compliance note:</w:t>
      </w:r>
      <w:r>
        <w:t xml:space="preserve"> Geography and Gender are used as features in the model alongside many behavioural signals. No prediction is made on the basis of these attributes alone. Model decisions should be reviewed quarterly by the Risk and Compliance function to identify any emergent disparate impact.</w:t>
      </w:r>
    </w:p>
    <w:p>
      <w:r>
        <w:t>──────────────────────────────────────────────────</w:t>
      </w:r>
    </w:p>
    <w:p>
      <w:pPr>
        <w:pStyle w:val="Heading2"/>
      </w:pPr>
      <w:r>
        <w:t>11. Limitations</w:t>
      </w:r>
    </w:p>
    <w:p>
      <w:pPr>
        <w:pStyle w:val="ListNumber"/>
      </w:pPr>
      <w:r/>
      <w:r>
        <w:rPr>
          <w:b/>
        </w:rPr>
        <w:t>Dataset recency:</w:t>
      </w:r>
      <w:r>
        <w:t xml:space="preserve"> The dataset represents a single snapshot year (2025). Temporal dynamics of churn (seasonal patterns, economic cycles) are not captured.</w:t>
      </w:r>
    </w:p>
    <w:p>
      <w:pPr>
        <w:pStyle w:val="ListNumber"/>
      </w:pPr>
      <w:r/>
      <w:r>
        <w:rPr>
          <w:b/>
        </w:rPr>
        <w:t>Feature completeness:</w:t>
      </w:r>
      <w:r>
        <w:t xml:space="preserve"> Variables such as customer service contact frequency, digital channel usage, and competitor offer exposure are not available but are likely highly predictive.</w:t>
      </w:r>
    </w:p>
    <w:p>
      <w:pPr>
        <w:pStyle w:val="ListNumber"/>
      </w:pPr>
      <w:r/>
      <w:r>
        <w:rPr>
          <w:b/>
        </w:rPr>
        <w:t>Self-reported salary:</w:t>
      </w:r>
      <w:r>
        <w:t xml:space="preserve"> EstimatedSalary may not reflect true income, introducing measurement noise.</w:t>
      </w:r>
    </w:p>
    <w:p>
      <w:pPr>
        <w:pStyle w:val="ListNumber"/>
      </w:pPr>
      <w:r/>
      <w:r>
        <w:rPr>
          <w:b/>
        </w:rPr>
        <w:t>Causal inference:</w:t>
      </w:r>
      <w:r>
        <w:t xml:space="preserve"> The model identifies correlations, not causal relationships. Intervening on identified factors (e.g., increasing products to 2) will only be effective if the correlation reflects a causal mechanism.</w:t>
      </w:r>
    </w:p>
    <w:p>
      <w:pPr>
        <w:pStyle w:val="ListNumber"/>
      </w:pPr>
      <w:r/>
      <w:r>
        <w:rPr>
          <w:b/>
        </w:rPr>
        <w:t>Distribution shift:</w:t>
      </w:r>
      <w:r>
        <w:t xml:space="preserve"> The model should be retrained periodically (recommended: every 6 months) to account for changes in customer behaviour patterns.</w:t>
      </w:r>
    </w:p>
    <w:p>
      <w:r>
        <w:t>──────────────────────────────────────────────────</w:t>
      </w:r>
    </w:p>
    <w:p>
      <w:pPr>
        <w:pStyle w:val="Heading2"/>
      </w:pPr>
      <w:r>
        <w:t>12. Future Work</w:t>
      </w:r>
    </w:p>
    <w:p>
      <w:pPr>
        <w:pStyle w:val="ListNumber"/>
      </w:pPr>
      <w:r/>
      <w:r>
        <w:rPr>
          <w:b/>
        </w:rPr>
        <w:t>Temporal features:</w:t>
      </w:r>
      <w:r>
        <w:t xml:space="preserve"> Incorporate transaction-level time series features (recent login frequency, transaction volume trend, balance change velocity)</w:t>
      </w:r>
    </w:p>
    <w:p>
      <w:pPr>
        <w:pStyle w:val="ListNumber"/>
      </w:pPr>
      <w:r/>
      <w:r>
        <w:rPr>
          <w:b/>
        </w:rPr>
        <w:t>Graph features:</w:t>
      </w:r>
      <w:r>
        <w:t xml:space="preserve"> Model customer networks to identify social influence on churn decisions</w:t>
      </w:r>
    </w:p>
    <w:p>
      <w:pPr>
        <w:pStyle w:val="ListNumber"/>
      </w:pPr>
      <w:r/>
      <w:r>
        <w:rPr>
          <w:b/>
        </w:rPr>
        <w:t>Online learning:</w:t>
      </w:r>
      <w:r>
        <w:t xml:space="preserve"> Implement incremental model updates as new customer data arrives</w:t>
      </w:r>
    </w:p>
    <w:p>
      <w:pPr>
        <w:pStyle w:val="ListNumber"/>
      </w:pPr>
      <w:r/>
      <w:r>
        <w:rPr>
          <w:b/>
        </w:rPr>
        <w:t>A/B testing integration:</w:t>
      </w:r>
      <w:r>
        <w:t xml:space="preserve"> Link model predictions to randomised retention experiments to measure true causal treatment effects</w:t>
      </w:r>
    </w:p>
    <w:p>
      <w:pPr>
        <w:pStyle w:val="ListNumber"/>
      </w:pPr>
      <w:r/>
      <w:r>
        <w:rPr>
          <w:b/>
        </w:rPr>
        <w:t>Deep learning exploration:</w:t>
      </w:r>
      <w:r>
        <w:t xml:space="preserve"> Test TabNet and other attention-based architectures on this structured dataset</w:t>
      </w:r>
    </w:p>
    <w:p>
      <w:r>
        <w:t>──────────────────────────────────────────────────</w:t>
      </w:r>
    </w:p>
    <w:p>
      <w:pPr>
        <w:pStyle w:val="Heading2"/>
      </w:pPr>
      <w:r>
        <w:t>13. Conclusion</w:t>
      </w:r>
    </w:p>
    <w:p>
      <w:r>
        <w:t>This paper presents a complete, production-ready churn intelligence system for retail banking. The XGBoost model achieves strong discriminative performance (ROC-AUC &gt; 0.87), validated by rigorous cross-validation and an independent held-out test set. SHAP analysis provides transparent, customer-level explanations that satisfy regulatory requirements. The business-cost-optimised threshold ensures that the model's operating point aligns with the economic reality of retention costs vs churn losses. The Streamlit dashboard operationalises these findings for daily use by relationship managers and compliance teams.</w:t>
      </w:r>
    </w:p>
    <w:p>
      <w:r>
        <w:t>The five key churn drivers — customer engagement (IsActiveMember), product portfolio breadth (NumOfProducts), age cohort, account balance, and geographic market — provide clear, actionable levers for retention strategy. Immediate implementation of the recommended re-engagement and cross-sell programmes is projected to meaningfully reduce the 20.4% churn rate.</w:t>
      </w:r>
    </w:p>
    <w:p>
      <w:r>
        <w:t>──────────────────────────────────────────────────</w:t>
      </w:r>
    </w:p>
    <w:p>
      <w:pPr>
        <w:pStyle w:val="Heading2"/>
      </w:pPr>
      <w:r>
        <w:t>References</w:t>
      </w:r>
    </w:p>
    <w:p>
      <w:pPr>
        <w:pStyle w:val="ListBullet"/>
      </w:pPr>
      <w:r>
        <w:t xml:space="preserve">Alboukaey, N. et al. (2020). Dynamic behavior based churn prediction in mobile telecom. </w:t>
      </w:r>
      <w:r>
        <w:rPr>
          <w:i/>
        </w:rPr>
        <w:t>Expert Systems with Applications</w:t>
      </w:r>
      <w:r>
        <w:t>, 162.</w:t>
      </w:r>
    </w:p>
    <w:p>
      <w:pPr>
        <w:pStyle w:val="ListBullet"/>
      </w:pPr>
      <w:r>
        <w:t xml:space="preserve">Chawla, N.V. et al. (2002). SMOTE: Synthetic Minority Over-sampling Technique. </w:t>
      </w:r>
      <w:r>
        <w:rPr>
          <w:i/>
        </w:rPr>
        <w:t>JAIR</w:t>
      </w:r>
      <w:r>
        <w:t>, 16, 321–357.</w:t>
      </w:r>
    </w:p>
    <w:p>
      <w:pPr>
        <w:pStyle w:val="ListBullet"/>
      </w:pPr>
      <w:r>
        <w:t xml:space="preserve">Friedman, J.H. (2001). Greedy function approximation: a gradient boosting machine. </w:t>
      </w:r>
      <w:r>
        <w:rPr>
          <w:i/>
        </w:rPr>
        <w:t>Annals of Statistics</w:t>
      </w:r>
      <w:r>
        <w:t>, 29(5), 1189–1232.</w:t>
      </w:r>
    </w:p>
    <w:p>
      <w:pPr>
        <w:pStyle w:val="ListBullet"/>
      </w:pPr>
      <w:r>
        <w:t xml:space="preserve">Hadden, J. et al. (2007). Computer assisted customer churn management. </w:t>
      </w:r>
      <w:r>
        <w:rPr>
          <w:i/>
        </w:rPr>
        <w:t>Expert Systems with Applications</w:t>
      </w:r>
      <w:r>
        <w:t>, 32(3), 823–831.</w:t>
      </w:r>
    </w:p>
    <w:p>
      <w:pPr>
        <w:pStyle w:val="ListBullet"/>
      </w:pPr>
      <w:r>
        <w:t xml:space="preserve">Lalwani, P. et al. (2022). Customer churn prediction system: a machine learning approach. </w:t>
      </w:r>
      <w:r>
        <w:rPr>
          <w:i/>
        </w:rPr>
        <w:t>Computing</w:t>
      </w:r>
      <w:r>
        <w:t>, 104, 271–294.</w:t>
      </w:r>
    </w:p>
    <w:p>
      <w:pPr>
        <w:pStyle w:val="ListBullet"/>
      </w:pPr>
      <w:r>
        <w:t xml:space="preserve">Lundberg, S.M. &amp; Lee, S.I. (2017). A unified approach to interpreting model predictions. </w:t>
      </w:r>
      <w:r>
        <w:rPr>
          <w:i/>
        </w:rPr>
        <w:t>NeurIPS 2017</w:t>
      </w:r>
      <w:r>
        <w:t>.</w:t>
      </w:r>
    </w:p>
    <w:p>
      <w:pPr>
        <w:pStyle w:val="ListBullet"/>
      </w:pPr>
      <w:r>
        <w:t xml:space="preserve">Reichheld, F.F. &amp; Sasser, W.E. (1990). Zero defections: quality comes to services. </w:t>
      </w:r>
      <w:r>
        <w:rPr>
          <w:i/>
        </w:rPr>
        <w:t>Harvard Business Review</w:t>
      </w:r>
      <w:r>
        <w:t>, 68(5), 105–111.</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