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Northbridge Inbound Deal-Triage Agent</w:t>
      </w:r>
    </w:p>
    <w:p>
      <w:r>
        <w:t>A growth-equity fund receives far more inbound teasers than analysts can carefully read. Most are quick "no"s — wrong sector, geography, stage, or size — but they still consume attention, and the occasional trap slips through: a deck whose numbers contradict themselves, or a company already in the pipeline under a different banker.</w:t>
      </w:r>
    </w:p>
    <w:p>
      <w:r>
        <w:rPr>
          <w:b/>
        </w:rPr>
        <w:t xml:space="preserve">What the human can now do. </w:t>
      </w:r>
      <w:r>
        <w:t>An Investments team member triages a stack of inbound deals in minutes instead of an afternoon. Each deal arrives pre-read, screened against the mandate with citations, cross-checked against the pipeline, and sorted into Pursue / Pass / Needs-review — so their attention goes to judgment calls, not filtering.</w:t>
      </w:r>
    </w:p>
    <w:p>
      <w:r>
        <w:rPr>
          <w:b/>
        </w:rPr>
        <w:t xml:space="preserve">What the AI owns. </w:t>
      </w:r>
      <w:r>
        <w:t>Reading each document (including image-only decks, via vision); extracting the facts; catching internal contradictions (ARR on page 2 ≠ page 5); grounding every gate in the mandate (Azure AI Search); checking the pipeline for duplicates (Azure Cosmos DB); and recommending a decision with per-gate reasoning.</w:t>
      </w:r>
    </w:p>
    <w:p>
      <w:r>
        <w:rPr>
          <w:b/>
        </w:rPr>
        <w:t xml:space="preserve">Where the AI stops. </w:t>
      </w:r>
      <w:r>
        <w:t>It never advances or declines a deal. Every recommendation pauses for a human, who confirms or overrides; only then is the decision written to the pipeline record. The decision rules live in code, not the model.</w:t>
      </w:r>
    </w:p>
    <w:p>
      <w:r>
        <w:rPr>
          <w:b/>
        </w:rPr>
        <w:t xml:space="preserve">What breaks first at 10× volume. </w:t>
      </w:r>
      <w:r>
        <w:t>Model latency (~30s/deal, serial) — fixable with batched, concurrent extraction. Then duplicate detection: matching on a normalized company name is brittle, so real scale needs entity resolution — a company shopped under a subtly different name would slip the check.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