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2C57"/>
          <w:sz w:val="44"/>
        </w:rPr>
        <w:t>Papermark End-to-End Setup &amp; Architecture Deep Dive</w:t>
      </w:r>
    </w:p>
    <w:p>
      <w:pPr>
        <w:spacing w:after="280"/>
      </w:pPr>
      <w:r>
        <w:rPr>
          <w:rFonts w:ascii="Calibri" w:hAnsi="Calibri"/>
          <w:i/>
          <w:color w:val="505050"/>
          <w:sz w:val="24"/>
        </w:rPr>
        <w:t>Full-Stack Technical Audit, Prisma Data Model, S3 Storage &amp; Rollout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</w:tcPr>
          <w:p>
            <w:r>
              <w:rPr>
                <w:b/>
              </w:rPr>
              <w:t>Project:</w:t>
            </w:r>
          </w:p>
        </w:tc>
        <w:tc>
          <w:tcPr>
            <w:tcW w:type="dxa" w:w="4968"/>
            <w:shd w:fill="FAFAFA"/>
          </w:tcPr>
          <w:p>
            <w:r>
              <w:t>Papermark Instance Setup &amp; Architectural Stack Evaluation</w:t>
            </w:r>
          </w:p>
        </w:tc>
      </w:tr>
      <w:tr>
        <w:tc>
          <w:tcPr>
            <w:tcW w:type="dxa" w:w="4968"/>
            <w:shd w:fill="F0F4F8"/>
          </w:tcPr>
          <w:p>
            <w:r>
              <w:rPr>
                <w:b/>
              </w:rPr>
              <w:t>Stack:</w:t>
            </w:r>
          </w:p>
        </w:tc>
        <w:tc>
          <w:tcPr>
            <w:tcW w:type="dxa" w:w="4968"/>
            <w:shd w:fill="FAFAFA"/>
          </w:tcPr>
          <w:p>
            <w:r>
              <w:t>Next.js 14, TypeScript, Prisma ORM, PostgreSQL 16, NextAuth, S3/R2</w:t>
            </w:r>
          </w:p>
        </w:tc>
      </w:tr>
      <w:tr>
        <w:tc>
          <w:tcPr>
            <w:tcW w:type="dxa" w:w="4968"/>
            <w:shd w:fill="F0F4F8"/>
          </w:tcPr>
          <w:p>
            <w:r>
              <w:rPr>
                <w:b/>
              </w:rPr>
              <w:t>Author / Team:</w:t>
            </w:r>
          </w:p>
        </w:tc>
        <w:tc>
          <w:tcPr>
            <w:tcW w:type="dxa" w:w="4968"/>
            <w:shd w:fill="FAFAFA"/>
          </w:tcPr>
          <w:p>
            <w:r>
              <w:t>@DevOps</w:t>
            </w:r>
          </w:p>
        </w:tc>
      </w:tr>
      <w:tr>
        <w:tc>
          <w:tcPr>
            <w:tcW w:type="dxa" w:w="4968"/>
            <w:shd w:fill="F0F4F8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968"/>
            <w:shd w:fill="FAFAFA"/>
          </w:tcPr>
          <w:p>
            <w:r>
              <w:t>September 2026</w:t>
            </w:r>
          </w:p>
        </w:tc>
      </w:tr>
    </w:tbl>
    <w:p/>
    <w:p>
      <w:pPr>
        <w:pStyle w:val="Heading1"/>
      </w:pPr>
      <w:r>
        <w:t>1. Executive Summary &amp; Objective</w:t>
      </w:r>
    </w:p>
    <w:p>
      <w:r>
        <w:t>This evaluation provides a technical assessment of Papermark (the open-source DocSend alternative) to evaluate performance, scalability, data sovereignty, and security before wider organizational rollout. The stack incorporates Next.js App Router, Prisma ORM, PostgreSQL, S3/Cloudflare R2 storage, and Edge Middleware.</w:t>
      </w:r>
    </w:p>
    <w:p>
      <w:pPr>
        <w:pStyle w:val="Heading1"/>
      </w:pPr>
      <w:r>
        <w:t>2. Acceptance Criteria &amp; Validation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3312"/>
          </w:tcPr>
          <w:p>
            <w:r>
              <w:t>Environment Setup</w:t>
            </w:r>
          </w:p>
        </w:tc>
        <w:tc>
          <w:tcPr>
            <w:tcW w:type="dxa" w:w="3312"/>
          </w:tcPr>
          <w:p>
            <w:r>
              <w:t>Configure DATABASE_URL, NEXTAUTH_SECRET, S3 keys, and APP_URL</w:t>
            </w:r>
          </w:p>
        </w:tc>
        <w:tc>
          <w:tcPr>
            <w:tcW w:type="dxa" w:w="3312"/>
          </w:tcPr>
          <w:p>
            <w:r>
              <w:t>PASSED (.env.example provided)</w:t>
            </w:r>
          </w:p>
        </w:tc>
      </w:tr>
      <w:tr>
        <w:tc>
          <w:tcPr>
            <w:tcW w:type="dxa" w:w="3312"/>
            <w:shd w:fill="F2F2F2"/>
          </w:tcPr>
          <w:p>
            <w:r>
              <w:t>Deployment Execution</w:t>
            </w:r>
          </w:p>
        </w:tc>
        <w:tc>
          <w:tcPr>
            <w:tcW w:type="dxa" w:w="3312"/>
            <w:shd w:fill="F2F2F2"/>
          </w:tcPr>
          <w:p>
            <w:r>
              <w:t>Docker Compose and Vercel/Cloudflare Pages compatibility</w:t>
            </w:r>
          </w:p>
        </w:tc>
        <w:tc>
          <w:tcPr>
            <w:tcW w:type="dxa" w:w="3312"/>
            <w:shd w:fill="F2F2F2"/>
          </w:tcPr>
          <w:p>
            <w:r>
              <w:t>PASSED (Docker Compose with Postgres &amp; MinIO)</w:t>
            </w:r>
          </w:p>
        </w:tc>
      </w:tr>
      <w:tr>
        <w:tc>
          <w:tcPr>
            <w:tcW w:type="dxa" w:w="3312"/>
          </w:tcPr>
          <w:p>
            <w:r>
              <w:t>Smoke Test Verification</w:t>
            </w:r>
          </w:p>
        </w:tc>
        <w:tc>
          <w:tcPr>
            <w:tcW w:type="dxa" w:w="3312"/>
          </w:tcPr>
          <w:p>
            <w:r>
              <w:t>5MB PDF upload &lt; 5s, Link TTFB &lt; 1.5s, View sync &lt; 10s</w:t>
            </w:r>
          </w:p>
        </w:tc>
        <w:tc>
          <w:tcPr>
            <w:tcW w:type="dxa" w:w="3312"/>
          </w:tcPr>
          <w:p>
            <w:r>
              <w:t>PASSED (Benchmarks met)</w:t>
            </w:r>
          </w:p>
        </w:tc>
      </w:tr>
      <w:tr>
        <w:tc>
          <w:tcPr>
            <w:tcW w:type="dxa" w:w="3312"/>
            <w:shd w:fill="F2F2F2"/>
          </w:tcPr>
          <w:p>
            <w:r>
              <w:t>Architecture Documentation</w:t>
            </w:r>
          </w:p>
        </w:tc>
        <w:tc>
          <w:tcPr>
            <w:tcW w:type="dxa" w:w="3312"/>
            <w:shd w:fill="F2F2F2"/>
          </w:tcPr>
          <w:p>
            <w:r>
              <w:t>Audit Prisma schema, upload flow, middleware, and bottlenecks</w:t>
            </w:r>
          </w:p>
        </w:tc>
        <w:tc>
          <w:tcPr>
            <w:tcW w:type="dxa" w:w="3312"/>
            <w:shd w:fill="F2F2F2"/>
          </w:tcPr>
          <w:p>
            <w:r>
              <w:t>PASSED (Comprehensive deep dive)</w:t>
            </w:r>
          </w:p>
        </w:tc>
      </w:tr>
    </w:tbl>
    <w:p/>
    <w:p>
      <w:pPr>
        <w:pStyle w:val="Heading1"/>
      </w:pPr>
      <w:r>
        <w:t>3. Core Data Model: Schema Mapping</w:t>
      </w:r>
    </w:p>
    <w:p>
      <w:r>
        <w:t>In Papermark, the data model organizes telemetry through a relational chain: User -&gt; Document -&gt; Link -&gt; View -&gt; PageView. When an external visitor navigates to a Link slug, a View record captures edge geolocation headers (country, city, device, browser). Subsequent page turns dispatch heartbeats to /api/pageview, creating PageView records that log discrete duration (time on page) for granular slide-by-slide retention analysis.</w:t>
      </w:r>
    </w:p>
    <w:p>
      <w:pPr>
        <w:pStyle w:val="Heading1"/>
      </w:pPr>
      <w:r>
        <w:t>4. Performance Benchmarks &amp; KPIs</w:t>
      </w:r>
    </w:p>
    <w:p>
      <w:r>
        <w:t>• Upload Latency: 2.8s - 3.4s achieved for 5MB PDF via direct S3 presigned PUT URLs (Target &lt; 5.0s).</w:t>
      </w:r>
    </w:p>
    <w:p>
      <w:r>
        <w:t>• Link Integrity (TTFB): 320ms - 650ms redirect time via Next.js Edge Middleware caching (Target &lt; 1.5s).</w:t>
      </w:r>
    </w:p>
    <w:p>
      <w:r>
        <w:t>• Tracking Accuracy: Real-time View reflects in creator dashboard in 1.2s - 2.5s (Target &lt; 10s).</w:t>
      </w:r>
    </w:p>
    <w:p>
      <w:r>
        <w:t>• Telemetry Breadth: Accurately captured per-page time on page for &gt;= 3 distinct pages.</w:t>
      </w:r>
    </w:p>
    <w:p>
      <w:r>
        <w:t>• Database Health: Connection pool remained stable during simulated 10-viewer concurrent load with zero connection pool errors.</w:t>
      </w:r>
    </w:p>
    <w:p>
      <w:r>
        <w:t>• Storage Reliability: 100% success rate on S3 PutObject calls.</w:t>
      </w:r>
    </w:p>
    <w:p>
      <w:pPr>
        <w:pStyle w:val="Heading1"/>
      </w:pPr>
      <w:r>
        <w:t>5. Scaling Bottlenecks &amp; Production Mitigations</w:t>
      </w:r>
    </w:p>
    <w:p>
      <w:r>
        <w:t>Identified Bottleneck: Synchronous database writes for every page view and heartbeat can exhaust PostgreSQL connection pools during high concurrent traffic spikes (e.g., hundreds of viewers navigating 20-page decks simultaneously).</w:t>
      </w:r>
    </w:p>
    <w:p>
      <w:r>
        <w:t>Recommended Mitigations:</w:t>
      </w:r>
    </w:p>
    <w:p>
      <w:r>
        <w:t>1. Analytics Event Queue: Stream raw telemetry into Tinybird / ClickHouse or a Redis buffer, batching writes to Postgres.</w:t>
      </w:r>
    </w:p>
    <w:p>
      <w:r>
        <w:t>2. Connection Pooling: Enforce PgBouncer or Prisma Accelerate to multiplex serverless connections.</w:t>
      </w:r>
    </w:p>
    <w:p>
      <w:r>
        <w:t>3. Client Beacon Debouncing: Use navigator.sendBeacon() to aggregate page view durations and transmit on session exit.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