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0F766E"/>
          <w:sz w:val="60"/>
        </w:rPr>
        <w:t>SAFE LOAN CHECK</w:t>
      </w:r>
    </w:p>
    <w:p>
      <w:pPr>
        <w:jc w:val="center"/>
      </w:pPr>
      <w:r>
        <w:rPr>
          <w:b/>
          <w:color w:val="111827"/>
          <w:sz w:val="44"/>
        </w:rPr>
        <w:t>30-Participant Pilot Study Pack</w:t>
      </w:r>
    </w:p>
    <w:p>
      <w:pPr>
        <w:jc w:val="center"/>
      </w:pPr>
      <w:r>
        <w:rPr>
          <w:color w:val="4B5563"/>
          <w:sz w:val="24"/>
        </w:rPr>
        <w:t>Pre-test • Tool Use • Post-test • Usability</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center"/>
            <w:shd w:fill="0F766E"/>
          </w:tcPr>
          <w:p>
            <w:pPr>
              <w:spacing w:after="0"/>
            </w:pPr>
            <w:r>
              <w:rPr>
                <w:rFonts w:ascii="Aptos" w:hAnsi="Aptos"/>
                <w:b/>
                <w:color w:val="FFFFFF"/>
                <w:sz w:val="19"/>
              </w:rPr>
              <w:t>Participants</w:t>
            </w:r>
          </w:p>
        </w:tc>
        <w:tc>
          <w:tcPr>
            <w:tcW w:type="dxa" w:w="5112"/>
            <w:tcMar>
              <w:top w:w="80" w:type="dxa"/>
              <w:start w:w="80" w:type="dxa"/>
              <w:bottom w:w="80" w:type="dxa"/>
              <w:end w:w="80" w:type="dxa"/>
            </w:tcMar>
            <w:vAlign w:val="center"/>
            <w:shd w:fill="0F766E"/>
          </w:tcPr>
          <w:p>
            <w:pPr>
              <w:spacing w:after="0"/>
            </w:pPr>
            <w:r>
              <w:rPr>
                <w:rFonts w:ascii="Aptos" w:hAnsi="Aptos"/>
                <w:b/>
                <w:color w:val="FFFFFF"/>
                <w:sz w:val="19"/>
              </w:rPr>
              <w:t>30 student volunteers</w:t>
            </w:r>
          </w:p>
        </w:tc>
      </w:tr>
      <w:tr>
        <w:tc>
          <w:tcPr>
            <w:tcW w:type="dxa" w:w="5112"/>
            <w:tcMar>
              <w:top w:w="80" w:type="dxa"/>
              <w:start w:w="80" w:type="dxa"/>
              <w:bottom w:w="80" w:type="dxa"/>
              <w:end w:w="80" w:type="dxa"/>
            </w:tcMar>
            <w:vAlign w:val="center"/>
          </w:tcPr>
          <w:p>
            <w:pPr>
              <w:spacing w:after="0"/>
            </w:pPr>
            <w:r>
              <w:rPr>
                <w:rFonts w:ascii="Aptos" w:hAnsi="Aptos"/>
                <w:sz w:val="19"/>
              </w:rPr>
              <w:t>Time</w:t>
            </w:r>
          </w:p>
        </w:tc>
        <w:tc>
          <w:tcPr>
            <w:tcW w:type="dxa" w:w="5112"/>
            <w:tcMar>
              <w:top w:w="80" w:type="dxa"/>
              <w:start w:w="80" w:type="dxa"/>
              <w:bottom w:w="80" w:type="dxa"/>
              <w:end w:w="80" w:type="dxa"/>
            </w:tcMar>
            <w:vAlign w:val="center"/>
          </w:tcPr>
          <w:p>
            <w:pPr>
              <w:spacing w:after="0"/>
            </w:pPr>
            <w:r>
              <w:rPr>
                <w:rFonts w:ascii="Aptos" w:hAnsi="Aptos"/>
                <w:sz w:val="19"/>
              </w:rPr>
              <w:t>Approx. 25–35 minutes per participant</w:t>
            </w:r>
          </w:p>
        </w:tc>
      </w:tr>
      <w:tr>
        <w:tc>
          <w:tcPr>
            <w:tcW w:type="dxa" w:w="5112"/>
            <w:tcMar>
              <w:top w:w="80" w:type="dxa"/>
              <w:start w:w="80" w:type="dxa"/>
              <w:bottom w:w="80" w:type="dxa"/>
              <w:end w:w="80" w:type="dxa"/>
            </w:tcMar>
            <w:vAlign w:val="center"/>
          </w:tcPr>
          <w:p>
            <w:pPr>
              <w:spacing w:after="0"/>
            </w:pPr>
            <w:r>
              <w:rPr>
                <w:rFonts w:ascii="Aptos" w:hAnsi="Aptos"/>
                <w:sz w:val="19"/>
              </w:rPr>
              <w:t>Identity</w:t>
            </w:r>
          </w:p>
        </w:tc>
        <w:tc>
          <w:tcPr>
            <w:tcW w:type="dxa" w:w="5112"/>
            <w:tcMar>
              <w:top w:w="80" w:type="dxa"/>
              <w:start w:w="80" w:type="dxa"/>
              <w:bottom w:w="80" w:type="dxa"/>
              <w:end w:w="80" w:type="dxa"/>
            </w:tcMar>
            <w:vAlign w:val="center"/>
          </w:tcPr>
          <w:p>
            <w:pPr>
              <w:spacing w:after="0"/>
            </w:pPr>
            <w:r>
              <w:rPr>
                <w:rFonts w:ascii="Aptos" w:hAnsi="Aptos"/>
                <w:sz w:val="19"/>
              </w:rPr>
              <w:t>Use Participant IDs only (P01–P30)</w:t>
            </w:r>
          </w:p>
        </w:tc>
      </w:tr>
      <w:tr>
        <w:tc>
          <w:tcPr>
            <w:tcW w:type="dxa" w:w="5112"/>
            <w:tcMar>
              <w:top w:w="80" w:type="dxa"/>
              <w:start w:w="80" w:type="dxa"/>
              <w:bottom w:w="80" w:type="dxa"/>
              <w:end w:w="80" w:type="dxa"/>
            </w:tcMar>
            <w:vAlign w:val="center"/>
          </w:tcPr>
          <w:p>
            <w:pPr>
              <w:spacing w:after="0"/>
            </w:pPr>
            <w:r>
              <w:rPr>
                <w:rFonts w:ascii="Aptos" w:hAnsi="Aptos"/>
                <w:sz w:val="19"/>
              </w:rPr>
              <w:t>Purpose</w:t>
            </w:r>
          </w:p>
        </w:tc>
        <w:tc>
          <w:tcPr>
            <w:tcW w:type="dxa" w:w="5112"/>
            <w:tcMar>
              <w:top w:w="80" w:type="dxa"/>
              <w:start w:w="80" w:type="dxa"/>
              <w:bottom w:w="80" w:type="dxa"/>
              <w:end w:w="80" w:type="dxa"/>
            </w:tcMar>
            <w:vAlign w:val="center"/>
          </w:tcPr>
          <w:p>
            <w:pPr>
              <w:spacing w:after="0"/>
            </w:pPr>
            <w:r>
              <w:rPr>
                <w:rFonts w:ascii="Aptos" w:hAnsi="Aptos"/>
                <w:sz w:val="19"/>
              </w:rPr>
              <w:t>Measure whether Safe Loan Check improves risk identification and loan-cost understanding</w:t>
            </w:r>
          </w:p>
        </w:tc>
      </w:tr>
    </w:tbl>
    <w:p>
      <w:pPr>
        <w:jc w:val="both"/>
      </w:pPr>
      <w:r>
        <w:t>This pilot follows the project guide: 10-item pre-test, 15–20 minutes with the tool, a different 10-item post-test, and measurement of risk-classification accuracy, cost-estimate accuracy, confidence and usability. Results must be reported honestly even if improvement is weak or negative.</w:t>
      </w:r>
    </w:p>
    <w:p>
      <w:r>
        <w:br w:type="page"/>
      </w:r>
    </w:p>
    <w:p>
      <w:pPr>
        <w:pStyle w:val="Heading1"/>
      </w:pPr>
      <w:r>
        <w:t>1. Researcher Protocol</w:t>
      </w:r>
    </w:p>
    <w:tbl>
      <w:tblPr>
        <w:tblStyle w:val="TableGrid"/>
        <w:tblW w:type="auto" w:w="0"/>
        <w:jc w:val="center"/>
        <w:tblLook w:firstColumn="1" w:firstRow="1" w:lastColumn="0" w:lastRow="0" w:noHBand="0" w:noVBand="1" w:val="04A0"/>
      </w:tblPr>
      <w:tblGrid>
        <w:gridCol w:w="3408"/>
        <w:gridCol w:w="3408"/>
        <w:gridCol w:w="3408"/>
      </w:tblGrid>
      <w:tr>
        <w:tc>
          <w:tcPr>
            <w:tcW w:type="dxa" w:w="3408"/>
            <w:tcMar>
              <w:top w:w="80" w:type="dxa"/>
              <w:start w:w="80" w:type="dxa"/>
              <w:bottom w:w="80" w:type="dxa"/>
              <w:end w:w="80" w:type="dxa"/>
            </w:tcMar>
            <w:vAlign w:val="center"/>
            <w:shd w:fill="0F766E"/>
          </w:tcPr>
          <w:p>
            <w:pPr>
              <w:spacing w:after="0"/>
            </w:pPr>
            <w:r>
              <w:rPr>
                <w:rFonts w:ascii="Aptos" w:hAnsi="Aptos"/>
                <w:b/>
                <w:color w:val="FFFFFF"/>
                <w:sz w:val="19"/>
              </w:rPr>
              <w:t>Step</w:t>
            </w:r>
          </w:p>
        </w:tc>
        <w:tc>
          <w:tcPr>
            <w:tcW w:type="dxa" w:w="3408"/>
            <w:tcMar>
              <w:top w:w="80" w:type="dxa"/>
              <w:start w:w="80" w:type="dxa"/>
              <w:bottom w:w="80" w:type="dxa"/>
              <w:end w:w="80" w:type="dxa"/>
            </w:tcMar>
            <w:vAlign w:val="center"/>
            <w:shd w:fill="0F766E"/>
          </w:tcPr>
          <w:p>
            <w:pPr>
              <w:spacing w:after="0"/>
            </w:pPr>
            <w:r>
              <w:rPr>
                <w:rFonts w:ascii="Aptos" w:hAnsi="Aptos"/>
                <w:b/>
                <w:color w:val="FFFFFF"/>
                <w:sz w:val="19"/>
              </w:rPr>
              <w:t>Stage</w:t>
            </w:r>
          </w:p>
        </w:tc>
        <w:tc>
          <w:tcPr>
            <w:tcW w:type="dxa" w:w="3408"/>
            <w:tcMar>
              <w:top w:w="80" w:type="dxa"/>
              <w:start w:w="80" w:type="dxa"/>
              <w:bottom w:w="80" w:type="dxa"/>
              <w:end w:w="80" w:type="dxa"/>
            </w:tcMar>
            <w:vAlign w:val="center"/>
            <w:shd w:fill="0F766E"/>
          </w:tcPr>
          <w:p>
            <w:pPr>
              <w:spacing w:after="0"/>
            </w:pPr>
            <w:r>
              <w:rPr>
                <w:rFonts w:ascii="Aptos" w:hAnsi="Aptos"/>
                <w:b/>
                <w:color w:val="FFFFFF"/>
                <w:sz w:val="19"/>
              </w:rPr>
              <w:t>What to do</w:t>
            </w:r>
          </w:p>
        </w:tc>
      </w:tr>
      <w:tr>
        <w:tc>
          <w:tcPr>
            <w:tcW w:type="dxa" w:w="3408"/>
            <w:tcMar>
              <w:top w:w="80" w:type="dxa"/>
              <w:start w:w="80" w:type="dxa"/>
              <w:bottom w:w="80" w:type="dxa"/>
              <w:end w:w="80" w:type="dxa"/>
            </w:tcMar>
            <w:vAlign w:val="center"/>
          </w:tcPr>
          <w:p>
            <w:pPr>
              <w:spacing w:after="0"/>
            </w:pPr>
            <w:r>
              <w:rPr>
                <w:rFonts w:ascii="Aptos" w:hAnsi="Aptos"/>
                <w:sz w:val="19"/>
              </w:rPr>
              <w:t>1</w:t>
            </w:r>
          </w:p>
        </w:tc>
        <w:tc>
          <w:tcPr>
            <w:tcW w:type="dxa" w:w="3408"/>
            <w:tcMar>
              <w:top w:w="80" w:type="dxa"/>
              <w:start w:w="80" w:type="dxa"/>
              <w:bottom w:w="80" w:type="dxa"/>
              <w:end w:w="80" w:type="dxa"/>
            </w:tcMar>
            <w:vAlign w:val="center"/>
          </w:tcPr>
          <w:p>
            <w:pPr>
              <w:spacing w:after="0"/>
            </w:pPr>
            <w:r>
              <w:rPr>
                <w:rFonts w:ascii="Aptos" w:hAnsi="Aptos"/>
                <w:sz w:val="19"/>
              </w:rPr>
              <w:t>Consent</w:t>
            </w:r>
          </w:p>
        </w:tc>
        <w:tc>
          <w:tcPr>
            <w:tcW w:type="dxa" w:w="3408"/>
            <w:tcMar>
              <w:top w:w="80" w:type="dxa"/>
              <w:start w:w="80" w:type="dxa"/>
              <w:bottom w:w="80" w:type="dxa"/>
              <w:end w:w="80" w:type="dxa"/>
            </w:tcMar>
            <w:vAlign w:val="center"/>
          </w:tcPr>
          <w:p>
            <w:pPr>
              <w:spacing w:after="0"/>
            </w:pPr>
            <w:r>
              <w:rPr>
                <w:rFonts w:ascii="Aptos" w:hAnsi="Aptos"/>
                <w:sz w:val="19"/>
              </w:rPr>
              <w:t>Explain that participation is voluntary, anonymous, and for an academic project. Do not collect names, phone numbers, bank details or the participant’s real loan amount.</w:t>
            </w:r>
          </w:p>
        </w:tc>
      </w:tr>
      <w:tr>
        <w:tc>
          <w:tcPr>
            <w:tcW w:type="dxa" w:w="3408"/>
            <w:tcMar>
              <w:top w:w="80" w:type="dxa"/>
              <w:start w:w="80" w:type="dxa"/>
              <w:bottom w:w="80" w:type="dxa"/>
              <w:end w:w="80" w:type="dxa"/>
            </w:tcMar>
            <w:vAlign w:val="center"/>
          </w:tcPr>
          <w:p>
            <w:pPr>
              <w:spacing w:after="0"/>
            </w:pPr>
            <w:r>
              <w:rPr>
                <w:rFonts w:ascii="Aptos" w:hAnsi="Aptos"/>
                <w:sz w:val="19"/>
              </w:rPr>
              <w:t>2</w:t>
            </w:r>
          </w:p>
        </w:tc>
        <w:tc>
          <w:tcPr>
            <w:tcW w:type="dxa" w:w="3408"/>
            <w:tcMar>
              <w:top w:w="80" w:type="dxa"/>
              <w:start w:w="80" w:type="dxa"/>
              <w:bottom w:w="80" w:type="dxa"/>
              <w:end w:w="80" w:type="dxa"/>
            </w:tcMar>
            <w:vAlign w:val="center"/>
          </w:tcPr>
          <w:p>
            <w:pPr>
              <w:spacing w:after="0"/>
            </w:pPr>
            <w:r>
              <w:rPr>
                <w:rFonts w:ascii="Aptos" w:hAnsi="Aptos"/>
                <w:sz w:val="19"/>
              </w:rPr>
              <w:t>Pre-test</w:t>
            </w:r>
          </w:p>
        </w:tc>
        <w:tc>
          <w:tcPr>
            <w:tcW w:type="dxa" w:w="3408"/>
            <w:tcMar>
              <w:top w:w="80" w:type="dxa"/>
              <w:start w:w="80" w:type="dxa"/>
              <w:bottom w:w="80" w:type="dxa"/>
              <w:end w:w="80" w:type="dxa"/>
            </w:tcMar>
            <w:vAlign w:val="center"/>
          </w:tcPr>
          <w:p>
            <w:pPr>
              <w:spacing w:after="0"/>
            </w:pPr>
            <w:r>
              <w:rPr>
                <w:rFonts w:ascii="Aptos" w:hAnsi="Aptos"/>
                <w:sz w:val="19"/>
              </w:rPr>
              <w:t>Give the participant the 10 app items below. Ask them to mark each as Lower concern or Higher concern. Then ask them to estimate total repayable for the two sample loan offers and rate confidence from 1–5.</w:t>
            </w:r>
          </w:p>
        </w:tc>
      </w:tr>
      <w:tr>
        <w:tc>
          <w:tcPr>
            <w:tcW w:type="dxa" w:w="3408"/>
            <w:tcMar>
              <w:top w:w="80" w:type="dxa"/>
              <w:start w:w="80" w:type="dxa"/>
              <w:bottom w:w="80" w:type="dxa"/>
              <w:end w:w="80" w:type="dxa"/>
            </w:tcMar>
            <w:vAlign w:val="center"/>
          </w:tcPr>
          <w:p>
            <w:pPr>
              <w:spacing w:after="0"/>
            </w:pPr>
            <w:r>
              <w:rPr>
                <w:rFonts w:ascii="Aptos" w:hAnsi="Aptos"/>
                <w:sz w:val="19"/>
              </w:rPr>
              <w:t>3</w:t>
            </w:r>
          </w:p>
        </w:tc>
        <w:tc>
          <w:tcPr>
            <w:tcW w:type="dxa" w:w="3408"/>
            <w:tcMar>
              <w:top w:w="80" w:type="dxa"/>
              <w:start w:w="80" w:type="dxa"/>
              <w:bottom w:w="80" w:type="dxa"/>
              <w:end w:w="80" w:type="dxa"/>
            </w:tcMar>
            <w:vAlign w:val="center"/>
          </w:tcPr>
          <w:p>
            <w:pPr>
              <w:spacing w:after="0"/>
            </w:pPr>
            <w:r>
              <w:rPr>
                <w:rFonts w:ascii="Aptos" w:hAnsi="Aptos"/>
                <w:sz w:val="19"/>
              </w:rPr>
              <w:t>Intervention</w:t>
            </w:r>
          </w:p>
        </w:tc>
        <w:tc>
          <w:tcPr>
            <w:tcW w:type="dxa" w:w="3408"/>
            <w:tcMar>
              <w:top w:w="80" w:type="dxa"/>
              <w:start w:w="80" w:type="dxa"/>
              <w:bottom w:w="80" w:type="dxa"/>
              <w:end w:w="80" w:type="dxa"/>
            </w:tcMar>
            <w:vAlign w:val="center"/>
          </w:tcPr>
          <w:p>
            <w:pPr>
              <w:spacing w:after="0"/>
            </w:pPr>
            <w:r>
              <w:rPr>
                <w:rFonts w:ascii="Aptos" w:hAnsi="Aptos"/>
                <w:sz w:val="19"/>
              </w:rPr>
              <w:t>Allow the participant to use Safe Loan Check for 15–20 minutes. Let them inspect the directory result, ML risk signal, public listing evidence, APR/affordability section and Decision Layer.</w:t>
            </w:r>
          </w:p>
        </w:tc>
      </w:tr>
      <w:tr>
        <w:tc>
          <w:tcPr>
            <w:tcW w:type="dxa" w:w="3408"/>
            <w:tcMar>
              <w:top w:w="80" w:type="dxa"/>
              <w:start w:w="80" w:type="dxa"/>
              <w:bottom w:w="80" w:type="dxa"/>
              <w:end w:w="80" w:type="dxa"/>
            </w:tcMar>
            <w:vAlign w:val="center"/>
          </w:tcPr>
          <w:p>
            <w:pPr>
              <w:spacing w:after="0"/>
            </w:pPr>
            <w:r>
              <w:rPr>
                <w:rFonts w:ascii="Aptos" w:hAnsi="Aptos"/>
                <w:sz w:val="19"/>
              </w:rPr>
              <w:t>4</w:t>
            </w:r>
          </w:p>
        </w:tc>
        <w:tc>
          <w:tcPr>
            <w:tcW w:type="dxa" w:w="3408"/>
            <w:tcMar>
              <w:top w:w="80" w:type="dxa"/>
              <w:start w:w="80" w:type="dxa"/>
              <w:bottom w:w="80" w:type="dxa"/>
              <w:end w:w="80" w:type="dxa"/>
            </w:tcMar>
            <w:vAlign w:val="center"/>
          </w:tcPr>
          <w:p>
            <w:pPr>
              <w:spacing w:after="0"/>
            </w:pPr>
            <w:r>
              <w:rPr>
                <w:rFonts w:ascii="Aptos" w:hAnsi="Aptos"/>
                <w:sz w:val="19"/>
              </w:rPr>
              <w:t>Post-test</w:t>
            </w:r>
          </w:p>
        </w:tc>
        <w:tc>
          <w:tcPr>
            <w:tcW w:type="dxa" w:w="3408"/>
            <w:tcMar>
              <w:top w:w="80" w:type="dxa"/>
              <w:start w:w="80" w:type="dxa"/>
              <w:bottom w:w="80" w:type="dxa"/>
              <w:end w:w="80" w:type="dxa"/>
            </w:tcMar>
            <w:vAlign w:val="center"/>
          </w:tcPr>
          <w:p>
            <w:pPr>
              <w:spacing w:after="0"/>
            </w:pPr>
            <w:r>
              <w:rPr>
                <w:rFonts w:ascii="Aptos" w:hAnsi="Aptos"/>
                <w:sz w:val="19"/>
              </w:rPr>
              <w:t>Use the different 10-item set below. Repeat the two cost estimates and confidence rating.</w:t>
            </w:r>
          </w:p>
        </w:tc>
      </w:tr>
      <w:tr>
        <w:tc>
          <w:tcPr>
            <w:tcW w:type="dxa" w:w="3408"/>
            <w:tcMar>
              <w:top w:w="80" w:type="dxa"/>
              <w:start w:w="80" w:type="dxa"/>
              <w:bottom w:w="80" w:type="dxa"/>
              <w:end w:w="80" w:type="dxa"/>
            </w:tcMar>
            <w:vAlign w:val="center"/>
          </w:tcPr>
          <w:p>
            <w:pPr>
              <w:spacing w:after="0"/>
            </w:pPr>
            <w:r>
              <w:rPr>
                <w:rFonts w:ascii="Aptos" w:hAnsi="Aptos"/>
                <w:sz w:val="19"/>
              </w:rPr>
              <w:t>5</w:t>
            </w:r>
          </w:p>
        </w:tc>
        <w:tc>
          <w:tcPr>
            <w:tcW w:type="dxa" w:w="3408"/>
            <w:tcMar>
              <w:top w:w="80" w:type="dxa"/>
              <w:start w:w="80" w:type="dxa"/>
              <w:bottom w:w="80" w:type="dxa"/>
              <w:end w:w="80" w:type="dxa"/>
            </w:tcMar>
            <w:vAlign w:val="center"/>
          </w:tcPr>
          <w:p>
            <w:pPr>
              <w:spacing w:after="0"/>
            </w:pPr>
            <w:r>
              <w:rPr>
                <w:rFonts w:ascii="Aptos" w:hAnsi="Aptos"/>
                <w:sz w:val="19"/>
              </w:rPr>
              <w:t>Usability</w:t>
            </w:r>
          </w:p>
        </w:tc>
        <w:tc>
          <w:tcPr>
            <w:tcW w:type="dxa" w:w="3408"/>
            <w:tcMar>
              <w:top w:w="80" w:type="dxa"/>
              <w:start w:w="80" w:type="dxa"/>
              <w:bottom w:w="80" w:type="dxa"/>
              <w:end w:w="80" w:type="dxa"/>
            </w:tcMar>
            <w:vAlign w:val="center"/>
          </w:tcPr>
          <w:p>
            <w:pPr>
              <w:spacing w:after="0"/>
            </w:pPr>
            <w:r>
              <w:rPr>
                <w:rFonts w:ascii="Aptos" w:hAnsi="Aptos"/>
                <w:sz w:val="19"/>
              </w:rPr>
              <w:t>Ask for a 1–5 usability rating and one short comment about what was clear or confusing.</w:t>
            </w:r>
          </w:p>
        </w:tc>
      </w:tr>
      <w:tr>
        <w:tc>
          <w:tcPr>
            <w:tcW w:type="dxa" w:w="3408"/>
            <w:tcMar>
              <w:top w:w="80" w:type="dxa"/>
              <w:start w:w="80" w:type="dxa"/>
              <w:bottom w:w="80" w:type="dxa"/>
              <w:end w:w="80" w:type="dxa"/>
            </w:tcMar>
            <w:vAlign w:val="center"/>
          </w:tcPr>
          <w:p>
            <w:pPr>
              <w:spacing w:after="0"/>
            </w:pPr>
            <w:r>
              <w:rPr>
                <w:rFonts w:ascii="Aptos" w:hAnsi="Aptos"/>
                <w:sz w:val="19"/>
              </w:rPr>
              <w:t>6</w:t>
            </w:r>
          </w:p>
        </w:tc>
        <w:tc>
          <w:tcPr>
            <w:tcW w:type="dxa" w:w="3408"/>
            <w:tcMar>
              <w:top w:w="80" w:type="dxa"/>
              <w:start w:w="80" w:type="dxa"/>
              <w:bottom w:w="80" w:type="dxa"/>
              <w:end w:w="80" w:type="dxa"/>
            </w:tcMar>
            <w:vAlign w:val="center"/>
          </w:tcPr>
          <w:p>
            <w:pPr>
              <w:spacing w:after="0"/>
            </w:pPr>
            <w:r>
              <w:rPr>
                <w:rFonts w:ascii="Aptos" w:hAnsi="Aptos"/>
                <w:sz w:val="19"/>
              </w:rPr>
              <w:t>Scoring</w:t>
            </w:r>
          </w:p>
        </w:tc>
        <w:tc>
          <w:tcPr>
            <w:tcW w:type="dxa" w:w="3408"/>
            <w:tcMar>
              <w:top w:w="80" w:type="dxa"/>
              <w:start w:w="80" w:type="dxa"/>
              <w:bottom w:w="80" w:type="dxa"/>
              <w:end w:w="80" w:type="dxa"/>
            </w:tcMar>
            <w:vAlign w:val="center"/>
          </w:tcPr>
          <w:p>
            <w:pPr>
              <w:spacing w:after="0"/>
            </w:pPr>
            <w:r>
              <w:rPr>
                <w:rFonts w:ascii="Aptos" w:hAnsi="Aptos"/>
                <w:sz w:val="19"/>
              </w:rPr>
              <w:t>Enter answers in the Pilot Scoring Tracker. The workbook calculates risk accuracy and pre/post improvement. Do not add synthetic participant rows.</w:t>
            </w:r>
          </w:p>
        </w:tc>
      </w:tr>
    </w:tbl>
    <w:p>
      <w:r>
        <w:rPr>
          <w:b/>
        </w:rPr>
        <w:t xml:space="preserve">Responsible-use note: </w:t>
      </w:r>
      <w:r>
        <w:t>The pilot labels are project research labels for evaluation only. Safe Loan Check does not determine legality, RBI approval, or suitability for a borrower.</w:t>
      </w:r>
    </w:p>
    <w:p>
      <w:pPr>
        <w:pStyle w:val="Heading1"/>
      </w:pPr>
      <w:r>
        <w:t>2. Participant Consent</w:t>
      </w:r>
    </w:p>
    <w:p>
      <w:r>
        <w:t>Participant ID: ____________________    Date: ____________________</w:t>
      </w:r>
    </w:p>
    <w:p>
      <w:pPr>
        <w:spacing w:after="80"/>
      </w:pPr>
      <w:r>
        <w:rPr>
          <w:sz w:val="21"/>
        </w:rPr>
        <w:t>☐ I understand that this is an academic pilot of Safe Loan Check.</w:t>
      </w:r>
    </w:p>
    <w:p>
      <w:pPr>
        <w:spacing w:after="80"/>
      </w:pPr>
      <w:r>
        <w:rPr>
          <w:sz w:val="21"/>
        </w:rPr>
        <w:t>☐ I understand that participation is voluntary and I may stop at any time.</w:t>
      </w:r>
    </w:p>
    <w:p>
      <w:pPr>
        <w:spacing w:after="80"/>
      </w:pPr>
      <w:r>
        <w:rPr>
          <w:sz w:val="21"/>
        </w:rPr>
        <w:t>☐ I understand that no name, phone number, bank detail, Aadhaar number or personal loan amount is required.</w:t>
      </w:r>
    </w:p>
    <w:p>
      <w:pPr>
        <w:spacing w:after="80"/>
      </w:pPr>
      <w:r>
        <w:rPr>
          <w:sz w:val="21"/>
        </w:rPr>
        <w:t>☐ I agree that my anonymous scores may be used in the project report.</w:t>
      </w:r>
    </w:p>
    <w:p>
      <w:r>
        <w:t>Participant confirmation/signature (optional for your institution): ______________________________</w:t>
      </w:r>
    </w:p>
    <w:p>
      <w:pPr>
        <w:pStyle w:val="Heading1"/>
      </w:pPr>
      <w:r>
        <w:t>3. Pre-test — Before Using Safe Loan Check</w:t>
      </w:r>
    </w:p>
    <w:p>
      <w:r>
        <w:t>For each item, choose one answer. “Lower concern” and “Higher concern” are pilot choices, not legal conclusions.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Mar>
              <w:top w:w="80" w:type="dxa"/>
              <w:start w:w="80" w:type="dxa"/>
              <w:bottom w:w="80" w:type="dxa"/>
              <w:end w:w="80" w:type="dxa"/>
            </w:tcMar>
            <w:vAlign w:val="center"/>
            <w:shd w:fill="0F766E"/>
          </w:tcPr>
          <w:p>
            <w:pPr>
              <w:spacing w:after="0"/>
            </w:pPr>
            <w:r>
              <w:rPr>
                <w:rFonts w:ascii="Aptos" w:hAnsi="Aptos"/>
                <w:b/>
                <w:color w:val="FFFFFF"/>
                <w:sz w:val="19"/>
              </w:rPr>
              <w:t>Q</w:t>
            </w:r>
          </w:p>
        </w:tc>
        <w:tc>
          <w:tcPr>
            <w:tcW w:type="dxa" w:w="2556"/>
            <w:tcMar>
              <w:top w:w="80" w:type="dxa"/>
              <w:start w:w="80" w:type="dxa"/>
              <w:bottom w:w="80" w:type="dxa"/>
              <w:end w:w="80" w:type="dxa"/>
            </w:tcMar>
            <w:vAlign w:val="center"/>
            <w:shd w:fill="0F766E"/>
          </w:tcPr>
          <w:p>
            <w:pPr>
              <w:spacing w:after="0"/>
            </w:pPr>
            <w:r>
              <w:rPr>
                <w:rFonts w:ascii="Aptos" w:hAnsi="Aptos"/>
                <w:b/>
                <w:color w:val="FFFFFF"/>
                <w:sz w:val="19"/>
              </w:rPr>
              <w:t>App / item</w:t>
            </w:r>
          </w:p>
        </w:tc>
        <w:tc>
          <w:tcPr>
            <w:tcW w:type="dxa" w:w="2556"/>
            <w:tcMar>
              <w:top w:w="80" w:type="dxa"/>
              <w:start w:w="80" w:type="dxa"/>
              <w:bottom w:w="80" w:type="dxa"/>
              <w:end w:w="80" w:type="dxa"/>
            </w:tcMar>
            <w:vAlign w:val="center"/>
            <w:shd w:fill="0F766E"/>
          </w:tcPr>
          <w:p>
            <w:pPr>
              <w:spacing w:after="0"/>
            </w:pPr>
            <w:r>
              <w:rPr>
                <w:rFonts w:ascii="Aptos" w:hAnsi="Aptos"/>
                <w:b/>
                <w:color w:val="FFFFFF"/>
                <w:sz w:val="19"/>
              </w:rPr>
              <w:t>Lower concern</w:t>
            </w:r>
          </w:p>
        </w:tc>
        <w:tc>
          <w:tcPr>
            <w:tcW w:type="dxa" w:w="2556"/>
            <w:tcMar>
              <w:top w:w="80" w:type="dxa"/>
              <w:start w:w="80" w:type="dxa"/>
              <w:bottom w:w="80" w:type="dxa"/>
              <w:end w:w="80" w:type="dxa"/>
            </w:tcMar>
            <w:vAlign w:val="center"/>
            <w:shd w:fill="0F766E"/>
          </w:tcPr>
          <w:p>
            <w:pPr>
              <w:spacing w:after="0"/>
            </w:pPr>
            <w:r>
              <w:rPr>
                <w:rFonts w:ascii="Aptos" w:hAnsi="Aptos"/>
                <w:b/>
                <w:color w:val="FFFFFF"/>
                <w:sz w:val="19"/>
              </w:rPr>
              <w:t>Higher concern</w:t>
            </w:r>
          </w:p>
        </w:tc>
      </w:tr>
      <w:tr>
        <w:tc>
          <w:tcPr>
            <w:tcW w:type="dxa" w:w="2556"/>
            <w:tcMar>
              <w:top w:w="80" w:type="dxa"/>
              <w:start w:w="80" w:type="dxa"/>
              <w:bottom w:w="80" w:type="dxa"/>
              <w:end w:w="80" w:type="dxa"/>
            </w:tcMar>
            <w:vAlign w:val="center"/>
          </w:tcPr>
          <w:p>
            <w:pPr>
              <w:spacing w:after="0"/>
            </w:pPr>
            <w:r>
              <w:rPr>
                <w:rFonts w:ascii="Aptos" w:hAnsi="Aptos"/>
                <w:sz w:val="19"/>
              </w:rPr>
              <w:t>1</w:t>
            </w:r>
          </w:p>
        </w:tc>
        <w:tc>
          <w:tcPr>
            <w:tcW w:type="dxa" w:w="2556"/>
            <w:tcMar>
              <w:top w:w="80" w:type="dxa"/>
              <w:start w:w="80" w:type="dxa"/>
              <w:bottom w:w="80" w:type="dxa"/>
              <w:end w:w="80" w:type="dxa"/>
            </w:tcMar>
            <w:vAlign w:val="center"/>
          </w:tcPr>
          <w:p>
            <w:pPr>
              <w:spacing w:after="0"/>
            </w:pPr>
            <w:r>
              <w:rPr>
                <w:rFonts w:ascii="Aptos" w:hAnsi="Aptos"/>
                <w:sz w:val="19"/>
              </w:rPr>
              <w:t>Lendingkart Android Mobile App</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2</w:t>
            </w:r>
          </w:p>
        </w:tc>
        <w:tc>
          <w:tcPr>
            <w:tcW w:type="dxa" w:w="2556"/>
            <w:tcMar>
              <w:top w:w="80" w:type="dxa"/>
              <w:start w:w="80" w:type="dxa"/>
              <w:bottom w:w="80" w:type="dxa"/>
              <w:end w:w="80" w:type="dxa"/>
            </w:tcMar>
            <w:vAlign w:val="center"/>
          </w:tcPr>
          <w:p>
            <w:pPr>
              <w:spacing w:after="0"/>
            </w:pPr>
            <w:r>
              <w:rPr>
                <w:rFonts w:ascii="Aptos" w:hAnsi="Aptos"/>
                <w:sz w:val="19"/>
              </w:rPr>
              <w:t>ActLoan</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3</w:t>
            </w:r>
          </w:p>
        </w:tc>
        <w:tc>
          <w:tcPr>
            <w:tcW w:type="dxa" w:w="2556"/>
            <w:tcMar>
              <w:top w:w="80" w:type="dxa"/>
              <w:start w:w="80" w:type="dxa"/>
              <w:bottom w:w="80" w:type="dxa"/>
              <w:end w:w="80" w:type="dxa"/>
            </w:tcMar>
            <w:vAlign w:val="center"/>
          </w:tcPr>
          <w:p>
            <w:pPr>
              <w:spacing w:after="0"/>
            </w:pPr>
            <w:r>
              <w:rPr>
                <w:rFonts w:ascii="Aptos" w:hAnsi="Aptos"/>
                <w:sz w:val="19"/>
              </w:rPr>
              <w:t>HDFC Bank Mobile Banking App</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4</w:t>
            </w:r>
          </w:p>
        </w:tc>
        <w:tc>
          <w:tcPr>
            <w:tcW w:type="dxa" w:w="2556"/>
            <w:tcMar>
              <w:top w:w="80" w:type="dxa"/>
              <w:start w:w="80" w:type="dxa"/>
              <w:bottom w:w="80" w:type="dxa"/>
              <w:end w:w="80" w:type="dxa"/>
            </w:tcMar>
            <w:vAlign w:val="center"/>
          </w:tcPr>
          <w:p>
            <w:pPr>
              <w:spacing w:after="0"/>
            </w:pPr>
            <w:r>
              <w:rPr>
                <w:rFonts w:ascii="Aptos" w:hAnsi="Aptos"/>
                <w:sz w:val="19"/>
              </w:rPr>
              <w:t>QuickRupee</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5</w:t>
            </w:r>
          </w:p>
        </w:tc>
        <w:tc>
          <w:tcPr>
            <w:tcW w:type="dxa" w:w="2556"/>
            <w:tcMar>
              <w:top w:w="80" w:type="dxa"/>
              <w:start w:w="80" w:type="dxa"/>
              <w:bottom w:w="80" w:type="dxa"/>
              <w:end w:w="80" w:type="dxa"/>
            </w:tcMar>
            <w:vAlign w:val="center"/>
          </w:tcPr>
          <w:p>
            <w:pPr>
              <w:spacing w:after="0"/>
            </w:pPr>
            <w:r>
              <w:rPr>
                <w:rFonts w:ascii="Aptos" w:hAnsi="Aptos"/>
                <w:sz w:val="19"/>
              </w:rPr>
              <w:t>iMobile (Android)</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6</w:t>
            </w:r>
          </w:p>
        </w:tc>
        <w:tc>
          <w:tcPr>
            <w:tcW w:type="dxa" w:w="2556"/>
            <w:tcMar>
              <w:top w:w="80" w:type="dxa"/>
              <w:start w:w="80" w:type="dxa"/>
              <w:bottom w:w="80" w:type="dxa"/>
              <w:end w:w="80" w:type="dxa"/>
            </w:tcMar>
            <w:vAlign w:val="center"/>
          </w:tcPr>
          <w:p>
            <w:pPr>
              <w:spacing w:after="0"/>
            </w:pPr>
            <w:r>
              <w:rPr>
                <w:rFonts w:ascii="Aptos" w:hAnsi="Aptos"/>
                <w:sz w:val="19"/>
              </w:rPr>
              <w:t>CreditEasy</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7</w:t>
            </w:r>
          </w:p>
        </w:tc>
        <w:tc>
          <w:tcPr>
            <w:tcW w:type="dxa" w:w="2556"/>
            <w:tcMar>
              <w:top w:w="80" w:type="dxa"/>
              <w:start w:w="80" w:type="dxa"/>
              <w:bottom w:w="80" w:type="dxa"/>
              <w:end w:w="80" w:type="dxa"/>
            </w:tcMar>
            <w:vAlign w:val="center"/>
          </w:tcPr>
          <w:p>
            <w:pPr>
              <w:spacing w:after="0"/>
            </w:pPr>
            <w:r>
              <w:rPr>
                <w:rFonts w:ascii="Aptos" w:hAnsi="Aptos"/>
                <w:sz w:val="19"/>
              </w:rPr>
              <w:t>LoanVanta</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8</w:t>
            </w:r>
          </w:p>
        </w:tc>
        <w:tc>
          <w:tcPr>
            <w:tcW w:type="dxa" w:w="2556"/>
            <w:tcMar>
              <w:top w:w="80" w:type="dxa"/>
              <w:start w:w="80" w:type="dxa"/>
              <w:bottom w:w="80" w:type="dxa"/>
              <w:end w:w="80" w:type="dxa"/>
            </w:tcMar>
            <w:vAlign w:val="center"/>
          </w:tcPr>
          <w:p>
            <w:pPr>
              <w:spacing w:after="0"/>
            </w:pPr>
            <w:r>
              <w:rPr>
                <w:rFonts w:ascii="Aptos" w:hAnsi="Aptos"/>
                <w:sz w:val="19"/>
              </w:rPr>
              <w:t>CashYes</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9</w:t>
            </w:r>
          </w:p>
        </w:tc>
        <w:tc>
          <w:tcPr>
            <w:tcW w:type="dxa" w:w="2556"/>
            <w:tcMar>
              <w:top w:w="80" w:type="dxa"/>
              <w:start w:w="80" w:type="dxa"/>
              <w:bottom w:w="80" w:type="dxa"/>
              <w:end w:w="80" w:type="dxa"/>
            </w:tcMar>
            <w:vAlign w:val="center"/>
          </w:tcPr>
          <w:p>
            <w:pPr>
              <w:spacing w:after="0"/>
            </w:pPr>
            <w:r>
              <w:rPr>
                <w:rFonts w:ascii="Aptos" w:hAnsi="Aptos"/>
                <w:sz w:val="19"/>
              </w:rPr>
              <w:t>Kissht</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10</w:t>
            </w:r>
          </w:p>
        </w:tc>
        <w:tc>
          <w:tcPr>
            <w:tcW w:type="dxa" w:w="2556"/>
            <w:tcMar>
              <w:top w:w="80" w:type="dxa"/>
              <w:start w:w="80" w:type="dxa"/>
              <w:bottom w:w="80" w:type="dxa"/>
              <w:end w:w="80" w:type="dxa"/>
            </w:tcMar>
            <w:vAlign w:val="center"/>
          </w:tcPr>
          <w:p>
            <w:pPr>
              <w:spacing w:after="0"/>
            </w:pPr>
            <w:r>
              <w:rPr>
                <w:rFonts w:ascii="Aptos" w:hAnsi="Aptos"/>
                <w:sz w:val="19"/>
              </w:rPr>
              <w:t>QuickCash</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bl>
    <w:p>
      <w:pPr>
        <w:pStyle w:val="Heading2"/>
      </w:pPr>
      <w:r>
        <w:t>Pre-test Cost Questions</w:t>
      </w:r>
    </w:p>
    <w:p>
      <w:r>
        <w:t>Estimate the TOTAL amount that will be repaid. These are sample offers, not real participant loans.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Mar>
              <w:top w:w="80" w:type="dxa"/>
              <w:start w:w="80" w:type="dxa"/>
              <w:bottom w:w="80" w:type="dxa"/>
              <w:end w:w="80" w:type="dxa"/>
            </w:tcMar>
            <w:vAlign w:val="center"/>
            <w:shd w:fill="0F766E"/>
          </w:tcPr>
          <w:p>
            <w:pPr>
              <w:spacing w:after="0"/>
            </w:pPr>
            <w:r>
              <w:rPr>
                <w:rFonts w:ascii="Aptos" w:hAnsi="Aptos"/>
                <w:b/>
                <w:color w:val="FFFFFF"/>
                <w:sz w:val="19"/>
              </w:rPr>
              <w:t>Offer</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Sanctioned amount</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Processing fee</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EMI</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Tenure</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Your total repayable estimate</w:t>
            </w:r>
          </w:p>
        </w:tc>
      </w:tr>
      <w:tr>
        <w:tc>
          <w:tcPr>
            <w:tcW w:type="dxa" w:w="1704"/>
            <w:tcMar>
              <w:top w:w="80" w:type="dxa"/>
              <w:start w:w="80" w:type="dxa"/>
              <w:bottom w:w="80" w:type="dxa"/>
              <w:end w:w="80" w:type="dxa"/>
            </w:tcMar>
            <w:vAlign w:val="center"/>
          </w:tcPr>
          <w:p>
            <w:pPr>
              <w:spacing w:after="0"/>
            </w:pPr>
            <w:r>
              <w:rPr>
                <w:rFonts w:ascii="Aptos" w:hAnsi="Aptos"/>
                <w:sz w:val="19"/>
              </w:rPr>
              <w:t>A</w:t>
            </w:r>
          </w:p>
        </w:tc>
        <w:tc>
          <w:tcPr>
            <w:tcW w:type="dxa" w:w="1704"/>
            <w:tcMar>
              <w:top w:w="80" w:type="dxa"/>
              <w:start w:w="80" w:type="dxa"/>
              <w:bottom w:w="80" w:type="dxa"/>
              <w:end w:w="80" w:type="dxa"/>
            </w:tcMar>
            <w:vAlign w:val="center"/>
          </w:tcPr>
          <w:p>
            <w:pPr>
              <w:spacing w:after="0"/>
            </w:pPr>
            <w:r>
              <w:rPr>
                <w:rFonts w:ascii="Aptos" w:hAnsi="Aptos"/>
                <w:sz w:val="19"/>
              </w:rPr>
              <w:t>₹10,000</w:t>
            </w:r>
          </w:p>
        </w:tc>
        <w:tc>
          <w:tcPr>
            <w:tcW w:type="dxa" w:w="1704"/>
            <w:tcMar>
              <w:top w:w="80" w:type="dxa"/>
              <w:start w:w="80" w:type="dxa"/>
              <w:bottom w:w="80" w:type="dxa"/>
              <w:end w:w="80" w:type="dxa"/>
            </w:tcMar>
            <w:vAlign w:val="center"/>
          </w:tcPr>
          <w:p>
            <w:pPr>
              <w:spacing w:after="0"/>
            </w:pPr>
            <w:r>
              <w:rPr>
                <w:rFonts w:ascii="Aptos" w:hAnsi="Aptos"/>
                <w:sz w:val="19"/>
              </w:rPr>
              <w:t>₹500 deducted</w:t>
            </w:r>
          </w:p>
        </w:tc>
        <w:tc>
          <w:tcPr>
            <w:tcW w:type="dxa" w:w="1704"/>
            <w:tcMar>
              <w:top w:w="80" w:type="dxa"/>
              <w:start w:w="80" w:type="dxa"/>
              <w:bottom w:w="80" w:type="dxa"/>
              <w:end w:w="80" w:type="dxa"/>
            </w:tcMar>
            <w:vAlign w:val="center"/>
          </w:tcPr>
          <w:p>
            <w:pPr>
              <w:spacing w:after="0"/>
            </w:pPr>
            <w:r>
              <w:rPr>
                <w:rFonts w:ascii="Aptos" w:hAnsi="Aptos"/>
                <w:sz w:val="19"/>
              </w:rPr>
              <w:t>₹1,900</w:t>
            </w:r>
          </w:p>
        </w:tc>
        <w:tc>
          <w:tcPr>
            <w:tcW w:type="dxa" w:w="1704"/>
            <w:tcMar>
              <w:top w:w="80" w:type="dxa"/>
              <w:start w:w="80" w:type="dxa"/>
              <w:bottom w:w="80" w:type="dxa"/>
              <w:end w:w="80" w:type="dxa"/>
            </w:tcMar>
            <w:vAlign w:val="center"/>
          </w:tcPr>
          <w:p>
            <w:pPr>
              <w:spacing w:after="0"/>
            </w:pPr>
            <w:r>
              <w:rPr>
                <w:rFonts w:ascii="Aptos" w:hAnsi="Aptos"/>
                <w:sz w:val="19"/>
              </w:rPr>
              <w:t>6 months</w:t>
            </w:r>
          </w:p>
        </w:tc>
        <w:tc>
          <w:tcPr>
            <w:tcW w:type="dxa" w:w="1704"/>
            <w:tcMar>
              <w:top w:w="80" w:type="dxa"/>
              <w:start w:w="80" w:type="dxa"/>
              <w:bottom w:w="80" w:type="dxa"/>
              <w:end w:w="80" w:type="dxa"/>
            </w:tcMar>
            <w:vAlign w:val="center"/>
          </w:tcPr>
          <w:p>
            <w:pPr>
              <w:spacing w:after="0"/>
            </w:pPr>
            <w:r>
              <w:rPr>
                <w:rFonts w:ascii="Aptos" w:hAnsi="Aptos"/>
                <w:sz w:val="19"/>
              </w:rPr>
              <w:t>₹____________</w:t>
            </w:r>
          </w:p>
        </w:tc>
      </w:tr>
      <w:tr>
        <w:tc>
          <w:tcPr>
            <w:tcW w:type="dxa" w:w="1704"/>
            <w:tcMar>
              <w:top w:w="80" w:type="dxa"/>
              <w:start w:w="80" w:type="dxa"/>
              <w:bottom w:w="80" w:type="dxa"/>
              <w:end w:w="80" w:type="dxa"/>
            </w:tcMar>
            <w:vAlign w:val="center"/>
          </w:tcPr>
          <w:p>
            <w:pPr>
              <w:spacing w:after="0"/>
            </w:pPr>
            <w:r>
              <w:rPr>
                <w:rFonts w:ascii="Aptos" w:hAnsi="Aptos"/>
                <w:sz w:val="19"/>
              </w:rPr>
              <w:t>B</w:t>
            </w:r>
          </w:p>
        </w:tc>
        <w:tc>
          <w:tcPr>
            <w:tcW w:type="dxa" w:w="1704"/>
            <w:tcMar>
              <w:top w:w="80" w:type="dxa"/>
              <w:start w:w="80" w:type="dxa"/>
              <w:bottom w:w="80" w:type="dxa"/>
              <w:end w:w="80" w:type="dxa"/>
            </w:tcMar>
            <w:vAlign w:val="center"/>
          </w:tcPr>
          <w:p>
            <w:pPr>
              <w:spacing w:after="0"/>
            </w:pPr>
            <w:r>
              <w:rPr>
                <w:rFonts w:ascii="Aptos" w:hAnsi="Aptos"/>
                <w:sz w:val="19"/>
              </w:rPr>
              <w:t>₹20,000</w:t>
            </w:r>
          </w:p>
        </w:tc>
        <w:tc>
          <w:tcPr>
            <w:tcW w:type="dxa" w:w="1704"/>
            <w:tcMar>
              <w:top w:w="80" w:type="dxa"/>
              <w:start w:w="80" w:type="dxa"/>
              <w:bottom w:w="80" w:type="dxa"/>
              <w:end w:w="80" w:type="dxa"/>
            </w:tcMar>
            <w:vAlign w:val="center"/>
          </w:tcPr>
          <w:p>
            <w:pPr>
              <w:spacing w:after="0"/>
            </w:pPr>
            <w:r>
              <w:rPr>
                <w:rFonts w:ascii="Aptos" w:hAnsi="Aptos"/>
                <w:sz w:val="19"/>
              </w:rPr>
              <w:t>₹1,000 deducted</w:t>
            </w:r>
          </w:p>
        </w:tc>
        <w:tc>
          <w:tcPr>
            <w:tcW w:type="dxa" w:w="1704"/>
            <w:tcMar>
              <w:top w:w="80" w:type="dxa"/>
              <w:start w:w="80" w:type="dxa"/>
              <w:bottom w:w="80" w:type="dxa"/>
              <w:end w:w="80" w:type="dxa"/>
            </w:tcMar>
            <w:vAlign w:val="center"/>
          </w:tcPr>
          <w:p>
            <w:pPr>
              <w:spacing w:after="0"/>
            </w:pPr>
            <w:r>
              <w:rPr>
                <w:rFonts w:ascii="Aptos" w:hAnsi="Aptos"/>
                <w:sz w:val="19"/>
              </w:rPr>
              <w:t>₹3,800</w:t>
            </w:r>
          </w:p>
        </w:tc>
        <w:tc>
          <w:tcPr>
            <w:tcW w:type="dxa" w:w="1704"/>
            <w:tcMar>
              <w:top w:w="80" w:type="dxa"/>
              <w:start w:w="80" w:type="dxa"/>
              <w:bottom w:w="80" w:type="dxa"/>
              <w:end w:w="80" w:type="dxa"/>
            </w:tcMar>
            <w:vAlign w:val="center"/>
          </w:tcPr>
          <w:p>
            <w:pPr>
              <w:spacing w:after="0"/>
            </w:pPr>
            <w:r>
              <w:rPr>
                <w:rFonts w:ascii="Aptos" w:hAnsi="Aptos"/>
                <w:sz w:val="19"/>
              </w:rPr>
              <w:t>6 months</w:t>
            </w:r>
          </w:p>
        </w:tc>
        <w:tc>
          <w:tcPr>
            <w:tcW w:type="dxa" w:w="1704"/>
            <w:tcMar>
              <w:top w:w="80" w:type="dxa"/>
              <w:start w:w="80" w:type="dxa"/>
              <w:bottom w:w="80" w:type="dxa"/>
              <w:end w:w="80" w:type="dxa"/>
            </w:tcMar>
            <w:vAlign w:val="center"/>
          </w:tcPr>
          <w:p>
            <w:pPr>
              <w:spacing w:after="0"/>
            </w:pPr>
            <w:r>
              <w:rPr>
                <w:rFonts w:ascii="Aptos" w:hAnsi="Aptos"/>
                <w:sz w:val="19"/>
              </w:rPr>
              <w:t>₹____________</w:t>
            </w:r>
          </w:p>
        </w:tc>
      </w:tr>
    </w:tbl>
    <w:p>
      <w:r>
        <w:t>Confidence before using the tool (1 = very low, 5 = very high):   1 ☐   2 ☐   3 ☐   4 ☐   5 ☐</w:t>
      </w:r>
    </w:p>
    <w:p>
      <w:r>
        <w:br w:type="page"/>
      </w:r>
    </w:p>
    <w:p>
      <w:pPr>
        <w:pStyle w:val="Heading1"/>
      </w:pPr>
      <w:r>
        <w:t>4. Intervention — Use Safe Loan Check</w:t>
      </w:r>
    </w:p>
    <w:p>
      <w:r>
        <w:t>Use the Safe Loan Check application for 15–20 minutes. Try at least two app checks and one loan-cost calculation. Look at:</w:t>
      </w:r>
    </w:p>
    <w:p>
      <w:pPr>
        <w:spacing w:after="80"/>
      </w:pPr>
      <w:r>
        <w:rPr>
          <w:sz w:val="21"/>
        </w:rPr>
        <w:t>☐ RBI DLA directory status and match explanation</w:t>
      </w:r>
    </w:p>
    <w:p>
      <w:pPr>
        <w:spacing w:after="80"/>
      </w:pPr>
      <w:r>
        <w:rPr>
          <w:sz w:val="21"/>
        </w:rPr>
        <w:t>☐ ML risk score and the reasons shown</w:t>
      </w:r>
    </w:p>
    <w:p>
      <w:pPr>
        <w:spacing w:after="80"/>
      </w:pPr>
      <w:r>
        <w:rPr>
          <w:sz w:val="21"/>
        </w:rPr>
        <w:t>☐ Public listing evidence and Unknown/missing fields</w:t>
      </w:r>
    </w:p>
    <w:p>
      <w:pPr>
        <w:spacing w:after="80"/>
      </w:pPr>
      <w:r>
        <w:rPr>
          <w:sz w:val="21"/>
        </w:rPr>
        <w:t>☐ APR, total repayable and EMI-to-income information when loan details are entered</w:t>
      </w:r>
    </w:p>
    <w:p>
      <w:pPr>
        <w:spacing w:after="80"/>
      </w:pPr>
      <w:r>
        <w:rPr>
          <w:sz w:val="21"/>
        </w:rPr>
        <w:t>☐ Green / Amber / Red Decision Layer wording and next-step guidance</w:t>
      </w:r>
    </w:p>
    <w:p>
      <w:r>
        <w:t>Researcher: do not coach the participant toward the correct post-test answers. Only explain how to operate the interface.</w:t>
      </w:r>
    </w:p>
    <w:p>
      <w:pPr>
        <w:pStyle w:val="Heading1"/>
      </w:pPr>
      <w:r>
        <w:t>5. Post-test — After Using Safe Loan Check</w:t>
      </w:r>
    </w:p>
    <w:p>
      <w:r>
        <w:t>Use the same decision choices on this different set of items.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Mar>
              <w:top w:w="80" w:type="dxa"/>
              <w:start w:w="80" w:type="dxa"/>
              <w:bottom w:w="80" w:type="dxa"/>
              <w:end w:w="80" w:type="dxa"/>
            </w:tcMar>
            <w:vAlign w:val="center"/>
            <w:shd w:fill="0F766E"/>
          </w:tcPr>
          <w:p>
            <w:pPr>
              <w:spacing w:after="0"/>
            </w:pPr>
            <w:r>
              <w:rPr>
                <w:rFonts w:ascii="Aptos" w:hAnsi="Aptos"/>
                <w:b/>
                <w:color w:val="FFFFFF"/>
                <w:sz w:val="19"/>
              </w:rPr>
              <w:t>Q</w:t>
            </w:r>
          </w:p>
        </w:tc>
        <w:tc>
          <w:tcPr>
            <w:tcW w:type="dxa" w:w="2556"/>
            <w:tcMar>
              <w:top w:w="80" w:type="dxa"/>
              <w:start w:w="80" w:type="dxa"/>
              <w:bottom w:w="80" w:type="dxa"/>
              <w:end w:w="80" w:type="dxa"/>
            </w:tcMar>
            <w:vAlign w:val="center"/>
            <w:shd w:fill="0F766E"/>
          </w:tcPr>
          <w:p>
            <w:pPr>
              <w:spacing w:after="0"/>
            </w:pPr>
            <w:r>
              <w:rPr>
                <w:rFonts w:ascii="Aptos" w:hAnsi="Aptos"/>
                <w:b/>
                <w:color w:val="FFFFFF"/>
                <w:sz w:val="19"/>
              </w:rPr>
              <w:t>App / item</w:t>
            </w:r>
          </w:p>
        </w:tc>
        <w:tc>
          <w:tcPr>
            <w:tcW w:type="dxa" w:w="2556"/>
            <w:tcMar>
              <w:top w:w="80" w:type="dxa"/>
              <w:start w:w="80" w:type="dxa"/>
              <w:bottom w:w="80" w:type="dxa"/>
              <w:end w:w="80" w:type="dxa"/>
            </w:tcMar>
            <w:vAlign w:val="center"/>
            <w:shd w:fill="0F766E"/>
          </w:tcPr>
          <w:p>
            <w:pPr>
              <w:spacing w:after="0"/>
            </w:pPr>
            <w:r>
              <w:rPr>
                <w:rFonts w:ascii="Aptos" w:hAnsi="Aptos"/>
                <w:b/>
                <w:color w:val="FFFFFF"/>
                <w:sz w:val="19"/>
              </w:rPr>
              <w:t>Lower concern</w:t>
            </w:r>
          </w:p>
        </w:tc>
        <w:tc>
          <w:tcPr>
            <w:tcW w:type="dxa" w:w="2556"/>
            <w:tcMar>
              <w:top w:w="80" w:type="dxa"/>
              <w:start w:w="80" w:type="dxa"/>
              <w:bottom w:w="80" w:type="dxa"/>
              <w:end w:w="80" w:type="dxa"/>
            </w:tcMar>
            <w:vAlign w:val="center"/>
            <w:shd w:fill="0F766E"/>
          </w:tcPr>
          <w:p>
            <w:pPr>
              <w:spacing w:after="0"/>
            </w:pPr>
            <w:r>
              <w:rPr>
                <w:rFonts w:ascii="Aptos" w:hAnsi="Aptos"/>
                <w:b/>
                <w:color w:val="FFFFFF"/>
                <w:sz w:val="19"/>
              </w:rPr>
              <w:t>Higher concern</w:t>
            </w:r>
          </w:p>
        </w:tc>
      </w:tr>
      <w:tr>
        <w:tc>
          <w:tcPr>
            <w:tcW w:type="dxa" w:w="2556"/>
            <w:tcMar>
              <w:top w:w="80" w:type="dxa"/>
              <w:start w:w="80" w:type="dxa"/>
              <w:bottom w:w="80" w:type="dxa"/>
              <w:end w:w="80" w:type="dxa"/>
            </w:tcMar>
            <w:vAlign w:val="center"/>
          </w:tcPr>
          <w:p>
            <w:pPr>
              <w:spacing w:after="0"/>
            </w:pPr>
            <w:r>
              <w:rPr>
                <w:rFonts w:ascii="Aptos" w:hAnsi="Aptos"/>
                <w:sz w:val="19"/>
              </w:rPr>
              <w:t>1</w:t>
            </w:r>
          </w:p>
        </w:tc>
        <w:tc>
          <w:tcPr>
            <w:tcW w:type="dxa" w:w="2556"/>
            <w:tcMar>
              <w:top w:w="80" w:type="dxa"/>
              <w:start w:w="80" w:type="dxa"/>
              <w:bottom w:w="80" w:type="dxa"/>
              <w:end w:w="80" w:type="dxa"/>
            </w:tcMar>
            <w:vAlign w:val="center"/>
          </w:tcPr>
          <w:p>
            <w:pPr>
              <w:spacing w:after="0"/>
            </w:pPr>
            <w:r>
              <w:rPr>
                <w:rFonts w:ascii="Aptos" w:hAnsi="Aptos"/>
                <w:sz w:val="19"/>
              </w:rPr>
              <w:t>BankSathi</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2</w:t>
            </w:r>
          </w:p>
        </w:tc>
        <w:tc>
          <w:tcPr>
            <w:tcW w:type="dxa" w:w="2556"/>
            <w:tcMar>
              <w:top w:w="80" w:type="dxa"/>
              <w:start w:w="80" w:type="dxa"/>
              <w:bottom w:w="80" w:type="dxa"/>
              <w:end w:w="80" w:type="dxa"/>
            </w:tcMar>
            <w:vAlign w:val="center"/>
          </w:tcPr>
          <w:p>
            <w:pPr>
              <w:spacing w:after="0"/>
            </w:pPr>
            <w:r>
              <w:rPr>
                <w:rFonts w:ascii="Aptos" w:hAnsi="Aptos"/>
                <w:sz w:val="19"/>
              </w:rPr>
              <w:t>AgMoney</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3</w:t>
            </w:r>
          </w:p>
        </w:tc>
        <w:tc>
          <w:tcPr>
            <w:tcW w:type="dxa" w:w="2556"/>
            <w:tcMar>
              <w:top w:w="80" w:type="dxa"/>
              <w:start w:w="80" w:type="dxa"/>
              <w:bottom w:w="80" w:type="dxa"/>
              <w:end w:w="80" w:type="dxa"/>
            </w:tcMar>
            <w:vAlign w:val="center"/>
          </w:tcPr>
          <w:p>
            <w:pPr>
              <w:spacing w:after="0"/>
            </w:pPr>
            <w:r>
              <w:rPr>
                <w:rFonts w:ascii="Aptos" w:hAnsi="Aptos"/>
                <w:sz w:val="19"/>
              </w:rPr>
              <w:t>SN Insta Personal Advance Loan</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4</w:t>
            </w:r>
          </w:p>
        </w:tc>
        <w:tc>
          <w:tcPr>
            <w:tcW w:type="dxa" w:w="2556"/>
            <w:tcMar>
              <w:top w:w="80" w:type="dxa"/>
              <w:start w:w="80" w:type="dxa"/>
              <w:bottom w:w="80" w:type="dxa"/>
              <w:end w:w="80" w:type="dxa"/>
            </w:tcMar>
            <w:vAlign w:val="center"/>
          </w:tcPr>
          <w:p>
            <w:pPr>
              <w:spacing w:after="0"/>
            </w:pPr>
            <w:r>
              <w:rPr>
                <w:rFonts w:ascii="Aptos" w:hAnsi="Aptos"/>
                <w:sz w:val="19"/>
              </w:rPr>
              <w:t>NiceCash</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5</w:t>
            </w:r>
          </w:p>
        </w:tc>
        <w:tc>
          <w:tcPr>
            <w:tcW w:type="dxa" w:w="2556"/>
            <w:tcMar>
              <w:top w:w="80" w:type="dxa"/>
              <w:start w:w="80" w:type="dxa"/>
              <w:bottom w:w="80" w:type="dxa"/>
              <w:end w:w="80" w:type="dxa"/>
            </w:tcMar>
            <w:vAlign w:val="center"/>
          </w:tcPr>
          <w:p>
            <w:pPr>
              <w:spacing w:after="0"/>
            </w:pPr>
            <w:r>
              <w:rPr>
                <w:rFonts w:ascii="Aptos" w:hAnsi="Aptos"/>
                <w:sz w:val="19"/>
              </w:rPr>
              <w:t>Petticash</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6</w:t>
            </w:r>
          </w:p>
        </w:tc>
        <w:tc>
          <w:tcPr>
            <w:tcW w:type="dxa" w:w="2556"/>
            <w:tcMar>
              <w:top w:w="80" w:type="dxa"/>
              <w:start w:w="80" w:type="dxa"/>
              <w:bottom w:w="80" w:type="dxa"/>
              <w:end w:w="80" w:type="dxa"/>
            </w:tcMar>
            <w:vAlign w:val="center"/>
          </w:tcPr>
          <w:p>
            <w:pPr>
              <w:spacing w:after="0"/>
            </w:pPr>
            <w:r>
              <w:rPr>
                <w:rFonts w:ascii="Aptos" w:hAnsi="Aptos"/>
                <w:sz w:val="19"/>
              </w:rPr>
              <w:t>TopCash</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7</w:t>
            </w:r>
          </w:p>
        </w:tc>
        <w:tc>
          <w:tcPr>
            <w:tcW w:type="dxa" w:w="2556"/>
            <w:tcMar>
              <w:top w:w="80" w:type="dxa"/>
              <w:start w:w="80" w:type="dxa"/>
              <w:bottom w:w="80" w:type="dxa"/>
              <w:end w:w="80" w:type="dxa"/>
            </w:tcMar>
            <w:vAlign w:val="center"/>
          </w:tcPr>
          <w:p>
            <w:pPr>
              <w:spacing w:after="0"/>
            </w:pPr>
            <w:r>
              <w:rPr>
                <w:rFonts w:ascii="Aptos" w:hAnsi="Aptos"/>
                <w:sz w:val="19"/>
              </w:rPr>
              <w:t>Oolka</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8</w:t>
            </w:r>
          </w:p>
        </w:tc>
        <w:tc>
          <w:tcPr>
            <w:tcW w:type="dxa" w:w="2556"/>
            <w:tcMar>
              <w:top w:w="80" w:type="dxa"/>
              <w:start w:w="80" w:type="dxa"/>
              <w:bottom w:w="80" w:type="dxa"/>
              <w:end w:w="80" w:type="dxa"/>
            </w:tcMar>
            <w:vAlign w:val="center"/>
          </w:tcPr>
          <w:p>
            <w:pPr>
              <w:spacing w:after="0"/>
            </w:pPr>
            <w:r>
              <w:rPr>
                <w:rFonts w:ascii="Aptos" w:hAnsi="Aptos"/>
                <w:sz w:val="19"/>
              </w:rPr>
              <w:t>Urupee</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9</w:t>
            </w:r>
          </w:p>
        </w:tc>
        <w:tc>
          <w:tcPr>
            <w:tcW w:type="dxa" w:w="2556"/>
            <w:tcMar>
              <w:top w:w="80" w:type="dxa"/>
              <w:start w:w="80" w:type="dxa"/>
              <w:bottom w:w="80" w:type="dxa"/>
              <w:end w:w="80" w:type="dxa"/>
            </w:tcMar>
            <w:vAlign w:val="center"/>
          </w:tcPr>
          <w:p>
            <w:pPr>
              <w:spacing w:after="0"/>
            </w:pPr>
            <w:r>
              <w:rPr>
                <w:rFonts w:ascii="Aptos" w:hAnsi="Aptos"/>
                <w:sz w:val="19"/>
              </w:rPr>
              <w:t>Money Monk App</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r>
        <w:tc>
          <w:tcPr>
            <w:tcW w:type="dxa" w:w="2556"/>
            <w:tcMar>
              <w:top w:w="80" w:type="dxa"/>
              <w:start w:w="80" w:type="dxa"/>
              <w:bottom w:w="80" w:type="dxa"/>
              <w:end w:w="80" w:type="dxa"/>
            </w:tcMar>
            <w:vAlign w:val="center"/>
          </w:tcPr>
          <w:p>
            <w:pPr>
              <w:spacing w:after="0"/>
            </w:pPr>
            <w:r>
              <w:rPr>
                <w:rFonts w:ascii="Aptos" w:hAnsi="Aptos"/>
                <w:sz w:val="19"/>
              </w:rPr>
              <w:t>10</w:t>
            </w:r>
          </w:p>
        </w:tc>
        <w:tc>
          <w:tcPr>
            <w:tcW w:type="dxa" w:w="2556"/>
            <w:tcMar>
              <w:top w:w="80" w:type="dxa"/>
              <w:start w:w="80" w:type="dxa"/>
              <w:bottom w:w="80" w:type="dxa"/>
              <w:end w:w="80" w:type="dxa"/>
            </w:tcMar>
            <w:vAlign w:val="center"/>
          </w:tcPr>
          <w:p>
            <w:pPr>
              <w:spacing w:after="0"/>
            </w:pPr>
            <w:r>
              <w:rPr>
                <w:rFonts w:ascii="Aptos" w:hAnsi="Aptos"/>
                <w:sz w:val="19"/>
              </w:rPr>
              <w:t>Cash Dove</w:t>
            </w:r>
          </w:p>
        </w:tc>
        <w:tc>
          <w:tcPr>
            <w:tcW w:type="dxa" w:w="2556"/>
            <w:tcMar>
              <w:top w:w="80" w:type="dxa"/>
              <w:start w:w="80" w:type="dxa"/>
              <w:bottom w:w="80" w:type="dxa"/>
              <w:end w:w="80" w:type="dxa"/>
            </w:tcMar>
            <w:vAlign w:val="center"/>
          </w:tcPr>
          <w:p>
            <w:pPr>
              <w:spacing w:after="0"/>
            </w:pPr>
            <w:r>
              <w:rPr>
                <w:rFonts w:ascii="Aptos" w:hAnsi="Aptos"/>
                <w:sz w:val="19"/>
              </w:rPr>
              <w:t>☐</w:t>
            </w:r>
          </w:p>
        </w:tc>
        <w:tc>
          <w:tcPr>
            <w:tcW w:type="dxa" w:w="2556"/>
            <w:tcMar>
              <w:top w:w="80" w:type="dxa"/>
              <w:start w:w="80" w:type="dxa"/>
              <w:bottom w:w="80" w:type="dxa"/>
              <w:end w:w="80" w:type="dxa"/>
            </w:tcMar>
            <w:vAlign w:val="center"/>
          </w:tcPr>
          <w:p>
            <w:pPr>
              <w:spacing w:after="0"/>
            </w:pPr>
            <w:r>
              <w:rPr>
                <w:rFonts w:ascii="Aptos" w:hAnsi="Aptos"/>
                <w:sz w:val="19"/>
              </w:rPr>
              <w:t>☐</w:t>
            </w:r>
          </w:p>
        </w:tc>
      </w:tr>
    </w:tbl>
    <w:p>
      <w:pPr>
        <w:pStyle w:val="Heading2"/>
      </w:pPr>
      <w:r>
        <w:t>Post-test Cost Questions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Mar>
              <w:top w:w="80" w:type="dxa"/>
              <w:start w:w="80" w:type="dxa"/>
              <w:bottom w:w="80" w:type="dxa"/>
              <w:end w:w="80" w:type="dxa"/>
            </w:tcMar>
            <w:vAlign w:val="center"/>
            <w:shd w:fill="0F766E"/>
          </w:tcPr>
          <w:p>
            <w:pPr>
              <w:spacing w:after="0"/>
            </w:pPr>
            <w:r>
              <w:rPr>
                <w:rFonts w:ascii="Aptos" w:hAnsi="Aptos"/>
                <w:b/>
                <w:color w:val="FFFFFF"/>
                <w:sz w:val="19"/>
              </w:rPr>
              <w:t>Offer</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Sanctioned amount</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Processing fee</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EMI</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Tenure</w:t>
            </w:r>
          </w:p>
        </w:tc>
        <w:tc>
          <w:tcPr>
            <w:tcW w:type="dxa" w:w="1704"/>
            <w:tcMar>
              <w:top w:w="80" w:type="dxa"/>
              <w:start w:w="80" w:type="dxa"/>
              <w:bottom w:w="80" w:type="dxa"/>
              <w:end w:w="80" w:type="dxa"/>
            </w:tcMar>
            <w:vAlign w:val="center"/>
            <w:shd w:fill="0F766E"/>
          </w:tcPr>
          <w:p>
            <w:pPr>
              <w:spacing w:after="0"/>
            </w:pPr>
            <w:r>
              <w:rPr>
                <w:rFonts w:ascii="Aptos" w:hAnsi="Aptos"/>
                <w:b/>
                <w:color w:val="FFFFFF"/>
                <w:sz w:val="19"/>
              </w:rPr>
              <w:t>Your total repayable estimate</w:t>
            </w:r>
          </w:p>
        </w:tc>
      </w:tr>
      <w:tr>
        <w:tc>
          <w:tcPr>
            <w:tcW w:type="dxa" w:w="1704"/>
            <w:tcMar>
              <w:top w:w="80" w:type="dxa"/>
              <w:start w:w="80" w:type="dxa"/>
              <w:bottom w:w="80" w:type="dxa"/>
              <w:end w:w="80" w:type="dxa"/>
            </w:tcMar>
            <w:vAlign w:val="center"/>
          </w:tcPr>
          <w:p>
            <w:pPr>
              <w:spacing w:after="0"/>
            </w:pPr>
            <w:r>
              <w:rPr>
                <w:rFonts w:ascii="Aptos" w:hAnsi="Aptos"/>
                <w:sz w:val="19"/>
              </w:rPr>
              <w:t>C</w:t>
            </w:r>
          </w:p>
        </w:tc>
        <w:tc>
          <w:tcPr>
            <w:tcW w:type="dxa" w:w="1704"/>
            <w:tcMar>
              <w:top w:w="80" w:type="dxa"/>
              <w:start w:w="80" w:type="dxa"/>
              <w:bottom w:w="80" w:type="dxa"/>
              <w:end w:w="80" w:type="dxa"/>
            </w:tcMar>
            <w:vAlign w:val="center"/>
          </w:tcPr>
          <w:p>
            <w:pPr>
              <w:spacing w:after="0"/>
            </w:pPr>
            <w:r>
              <w:rPr>
                <w:rFonts w:ascii="Aptos" w:hAnsi="Aptos"/>
                <w:sz w:val="19"/>
              </w:rPr>
              <w:t>₹15,000</w:t>
            </w:r>
          </w:p>
        </w:tc>
        <w:tc>
          <w:tcPr>
            <w:tcW w:type="dxa" w:w="1704"/>
            <w:tcMar>
              <w:top w:w="80" w:type="dxa"/>
              <w:start w:w="80" w:type="dxa"/>
              <w:bottom w:w="80" w:type="dxa"/>
              <w:end w:w="80" w:type="dxa"/>
            </w:tcMar>
            <w:vAlign w:val="center"/>
          </w:tcPr>
          <w:p>
            <w:pPr>
              <w:spacing w:after="0"/>
            </w:pPr>
            <w:r>
              <w:rPr>
                <w:rFonts w:ascii="Aptos" w:hAnsi="Aptos"/>
                <w:sz w:val="19"/>
              </w:rPr>
              <w:t>₹750 deducted</w:t>
            </w:r>
          </w:p>
        </w:tc>
        <w:tc>
          <w:tcPr>
            <w:tcW w:type="dxa" w:w="1704"/>
            <w:tcMar>
              <w:top w:w="80" w:type="dxa"/>
              <w:start w:w="80" w:type="dxa"/>
              <w:bottom w:w="80" w:type="dxa"/>
              <w:end w:w="80" w:type="dxa"/>
            </w:tcMar>
            <w:vAlign w:val="center"/>
          </w:tcPr>
          <w:p>
            <w:pPr>
              <w:spacing w:after="0"/>
            </w:pPr>
            <w:r>
              <w:rPr>
                <w:rFonts w:ascii="Aptos" w:hAnsi="Aptos"/>
                <w:sz w:val="19"/>
              </w:rPr>
              <w:t>₹2,900</w:t>
            </w:r>
          </w:p>
        </w:tc>
        <w:tc>
          <w:tcPr>
            <w:tcW w:type="dxa" w:w="1704"/>
            <w:tcMar>
              <w:top w:w="80" w:type="dxa"/>
              <w:start w:w="80" w:type="dxa"/>
              <w:bottom w:w="80" w:type="dxa"/>
              <w:end w:w="80" w:type="dxa"/>
            </w:tcMar>
            <w:vAlign w:val="center"/>
          </w:tcPr>
          <w:p>
            <w:pPr>
              <w:spacing w:after="0"/>
            </w:pPr>
            <w:r>
              <w:rPr>
                <w:rFonts w:ascii="Aptos" w:hAnsi="Aptos"/>
                <w:sz w:val="19"/>
              </w:rPr>
              <w:t>6 months</w:t>
            </w:r>
          </w:p>
        </w:tc>
        <w:tc>
          <w:tcPr>
            <w:tcW w:type="dxa" w:w="1704"/>
            <w:tcMar>
              <w:top w:w="80" w:type="dxa"/>
              <w:start w:w="80" w:type="dxa"/>
              <w:bottom w:w="80" w:type="dxa"/>
              <w:end w:w="80" w:type="dxa"/>
            </w:tcMar>
            <w:vAlign w:val="center"/>
          </w:tcPr>
          <w:p>
            <w:pPr>
              <w:spacing w:after="0"/>
            </w:pPr>
            <w:r>
              <w:rPr>
                <w:rFonts w:ascii="Aptos" w:hAnsi="Aptos"/>
                <w:sz w:val="19"/>
              </w:rPr>
              <w:t>₹____________</w:t>
            </w:r>
          </w:p>
        </w:tc>
      </w:tr>
      <w:tr>
        <w:tc>
          <w:tcPr>
            <w:tcW w:type="dxa" w:w="1704"/>
            <w:tcMar>
              <w:top w:w="80" w:type="dxa"/>
              <w:start w:w="80" w:type="dxa"/>
              <w:bottom w:w="80" w:type="dxa"/>
              <w:end w:w="80" w:type="dxa"/>
            </w:tcMar>
            <w:vAlign w:val="center"/>
          </w:tcPr>
          <w:p>
            <w:pPr>
              <w:spacing w:after="0"/>
            </w:pPr>
            <w:r>
              <w:rPr>
                <w:rFonts w:ascii="Aptos" w:hAnsi="Aptos"/>
                <w:sz w:val="19"/>
              </w:rPr>
              <w:t>D</w:t>
            </w:r>
          </w:p>
        </w:tc>
        <w:tc>
          <w:tcPr>
            <w:tcW w:type="dxa" w:w="1704"/>
            <w:tcMar>
              <w:top w:w="80" w:type="dxa"/>
              <w:start w:w="80" w:type="dxa"/>
              <w:bottom w:w="80" w:type="dxa"/>
              <w:end w:w="80" w:type="dxa"/>
            </w:tcMar>
            <w:vAlign w:val="center"/>
          </w:tcPr>
          <w:p>
            <w:pPr>
              <w:spacing w:after="0"/>
            </w:pPr>
            <w:r>
              <w:rPr>
                <w:rFonts w:ascii="Aptos" w:hAnsi="Aptos"/>
                <w:sz w:val="19"/>
              </w:rPr>
              <w:t>₹25,000</w:t>
            </w:r>
          </w:p>
        </w:tc>
        <w:tc>
          <w:tcPr>
            <w:tcW w:type="dxa" w:w="1704"/>
            <w:tcMar>
              <w:top w:w="80" w:type="dxa"/>
              <w:start w:w="80" w:type="dxa"/>
              <w:bottom w:w="80" w:type="dxa"/>
              <w:end w:w="80" w:type="dxa"/>
            </w:tcMar>
            <w:vAlign w:val="center"/>
          </w:tcPr>
          <w:p>
            <w:pPr>
              <w:spacing w:after="0"/>
            </w:pPr>
            <w:r>
              <w:rPr>
                <w:rFonts w:ascii="Aptos" w:hAnsi="Aptos"/>
                <w:sz w:val="19"/>
              </w:rPr>
              <w:t>₹1,250 deducted</w:t>
            </w:r>
          </w:p>
        </w:tc>
        <w:tc>
          <w:tcPr>
            <w:tcW w:type="dxa" w:w="1704"/>
            <w:tcMar>
              <w:top w:w="80" w:type="dxa"/>
              <w:start w:w="80" w:type="dxa"/>
              <w:bottom w:w="80" w:type="dxa"/>
              <w:end w:w="80" w:type="dxa"/>
            </w:tcMar>
            <w:vAlign w:val="center"/>
          </w:tcPr>
          <w:p>
            <w:pPr>
              <w:spacing w:after="0"/>
            </w:pPr>
            <w:r>
              <w:rPr>
                <w:rFonts w:ascii="Aptos" w:hAnsi="Aptos"/>
                <w:sz w:val="19"/>
              </w:rPr>
              <w:t>₹4,800</w:t>
            </w:r>
          </w:p>
        </w:tc>
        <w:tc>
          <w:tcPr>
            <w:tcW w:type="dxa" w:w="1704"/>
            <w:tcMar>
              <w:top w:w="80" w:type="dxa"/>
              <w:start w:w="80" w:type="dxa"/>
              <w:bottom w:w="80" w:type="dxa"/>
              <w:end w:w="80" w:type="dxa"/>
            </w:tcMar>
            <w:vAlign w:val="center"/>
          </w:tcPr>
          <w:p>
            <w:pPr>
              <w:spacing w:after="0"/>
            </w:pPr>
            <w:r>
              <w:rPr>
                <w:rFonts w:ascii="Aptos" w:hAnsi="Aptos"/>
                <w:sz w:val="19"/>
              </w:rPr>
              <w:t>6 months</w:t>
            </w:r>
          </w:p>
        </w:tc>
        <w:tc>
          <w:tcPr>
            <w:tcW w:type="dxa" w:w="1704"/>
            <w:tcMar>
              <w:top w:w="80" w:type="dxa"/>
              <w:start w:w="80" w:type="dxa"/>
              <w:bottom w:w="80" w:type="dxa"/>
              <w:end w:w="80" w:type="dxa"/>
            </w:tcMar>
            <w:vAlign w:val="center"/>
          </w:tcPr>
          <w:p>
            <w:pPr>
              <w:spacing w:after="0"/>
            </w:pPr>
            <w:r>
              <w:rPr>
                <w:rFonts w:ascii="Aptos" w:hAnsi="Aptos"/>
                <w:sz w:val="19"/>
              </w:rPr>
              <w:t>₹____________</w:t>
            </w:r>
          </w:p>
        </w:tc>
      </w:tr>
    </w:tbl>
    <w:p>
      <w:r>
        <w:t>Confidence after using the tool (1 = very low, 5 = very high):   1 ☐   2 ☐   3 ☐   4 ☐   5 ☐</w:t>
      </w:r>
    </w:p>
    <w:p>
      <w:pPr>
        <w:pStyle w:val="Heading1"/>
      </w:pPr>
      <w:r>
        <w:t>6. Usability Feedback</w:t>
      </w:r>
    </w:p>
    <w:p>
      <w:r>
        <w:t>Overall usability of Safe Loan Check (1 = difficult, 5 = very easy):   1 ☐   2 ☐   3 ☐   4 ☐   5 ☐</w:t>
      </w:r>
    </w:p>
    <w:p>
      <w:r>
        <w:t>Which part was most useful?</w:t>
      </w:r>
    </w:p>
    <w:p>
      <w:r>
        <w:t>________________________________________________________________________________</w:t>
      </w:r>
    </w:p>
    <w:p>
      <w:r>
        <w:t>What was confusing or should be improved?</w:t>
      </w:r>
    </w:p>
    <w:p>
      <w:r>
        <w:t>________________________________________________________________________________</w:t>
      </w:r>
    </w:p>
    <w:p>
      <w:r>
        <w:t>________________________________________________________________________________</w:t>
      </w:r>
    </w:p>
    <w:p>
      <w:r>
        <w:br w:type="page"/>
      </w:r>
    </w:p>
    <w:p>
      <w:pPr>
        <w:pStyle w:val="Heading1"/>
      </w:pPr>
      <w:r>
        <w:t>7. Researcher-Only Scoring Notes</w:t>
      </w:r>
    </w:p>
    <w:p>
      <w:r>
        <w:rPr>
          <w:b/>
          <w:color w:val="B91C1C"/>
        </w:rPr>
        <w:t xml:space="preserve">Do not show this section while the participant is taking the test. </w:t>
      </w:r>
      <w:r>
        <w:t>The Excel tracker contains the complete answer key and automatic scoring.</w:t>
      </w:r>
    </w:p>
    <w:p>
      <w:r>
        <w:t>Pre-test expected total repayable: Offer A = ₹11,400; Offer B = ₹22,800. Post-test: Offer C = ₹17,400; Offer D = ₹28,800. The tracker uses ±5% tolerance for a correct cost estimate.</w:t>
      </w:r>
    </w:p>
    <w:p>
      <w:r>
        <w:t>Risk scoring convention: Verified project labels are scored as Lower concern; Risky project labels are scored as Higher concern. “Risky” labels in the project dataset require documented evidence; they are not legal declarations.</w:t>
      </w:r>
    </w:p>
    <w:p>
      <w:pPr>
        <w:pStyle w:val="Heading2"/>
      </w:pPr>
      <w:r>
        <w:t>How to Report the Pilot</w:t>
      </w:r>
    </w:p>
    <w:p>
      <w:pPr>
        <w:pStyle w:val="ListBullet"/>
      </w:pPr>
      <w:r>
        <w:t>Number of participants who completed both tests</w:t>
      </w:r>
    </w:p>
    <w:p>
      <w:pPr>
        <w:pStyle w:val="ListBullet"/>
      </w:pPr>
      <w:r>
        <w:t>Average pre-test and post-test risk-classification accuracy</w:t>
      </w:r>
    </w:p>
    <w:p>
      <w:pPr>
        <w:pStyle w:val="ListBullet"/>
      </w:pPr>
      <w:r>
        <w:t>Average pre-test and post-test cost-estimate accuracy</w:t>
      </w:r>
    </w:p>
    <w:p>
      <w:pPr>
        <w:pStyle w:val="ListBullet"/>
      </w:pPr>
      <w:r>
        <w:t>Average confidence before and after</w:t>
      </w:r>
    </w:p>
    <w:p>
      <w:pPr>
        <w:pStyle w:val="ListBullet"/>
      </w:pPr>
      <w:r>
        <w:t>Average usability score</w:t>
      </w:r>
    </w:p>
    <w:p>
      <w:pPr>
        <w:pStyle w:val="ListBullet"/>
      </w:pPr>
      <w:r>
        <w:t>How many participants improved, stayed the same, or declined</w:t>
      </w:r>
    </w:p>
    <w:p>
      <w:pPr>
        <w:pStyle w:val="ListBullet"/>
      </w:pPr>
      <w:r>
        <w:t>Common points of confusion from comments</w:t>
      </w:r>
    </w:p>
    <w:p>
      <w:pPr>
        <w:pStyle w:val="ListBullet"/>
      </w:pPr>
      <w:r>
        <w:t>Limitations: small convenience sample, possible learning effect, and project-label limitations</w:t>
      </w:r>
    </w:p>
    <w:p>
      <w:r>
        <w:rPr>
          <w:b/>
        </w:rPr>
        <w:t xml:space="preserve">Source basis: </w:t>
      </w:r>
      <w:r>
        <w:t>Safe Loan Check Project Redesign Guide (24 September 2026), especially the Pilot Study Design and Responsible AI sections; project RBI DLA snapshot and project risky-label evidence dataset.</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Safe Loan Check • Pilot Study Pack • Academic evaluation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