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color w:val="595959"/>
          <w:sz w:val="20"/>
          <w:szCs w:val="20"/>
        </w:rPr>
        <w:t xml:space="preserve">COMP.8157 — Advanced Database Topics, 2026S</w:t>
      </w:r>
    </w:p>
    <w:p>
      <w:pPr>
        <w:spacing w:after="20"/>
      </w:pPr>
      <w:r>
        <w:rPr>
          <w:color w:val="595959"/>
          <w:sz w:val="20"/>
          <w:szCs w:val="20"/>
        </w:rPr>
        <w:t xml:space="preserve">University of Windsor, School of Computer Science</w:t>
      </w:r>
    </w:p>
    <w:p>
      <w:pPr>
        <w:spacing w:after="260"/>
      </w:pPr>
      <w:r>
        <w:rPr>
          <w:color w:val="595959"/>
          <w:sz w:val="20"/>
          <w:szCs w:val="20"/>
        </w:rPr>
        <w:t xml:space="preserve">Instructor: Dr. Andreas S. Maniatis</w:t>
      </w:r>
    </w:p>
    <w:p>
      <w:pPr>
        <w:pStyle w:val="Title"/>
        <w:spacing w:after="60"/>
      </w:pPr>
      <w:r>
        <w:rPr>
          <w:b/>
          <w:bCs/>
          <w:color w:val="1a1a1a"/>
          <w:sz w:val="34"/>
          <w:szCs w:val="34"/>
        </w:rPr>
        <w:t xml:space="preserve">D.4.1 User Requirements and Analysis Document</w:t>
      </w:r>
    </w:p>
    <w:p>
      <w:pPr>
        <w:spacing w:after="40"/>
      </w:pPr>
      <w:r>
        <w:rPr>
          <w:i/>
          <w:iCs/>
          <w:color w:val="44546A"/>
          <w:sz w:val="22"/>
          <w:szCs w:val="22"/>
        </w:rPr>
        <w:t xml:space="preserve">Performance Evaluation of Vector Indexing Techniques for AI Search Systems</w:t>
      </w:r>
    </w:p>
    <w:p>
      <w:pPr>
        <w:spacing w:after="220"/>
      </w:pPr>
      <w:r>
        <w:rPr>
          <w:color w:val="595959"/>
          <w:sz w:val="20"/>
          <w:szCs w:val="20"/>
        </w:rPr>
        <w:t xml:space="preserve">Group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00"/>
      </w:tblGrid>
      <w:tr>
        <w:trPr>
          <w:tblHeader/>
        </w:trPr>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Name</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Role</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Email</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Devu Babu Sheeja</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Data &amp; Embeddings Lead</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babushe@uwindsor.ca</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Ashwin Senthur Pandian</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Vector Indexing &amp; Tuning Lead</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senthur@uwindsor.ca</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Rishi G. Patel</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Query &amp; Evaluation Lead</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patel3zc@uwindsor.ca</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Nikhil Goud Nathi</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Experiments &amp; Visualization Lead</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nathin@uwindsor.ca</w:t>
            </w:r>
          </w:p>
        </w:tc>
      </w:tr>
    </w:tbl>
    <w:p>
      <w:r>
        <w:br w:type="page"/>
      </w:r>
    </w:p>
    <w:p>
      <w:pPr>
        <w:pStyle w:val="Heading1"/>
        <w:pBdr>
          <w:bottom w:val="single" w:color="BFBFBF" w:sz="4" w:space="4"/>
        </w:pBdr>
        <w:spacing w:after="140" w:before="320"/>
      </w:pPr>
      <w:r>
        <w:rPr>
          <w:b/>
          <w:bCs/>
          <w:color w:val="44546A"/>
          <w:sz w:val="27"/>
          <w:szCs w:val="27"/>
        </w:rPr>
        <w:t xml:space="preserve">1. Introduction &amp; Scope</w:t>
      </w:r>
    </w:p>
    <w:p>
      <w:pPr>
        <w:spacing w:after="140" w:line="300"/>
        <w:jc w:val="both"/>
      </w:pPr>
      <w:r>
        <w:rPr>
          <w:color w:val="1a1a1a"/>
          <w:sz w:val="21"/>
          <w:szCs w:val="21"/>
        </w:rPr>
        <w:t xml:space="preserve">This document sets out the user requirements for the Vector Index Benchmarking Framework, the system the team has been building since the D.1 pre-proposal to compare Flat, IVF, and HNSW vector indexes under identical conditions. The requirements below follow directly from the problem statement in the original proposal and the D.3.1 midterm status report: FAISS provides implementations of all three index families, but does not itself prescribe a way to compare them fairly, and most published benchmarks change the corpus, embedding model, or hardware between methods rather than holding them fixed. The framework exists to remove that inconsistency.</w:t>
      </w:r>
    </w:p>
    <w:p>
      <w:pPr>
        <w:spacing w:after="140" w:line="300"/>
        <w:jc w:val="both"/>
      </w:pPr>
      <w:r>
        <w:rPr>
          <w:color w:val="1a1a1a"/>
          <w:sz w:val="21"/>
          <w:szCs w:val="21"/>
        </w:rPr>
        <w:t xml:space="preserve">Practically, the intended user is someone in the position the team itself was in at the start of the project — a database or ML engineer who has to choose an indexing strategy for a search backend and wants a number they can trust, not a marketing benchmark. Feeding that user a config file and getting back latency, recall, memory, and build-time figures for all three methods, measured the same way, is the entire point of the system.</w:t>
      </w:r>
    </w:p>
    <w:p>
      <w:pPr>
        <w:spacing w:after="140" w:line="300"/>
        <w:jc w:val="both"/>
      </w:pPr>
      <w:r>
        <w:rPr>
          <w:color w:val="1a1a1a"/>
          <w:sz w:val="21"/>
          <w:szCs w:val="21"/>
        </w:rPr>
        <w:t xml:space="preserve">The scope is deliberately bounded to what the team can build, test, and defend within the course timeline. In scope: single-machine, CPU-only benchmarking of Flat, IVF, and HNSW over both a real text corpus (the ABC News Headlines dataset, embedded with Sentence-BERT) and synthetic vectors used for the larger scalability sweeps. Also in scope is a parameter-tuning pass over IVF's nprobe and HNSW's efSearch, since those are the two knobs that actually trade speed for accuracy at query time. Out of scope: GPU indexing, distributed or multi-node deployment, a hosted query-serving API, and any embedding model besides Sentence-BERT and the built-in synthetic generator. Results are written both as CSV tables and PNG charts on disk and as rows in a small embedded SQLite database, which is what makes one run comparable with another rather than merely readable on its own; what is out of scope is any server-hosted DBMS, since the object being evaluated is the index itself, not a surrounding database engine.</w:t>
      </w:r>
    </w:p>
    <w:p>
      <w:pPr>
        <w:pStyle w:val="Heading1"/>
        <w:pBdr>
          <w:bottom w:val="single" w:color="BFBFBF" w:sz="4" w:space="4"/>
        </w:pBdr>
        <w:spacing w:after="140" w:before="320"/>
      </w:pPr>
      <w:r>
        <w:rPr>
          <w:b/>
          <w:bCs/>
          <w:color w:val="44546A"/>
          <w:sz w:val="27"/>
          <w:szCs w:val="27"/>
        </w:rPr>
        <w:t xml:space="preserve">2. Stakeholder Roles</w:t>
      </w:r>
    </w:p>
    <w:p>
      <w:pPr>
        <w:spacing w:after="140" w:line="300"/>
        <w:jc w:val="both"/>
      </w:pPr>
      <w:r>
        <w:rPr>
          <w:color w:val="1a1a1a"/>
          <w:sz w:val="21"/>
          <w:szCs w:val="21"/>
        </w:rPr>
        <w:t xml:space="preserve">Dr. Andreas S. Maniatis and the course graders are the primary evaluators of this deliverable; they assess the application, its code, and its documentation against the D.4 rubric, and separately review each member's individual contribution.</w:t>
      </w:r>
    </w:p>
    <w:p>
      <w:pPr>
        <w:spacing w:after="140" w:line="300"/>
        <w:jc w:val="both"/>
      </w:pPr>
      <w:r>
        <w:rPr>
          <w:color w:val="1a1a1a"/>
          <w:sz w:val="21"/>
          <w:szCs w:val="21"/>
        </w:rPr>
        <w:t xml:space="preserve">Within the team, responsibilities were split along the same four areas established at the proposal stage and reaffirmed in the midterm report. Devu Babu Sheeja owns dataset selection, ingestion, and embedding generation. Ashwin Senthur Pandian owns the indexing layer, including the Flat and IVF implementations built early and the HNSW index and tuning script completed since the midterm checkpoint. Rishi G. Patel owns the query engine and evaluation logic — timing, recall@K, and orchestration across single-scale and scalability runs — and, since the design review, the results database and its integrity constraints. Nikhil Goud Nathi owns the benchmark CLI, the visualization/reporting layer, the shared repository, and the continuous-integration workflow.</w:t>
      </w:r>
    </w:p>
    <w:p>
      <w:pPr>
        <w:spacing w:after="140" w:line="300"/>
        <w:jc w:val="both"/>
      </w:pPr>
      <w:r>
        <w:rPr>
          <w:color w:val="1a1a1a"/>
          <w:sz w:val="21"/>
          <w:szCs w:val="21"/>
        </w:rPr>
        <w:t xml:space="preserve">Beyond the immediate course context, the framework is written with a further stakeholder in mind: anyone who later wants to extend it with another index type — Product Quantization, ScaNN, or DiskANN were all mentioned as future work in the proposal — without having to touch the ingestion, embedding, query, or evaluation code, because every index type only needs to implement one shared build/search interface.</w:t>
      </w:r>
    </w:p>
    <w:p>
      <w:pPr>
        <w:pStyle w:val="Heading1"/>
        <w:pBdr>
          <w:bottom w:val="single" w:color="BFBFBF" w:sz="4" w:space="4"/>
        </w:pBdr>
        <w:spacing w:after="140" w:before="320"/>
      </w:pPr>
      <w:r>
        <w:rPr>
          <w:b/>
          <w:bCs/>
          <w:color w:val="44546A"/>
          <w:sz w:val="27"/>
          <w:szCs w:val="27"/>
        </w:rPr>
        <w:t xml:space="preserve">3. Functional Requirements</w:t>
      </w:r>
    </w:p>
    <w:p>
      <w:pPr>
        <w:spacing w:after="140" w:line="300"/>
        <w:jc w:val="both"/>
      </w:pPr>
      <w:r>
        <w:rPr>
          <w:color w:val="1a1a1a"/>
          <w:sz w:val="21"/>
          <w:szCs w:val="21"/>
        </w:rPr>
        <w:t xml:space="preserve">The requirements below are numbered and prioritised by pipeline dependency, which mirrors how the team actually sequenced the sixteen-task breakdown in the midterm report: the high-priority items form the reproducible core (ingest, embed, index, query, evaluate, record), the medium items extend that core to scale and to tuning, and the low-priority items are reporting and retrieval — useful, but nothing else depends on them. FR-11 to FR-14 were added after the D.4.2 design review, when it became clear that a directory of per-run CSV files could not answer the questions the team was actually asking of its own results.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6300"/>
        <w:gridCol w:w="1500"/>
      </w:tblGrid>
      <w:tr>
        <w:trPr>
          <w:tblHeader/>
        </w:trPr>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ID</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Priority</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Requirement</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Module</w:t>
            </w:r>
          </w:p>
        </w:tc>
      </w:tr>
      <w:tr>
        <w:tc>
          <w:tcPr>
            <w:tcMar>
              <w:top w:type="dxa" w:w="90"/>
              <w:left w:type="dxa" w:w="110"/>
              <w:bottom w:type="dxa" w:w="90"/>
              <w:right w:type="dxa" w:w="110"/>
            </w:tcMar>
            <w:vAlign w:val="center"/>
          </w:tcPr>
          <w:p>
            <w:pPr>
              <w:jc w:val="left"/>
            </w:pPr>
            <w:r>
              <w:rPr>
                <w:b/>
                <w:bCs/>
                <w:i w:val="false"/>
                <w:iCs w:val="false"/>
                <w:color w:val="1a1a1a"/>
                <w:sz w:val="19"/>
                <w:szCs w:val="19"/>
              </w:rPr>
              <w:t xml:space="preserve">FR-1</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High</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Ingest raw text, clean and normalise it, and segment it into semantic units suitable for embedding.</w:t>
            </w:r>
          </w:p>
        </w:tc>
        <w:tc>
          <w:tcPr>
            <w:tcMar>
              <w:top w:type="dxa" w:w="90"/>
              <w:left w:type="dxa" w:w="110"/>
              <w:bottom w:type="dxa" w:w="90"/>
              <w:right w:type="dxa" w:w="110"/>
            </w:tcMar>
            <w:vAlign w:val="center"/>
          </w:tcPr>
          <w:p>
            <w:pPr>
              <w:jc w:val="left"/>
            </w:pPr>
            <w:r>
              <w:rPr>
                <w:b w:val="false"/>
                <w:bCs w:val="false"/>
                <w:i/>
                <w:iCs/>
                <w:color w:val="1a1a1a"/>
                <w:sz w:val="19"/>
                <w:szCs w:val="19"/>
              </w:rPr>
              <w:t xml:space="preserve">data_ingestion.py</w:t>
            </w:r>
          </w:p>
        </w:tc>
      </w:tr>
      <w:tr>
        <w:tc>
          <w:tcPr>
            <w:tcMar>
              <w:top w:type="dxa" w:w="90"/>
              <w:left w:type="dxa" w:w="110"/>
              <w:bottom w:type="dxa" w:w="90"/>
              <w:right w:type="dxa" w:w="110"/>
            </w:tcMar>
            <w:vAlign w:val="center"/>
          </w:tcPr>
          <w:p>
            <w:pPr>
              <w:jc w:val="left"/>
            </w:pPr>
            <w:r>
              <w:rPr>
                <w:b/>
                <w:bCs/>
                <w:i w:val="false"/>
                <w:iCs w:val="false"/>
                <w:color w:val="1a1a1a"/>
                <w:sz w:val="19"/>
                <w:szCs w:val="19"/>
              </w:rPr>
              <w:t xml:space="preserve">FR-2</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High</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Generate deterministic 384-dimensional Sentence-BERT embeddings (all-MiniLM-L6-v2) for the corpus and a held-out query set, with all randomness seeded.</w:t>
            </w:r>
          </w:p>
        </w:tc>
        <w:tc>
          <w:tcPr>
            <w:tcMar>
              <w:top w:type="dxa" w:w="90"/>
              <w:left w:type="dxa" w:w="110"/>
              <w:bottom w:type="dxa" w:w="90"/>
              <w:right w:type="dxa" w:w="110"/>
            </w:tcMar>
            <w:vAlign w:val="center"/>
          </w:tcPr>
          <w:p>
            <w:pPr>
              <w:jc w:val="left"/>
            </w:pPr>
            <w:r>
              <w:rPr>
                <w:b w:val="false"/>
                <w:bCs w:val="false"/>
                <w:i/>
                <w:iCs/>
                <w:color w:val="1a1a1a"/>
                <w:sz w:val="19"/>
                <w:szCs w:val="19"/>
              </w:rPr>
              <w:t xml:space="preserve">embeddings.py</w:t>
            </w:r>
          </w:p>
        </w:tc>
      </w:tr>
      <w:tr>
        <w:tc>
          <w:tcPr>
            <w:tcMar>
              <w:top w:type="dxa" w:w="90"/>
              <w:left w:type="dxa" w:w="110"/>
              <w:bottom w:type="dxa" w:w="90"/>
              <w:right w:type="dxa" w:w="110"/>
            </w:tcMar>
            <w:vAlign w:val="center"/>
          </w:tcPr>
          <w:p>
            <w:pPr>
              <w:jc w:val="left"/>
            </w:pPr>
            <w:r>
              <w:rPr>
                <w:b/>
                <w:bCs/>
                <w:i w:val="false"/>
                <w:iCs w:val="false"/>
                <w:color w:val="1a1a1a"/>
                <w:sz w:val="19"/>
                <w:szCs w:val="19"/>
              </w:rPr>
              <w:t xml:space="preserve">FR-3</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High</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Build Flat, IVF, and HNSW indexes from the same embedded vectors, each exposed through one common build/search interface.</w:t>
            </w:r>
          </w:p>
        </w:tc>
        <w:tc>
          <w:tcPr>
            <w:tcMar>
              <w:top w:type="dxa" w:w="90"/>
              <w:left w:type="dxa" w:w="110"/>
              <w:bottom w:type="dxa" w:w="90"/>
              <w:right w:type="dxa" w:w="110"/>
            </w:tcMar>
            <w:vAlign w:val="center"/>
          </w:tcPr>
          <w:p>
            <w:pPr>
              <w:jc w:val="left"/>
            </w:pPr>
            <w:r>
              <w:rPr>
                <w:b w:val="false"/>
                <w:bCs w:val="false"/>
                <w:i/>
                <w:iCs/>
                <w:color w:val="1a1a1a"/>
                <w:sz w:val="19"/>
                <w:szCs w:val="19"/>
              </w:rPr>
              <w:t xml:space="preserve">indexing.py</w:t>
            </w:r>
          </w:p>
        </w:tc>
      </w:tr>
      <w:tr>
        <w:tc>
          <w:tcPr>
            <w:tcMar>
              <w:top w:type="dxa" w:w="90"/>
              <w:left w:type="dxa" w:w="110"/>
              <w:bottom w:type="dxa" w:w="90"/>
              <w:right w:type="dxa" w:w="110"/>
            </w:tcMar>
            <w:vAlign w:val="center"/>
          </w:tcPr>
          <w:p>
            <w:pPr>
              <w:jc w:val="left"/>
            </w:pPr>
            <w:r>
              <w:rPr>
                <w:b/>
                <w:bCs/>
                <w:i w:val="false"/>
                <w:iCs w:val="false"/>
                <w:color w:val="1a1a1a"/>
                <w:sz w:val="19"/>
                <w:szCs w:val="19"/>
              </w:rPr>
              <w:t xml:space="preserve">FR-4</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High</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Run a fixed set of held-out queries against every index under identical runtime conditions, discarding a small warm-up set before timing begins.</w:t>
            </w:r>
          </w:p>
        </w:tc>
        <w:tc>
          <w:tcPr>
            <w:tcMar>
              <w:top w:type="dxa" w:w="90"/>
              <w:left w:type="dxa" w:w="110"/>
              <w:bottom w:type="dxa" w:w="90"/>
              <w:right w:type="dxa" w:w="110"/>
            </w:tcMar>
            <w:vAlign w:val="center"/>
          </w:tcPr>
          <w:p>
            <w:pPr>
              <w:jc w:val="left"/>
            </w:pPr>
            <w:r>
              <w:rPr>
                <w:b w:val="false"/>
                <w:bCs w:val="false"/>
                <w:i/>
                <w:iCs/>
                <w:color w:val="1a1a1a"/>
                <w:sz w:val="19"/>
                <w:szCs w:val="19"/>
              </w:rPr>
              <w:t xml:space="preserve">query_engine.py</w:t>
            </w:r>
          </w:p>
        </w:tc>
      </w:tr>
      <w:tr>
        <w:tc>
          <w:tcPr>
            <w:tcMar>
              <w:top w:type="dxa" w:w="90"/>
              <w:left w:type="dxa" w:w="110"/>
              <w:bottom w:type="dxa" w:w="90"/>
              <w:right w:type="dxa" w:w="110"/>
            </w:tcMar>
            <w:vAlign w:val="center"/>
          </w:tcPr>
          <w:p>
            <w:pPr>
              <w:jc w:val="left"/>
            </w:pPr>
            <w:r>
              <w:rPr>
                <w:b/>
                <w:bCs/>
                <w:i w:val="false"/>
                <w:iCs w:val="false"/>
                <w:color w:val="1a1a1a"/>
                <w:sz w:val="19"/>
                <w:szCs w:val="19"/>
              </w:rPr>
              <w:t xml:space="preserve">FR-5</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High</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Compute, per method, query latency (mean, p50, p95), recall@K against the Flat exact ground truth, index memory footprint, and index build time.</w:t>
            </w:r>
          </w:p>
        </w:tc>
        <w:tc>
          <w:tcPr>
            <w:tcMar>
              <w:top w:type="dxa" w:w="90"/>
              <w:left w:type="dxa" w:w="110"/>
              <w:bottom w:type="dxa" w:w="90"/>
              <w:right w:type="dxa" w:w="110"/>
            </w:tcMar>
            <w:vAlign w:val="center"/>
          </w:tcPr>
          <w:p>
            <w:pPr>
              <w:jc w:val="left"/>
            </w:pPr>
            <w:r>
              <w:rPr>
                <w:b w:val="false"/>
                <w:bCs w:val="false"/>
                <w:i/>
                <w:iCs/>
                <w:color w:val="1a1a1a"/>
                <w:sz w:val="19"/>
                <w:szCs w:val="19"/>
              </w:rPr>
              <w:t xml:space="preserve">query_engine.py</w:t>
            </w:r>
          </w:p>
        </w:tc>
      </w:tr>
      <w:tr>
        <w:tc>
          <w:tcPr>
            <w:tcMar>
              <w:top w:type="dxa" w:w="90"/>
              <w:left w:type="dxa" w:w="110"/>
              <w:bottom w:type="dxa" w:w="90"/>
              <w:right w:type="dxa" w:w="110"/>
            </w:tcMar>
            <w:vAlign w:val="center"/>
          </w:tcPr>
          <w:p>
            <w:pPr>
              <w:jc w:val="left"/>
            </w:pPr>
            <w:r>
              <w:rPr>
                <w:b/>
                <w:bCs/>
                <w:i w:val="false"/>
                <w:iCs w:val="false"/>
                <w:color w:val="1a1a1a"/>
                <w:sz w:val="19"/>
                <w:szCs w:val="19"/>
              </w:rPr>
              <w:t xml:space="preserve">FR-6</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Medium</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Support a scalability sweep across a configurable list of dataset sizes, from 1,000 up to 100,000 vectors.</w:t>
            </w:r>
          </w:p>
        </w:tc>
        <w:tc>
          <w:tcPr>
            <w:tcMar>
              <w:top w:type="dxa" w:w="90"/>
              <w:left w:type="dxa" w:w="110"/>
              <w:bottom w:type="dxa" w:w="90"/>
              <w:right w:type="dxa" w:w="110"/>
            </w:tcMar>
            <w:vAlign w:val="center"/>
          </w:tcPr>
          <w:p>
            <w:pPr>
              <w:jc w:val="left"/>
            </w:pPr>
            <w:r>
              <w:rPr>
                <w:b w:val="false"/>
                <w:bCs w:val="false"/>
                <w:i/>
                <w:iCs/>
                <w:color w:val="1a1a1a"/>
                <w:sz w:val="19"/>
                <w:szCs w:val="19"/>
              </w:rPr>
              <w:t xml:space="preserve">benchmark.py</w:t>
            </w:r>
          </w:p>
        </w:tc>
      </w:tr>
      <w:tr>
        <w:tc>
          <w:tcPr>
            <w:tcMar>
              <w:top w:type="dxa" w:w="90"/>
              <w:left w:type="dxa" w:w="110"/>
              <w:bottom w:type="dxa" w:w="90"/>
              <w:right w:type="dxa" w:w="110"/>
            </w:tcMar>
            <w:vAlign w:val="center"/>
          </w:tcPr>
          <w:p>
            <w:pPr>
              <w:jc w:val="left"/>
            </w:pPr>
            <w:r>
              <w:rPr>
                <w:b/>
                <w:bCs/>
                <w:i w:val="false"/>
                <w:iCs w:val="false"/>
                <w:color w:val="1a1a1a"/>
                <w:sz w:val="19"/>
                <w:szCs w:val="19"/>
              </w:rPr>
              <w:t xml:space="preserve">FR-7</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Medium</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Support a parameter-tuning sweep of IVF's nprobe and HNSW's efSearch, embedding the corpus once and re-querying at each setting.</w:t>
            </w:r>
          </w:p>
        </w:tc>
        <w:tc>
          <w:tcPr>
            <w:tcMar>
              <w:top w:type="dxa" w:w="90"/>
              <w:left w:type="dxa" w:w="110"/>
              <w:bottom w:type="dxa" w:w="90"/>
              <w:right w:type="dxa" w:w="110"/>
            </w:tcMar>
            <w:vAlign w:val="center"/>
          </w:tcPr>
          <w:p>
            <w:pPr>
              <w:jc w:val="left"/>
            </w:pPr>
            <w:r>
              <w:rPr>
                <w:b w:val="false"/>
                <w:bCs w:val="false"/>
                <w:i/>
                <w:iCs/>
                <w:color w:val="1a1a1a"/>
                <w:sz w:val="19"/>
                <w:szCs w:val="19"/>
              </w:rPr>
              <w:t xml:space="preserve">tune_parameters.py</w:t>
            </w:r>
          </w:p>
        </w:tc>
      </w:tr>
      <w:tr>
        <w:tc>
          <w:tcPr>
            <w:tcMar>
              <w:top w:type="dxa" w:w="90"/>
              <w:left w:type="dxa" w:w="110"/>
              <w:bottom w:type="dxa" w:w="90"/>
              <w:right w:type="dxa" w:w="110"/>
            </w:tcMar>
            <w:vAlign w:val="center"/>
          </w:tcPr>
          <w:p>
            <w:pPr>
              <w:jc w:val="left"/>
            </w:pPr>
            <w:r>
              <w:rPr>
                <w:b/>
                <w:bCs/>
                <w:i w:val="false"/>
                <w:iCs w:val="false"/>
                <w:color w:val="1a1a1a"/>
                <w:sz w:val="19"/>
                <w:szCs w:val="19"/>
              </w:rPr>
              <w:t xml:space="preserve">FR-8</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Medium</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Drive every experiment from a declarative YAML config (data source, embedding backend, index parameters, evaluation settings), with no code changes needed between runs.</w:t>
            </w:r>
          </w:p>
        </w:tc>
        <w:tc>
          <w:tcPr>
            <w:tcMar>
              <w:top w:type="dxa" w:w="90"/>
              <w:left w:type="dxa" w:w="110"/>
              <w:bottom w:type="dxa" w:w="90"/>
              <w:right w:type="dxa" w:w="110"/>
            </w:tcMar>
            <w:vAlign w:val="center"/>
          </w:tcPr>
          <w:p>
            <w:pPr>
              <w:jc w:val="left"/>
            </w:pPr>
            <w:r>
              <w:rPr>
                <w:b w:val="false"/>
                <w:bCs w:val="false"/>
                <w:i/>
                <w:iCs/>
                <w:color w:val="1a1a1a"/>
                <w:sz w:val="19"/>
                <w:szCs w:val="19"/>
              </w:rPr>
              <w:t xml:space="preserve">configs/*.yaml</w:t>
            </w:r>
          </w:p>
        </w:tc>
      </w:tr>
      <w:tr>
        <w:tc>
          <w:tcPr>
            <w:tcMar>
              <w:top w:type="dxa" w:w="90"/>
              <w:left w:type="dxa" w:w="110"/>
              <w:bottom w:type="dxa" w:w="90"/>
              <w:right w:type="dxa" w:w="110"/>
            </w:tcMar>
            <w:vAlign w:val="center"/>
          </w:tcPr>
          <w:p>
            <w:pPr>
              <w:jc w:val="left"/>
            </w:pPr>
            <w:r>
              <w:rPr>
                <w:b/>
                <w:bCs/>
                <w:i w:val="false"/>
                <w:iCs w:val="false"/>
                <w:color w:val="1a1a1a"/>
                <w:sz w:val="19"/>
                <w:szCs w:val="19"/>
              </w:rPr>
              <w:t xml:space="preserve">FR-9</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Medium</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Adapt IVF's cluster count (nlist) to the size of the dataset, so k-means training does not fail or warn on small corpora.</w:t>
            </w:r>
          </w:p>
        </w:tc>
        <w:tc>
          <w:tcPr>
            <w:tcMar>
              <w:top w:type="dxa" w:w="90"/>
              <w:left w:type="dxa" w:w="110"/>
              <w:bottom w:type="dxa" w:w="90"/>
              <w:right w:type="dxa" w:w="110"/>
            </w:tcMar>
            <w:vAlign w:val="center"/>
          </w:tcPr>
          <w:p>
            <w:pPr>
              <w:jc w:val="left"/>
            </w:pPr>
            <w:r>
              <w:rPr>
                <w:b w:val="false"/>
                <w:bCs w:val="false"/>
                <w:i/>
                <w:iCs/>
                <w:color w:val="1a1a1a"/>
                <w:sz w:val="19"/>
                <w:szCs w:val="19"/>
              </w:rPr>
              <w:t xml:space="preserve">indexing.py</w:t>
            </w:r>
          </w:p>
        </w:tc>
      </w:tr>
      <w:tr>
        <w:tc>
          <w:tcPr>
            <w:tcMar>
              <w:top w:type="dxa" w:w="90"/>
              <w:left w:type="dxa" w:w="110"/>
              <w:bottom w:type="dxa" w:w="90"/>
              <w:right w:type="dxa" w:w="110"/>
            </w:tcMar>
            <w:vAlign w:val="center"/>
          </w:tcPr>
          <w:p>
            <w:pPr>
              <w:jc w:val="left"/>
            </w:pPr>
            <w:r>
              <w:rPr>
                <w:b/>
                <w:bCs/>
                <w:i w:val="false"/>
                <w:iCs w:val="false"/>
                <w:color w:val="1a1a1a"/>
                <w:sz w:val="19"/>
                <w:szCs w:val="19"/>
              </w:rPr>
              <w:t xml:space="preserve">FR-10</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Low</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Produce comparative bar charts, scalability line charts, latency-versus-recall plots, and CSV result tables for every run.</w:t>
            </w:r>
          </w:p>
        </w:tc>
        <w:tc>
          <w:tcPr>
            <w:tcMar>
              <w:top w:type="dxa" w:w="90"/>
              <w:left w:type="dxa" w:w="110"/>
              <w:bottom w:type="dxa" w:w="90"/>
              <w:right w:type="dxa" w:w="110"/>
            </w:tcMar>
            <w:vAlign w:val="center"/>
          </w:tcPr>
          <w:p>
            <w:pPr>
              <w:jc w:val="left"/>
            </w:pPr>
            <w:r>
              <w:rPr>
                <w:b w:val="false"/>
                <w:bCs w:val="false"/>
                <w:i/>
                <w:iCs/>
                <w:color w:val="1a1a1a"/>
                <w:sz w:val="19"/>
                <w:szCs w:val="19"/>
              </w:rPr>
              <w:t xml:space="preserve">visualization.py</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FR-11</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High</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Record every run — its full configuration, the machine and library versions it ran on, and every measurement it produced — in a persistent results database.</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results_db.py</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FR-12</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Medium</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Write an execution log for every run into the same database as its results, tagged by severity and pipeline stage, and mark a run that raises as failed.</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results_db.py</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FR-13</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Low</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Provide a command-line interface for listing, filtering, sorting, exporting, and querying recorded runs and measurements across the whole result history.</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db_cli.py</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FR-14</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Medium</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Ship an automated test suite covering ingestion, embedding determinism, all three index families, the evaluation metrics, and the database constraints.</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tests/</w:t>
            </w:r>
          </w:p>
        </w:tc>
      </w:tr>
    </w:tbl>
    <w:p>
      <w:pPr>
        <w:pStyle w:val="Heading1"/>
        <w:pBdr>
          <w:bottom w:val="single" w:color="BFBFBF" w:sz="4" w:space="4"/>
        </w:pBdr>
        <w:spacing w:after="140" w:before="320"/>
      </w:pPr>
      <w:r>
        <w:rPr>
          <w:b/>
          <w:bCs/>
          <w:color w:val="44546A"/>
          <w:sz w:val="27"/>
          <w:szCs w:val="27"/>
        </w:rPr>
        <w:t xml:space="preserve">4. Non-Functional Requirements</w:t>
      </w:r>
    </w:p>
    <w:p>
      <w:pPr>
        <w:spacing w:after="140" w:line="300"/>
        <w:jc w:val="both"/>
      </w:pPr>
      <w:r>
        <w:rPr>
          <w:color w:val="1a1a1a"/>
          <w:sz w:val="21"/>
          <w:szCs w:val="21"/>
        </w:rPr>
        <w:t xml:space="preserve">Fairness is the requirement the whole project is organised around: every index method is built from the same corpus and the same embeddings, and answers the same fixed query set under the same runtime conditions, so any difference measured between methods is attributable to the indexing structure itself and not to some other variable that quietly changed. Reproducibility follows from that — every source of randomness in the pipeline, from corpus sampling to synthetic vector generation to the query hold-out, is seeded, so re-running the same config twice must produce the same numbers.</w:t>
      </w:r>
    </w:p>
    <w:p>
      <w:pPr>
        <w:spacing w:after="140" w:line="300"/>
        <w:jc w:val="both"/>
      </w:pPr>
      <w:r>
        <w:rPr>
          <w:color w:val="1a1a1a"/>
          <w:sz w:val="21"/>
          <w:szCs w:val="21"/>
        </w:rPr>
        <w:t xml:space="preserve">On the performance side, the framework needs to get through a full three-method comparison at 100,000 vectors, and a complete 1K–100K scalability sweep, in a reasonable amount of time on a single CPU machine — there is no GPU dependency and none was ever planned, since the course scope was single-machine from the proposal stage onward. Usability matters too: everything runs from one CLI command against a YAML config, and a small built-in sample corpus means the whole pipeline can be demonstrated with zero downloads if the real dataset isn't available.</w:t>
      </w:r>
    </w:p>
    <w:p>
      <w:pPr>
        <w:spacing w:after="140" w:line="300"/>
        <w:jc w:val="both"/>
      </w:pPr>
      <w:r>
        <w:rPr>
          <w:color w:val="1a1a1a"/>
          <w:sz w:val="21"/>
          <w:szCs w:val="21"/>
        </w:rPr>
        <w:t xml:space="preserve">Maintainability is addressed by keeping the layers of the architecture (ingestion, embedding, indexing, query engine, evaluation, persistence) behind narrow, uniform interfaces, so adding a new index type later does not require touching the others; the automated test suite and the continuous-integration matrix exist to keep that property honest as the code changes.</w:t>
      </w:r>
    </w:p>
    <w:p>
      <w:pPr>
        <w:spacing w:after="140" w:line="300"/>
        <w:jc w:val="both"/>
      </w:pPr>
      <w:r>
        <w:rPr>
          <w:color w:val="1a1a1a"/>
          <w:sz w:val="21"/>
          <w:szCs w:val="21"/>
        </w:rPr>
        <w:t xml:space="preserve">Security is bounded by what the application actually exposes, which is very little. It is a local command-line tool with no listening service, no user accounts, and no credentials of any kind, so there is no authentication surface to protect and no secret to leak; both external downloads are unauthenticated public HTTPS endpoints, so no API key or token is stored in the repository. Where the framework does touch a security boundary it is handled explicitly: every database write is a parameterised query, so a corpus path or a free-text run note can never be interpreted as SQL, and the ad-hoc query command refuses any statement that is not a read, so browsing the results cannot alter them. The corpus is public CC0 news text containing no personal data, so no privacy obligation attaches to the stored results.</w:t>
      </w:r>
    </w:p>
    <w:p>
      <w:pPr>
        <w:spacing w:after="140" w:line="300"/>
        <w:jc w:val="both"/>
      </w:pPr>
      <w:r>
        <w:rPr>
          <w:color w:val="1a1a1a"/>
          <w:sz w:val="21"/>
          <w:szCs w:val="21"/>
        </w:rPr>
        <w:t xml:space="preserve">Data integrity is enforced at two levels. In the evaluation logic, recall@K is always scored against Flat Search's own exact top-K for the same query — never an assumed or external ground truth. In the results database, the same guarantee is expressed as schema constraints: recall is CHECKed into the interval [0,1], the method column is restricted to the three implemented families, a run may record each method only once per dataset size, and a measurement cannot exist without the run that produced it. A number that could not have come from a valid measurement is therefore rejected at write time rather than discovered later in a chart. Finally, the ABC News Headlines dataset is used under its CC0 licence, and all submitted work follows University of Windsor academic-integrity policy.</w:t>
      </w:r>
    </w:p>
    <w:p>
      <w:pPr>
        <w:pStyle w:val="Heading1"/>
        <w:pBdr>
          <w:bottom w:val="single" w:color="BFBFBF" w:sz="4" w:space="4"/>
        </w:pBdr>
        <w:spacing w:after="140" w:before="320"/>
      </w:pPr>
      <w:r>
        <w:rPr>
          <w:b/>
          <w:bCs/>
          <w:color w:val="44546A"/>
          <w:sz w:val="27"/>
          <w:szCs w:val="27"/>
        </w:rPr>
        <w:t xml:space="preserve">5. Acceptance Criteria</w:t>
      </w:r>
    </w:p>
    <w:p>
      <w:pPr>
        <w:spacing w:after="140" w:line="300"/>
        <w:jc w:val="both"/>
      </w:pPr>
      <w:r>
        <w:rPr>
          <w:color w:val="1a1a1a"/>
          <w:sz w:val="21"/>
          <w:szCs w:val="21"/>
        </w:rPr>
        <w:t xml:space="preserve">Each criterion is something that can actually be checked by running the framework and reading its output — no subjective judgement calls.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8700"/>
      </w:tblGrid>
      <w:tr>
        <w:trPr>
          <w:tblHeader/>
        </w:trPr>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ID</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Criterion</w:t>
            </w:r>
          </w:p>
        </w:tc>
      </w:tr>
      <w:tr>
        <w:tc>
          <w:tcPr>
            <w:tcMar>
              <w:top w:type="dxa" w:w="90"/>
              <w:left w:type="dxa" w:w="110"/>
              <w:bottom w:type="dxa" w:w="90"/>
              <w:right w:type="dxa" w:w="110"/>
            </w:tcMar>
            <w:vAlign w:val="center"/>
          </w:tcPr>
          <w:p>
            <w:pPr>
              <w:jc w:val="left"/>
            </w:pPr>
            <w:r>
              <w:rPr>
                <w:b/>
                <w:bCs/>
                <w:i w:val="false"/>
                <w:iCs w:val="false"/>
                <w:color w:val="1a1a1a"/>
                <w:sz w:val="19"/>
                <w:szCs w:val="19"/>
              </w:rPr>
              <w:t xml:space="preserve">AC-1</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python run_benchmark.py --config configs/text_sbert.yaml completes without error and writes a CSV plus PNG charts for Flat, IVF, and HNSW to results/.</w:t>
            </w:r>
          </w:p>
        </w:tc>
      </w:tr>
      <w:tr>
        <w:tc>
          <w:tcPr>
            <w:tcMar>
              <w:top w:type="dxa" w:w="90"/>
              <w:left w:type="dxa" w:w="110"/>
              <w:bottom w:type="dxa" w:w="90"/>
              <w:right w:type="dxa" w:w="110"/>
            </w:tcMar>
            <w:vAlign w:val="center"/>
          </w:tcPr>
          <w:p>
            <w:pPr>
              <w:jc w:val="left"/>
            </w:pPr>
            <w:r>
              <w:rPr>
                <w:b/>
                <w:bCs/>
                <w:i w:val="false"/>
                <w:iCs w:val="false"/>
                <w:color w:val="1a1a1a"/>
                <w:sz w:val="19"/>
                <w:szCs w:val="19"/>
              </w:rPr>
              <w:t xml:space="preserve">AC-2</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Flat Search reports recall@10 = 1.000 in every run, since it is its own exact ground truth.</w:t>
            </w:r>
          </w:p>
        </w:tc>
      </w:tr>
      <w:tr>
        <w:tc>
          <w:tcPr>
            <w:tcMar>
              <w:top w:type="dxa" w:w="90"/>
              <w:left w:type="dxa" w:w="110"/>
              <w:bottom w:type="dxa" w:w="90"/>
              <w:right w:type="dxa" w:w="110"/>
            </w:tcMar>
            <w:vAlign w:val="center"/>
          </w:tcPr>
          <w:p>
            <w:pPr>
              <w:jc w:val="left"/>
            </w:pPr>
            <w:r>
              <w:rPr>
                <w:b/>
                <w:bCs/>
                <w:i w:val="false"/>
                <w:iCs w:val="false"/>
                <w:color w:val="1a1a1a"/>
                <w:sz w:val="19"/>
                <w:szCs w:val="19"/>
              </w:rPr>
              <w:t xml:space="preserve">AC-3</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On the 20,000-headline benchmark, IVF and HNSW each reach recall@10 ≥ 0.95 against the Flat baseline at default parameters.</w:t>
            </w:r>
          </w:p>
        </w:tc>
      </w:tr>
      <w:tr>
        <w:tc>
          <w:tcPr>
            <w:tcMar>
              <w:top w:type="dxa" w:w="90"/>
              <w:left w:type="dxa" w:w="110"/>
              <w:bottom w:type="dxa" w:w="90"/>
              <w:right w:type="dxa" w:w="110"/>
            </w:tcMar>
            <w:vAlign w:val="center"/>
          </w:tcPr>
          <w:p>
            <w:pPr>
              <w:jc w:val="left"/>
            </w:pPr>
            <w:r>
              <w:rPr>
                <w:b/>
                <w:bCs/>
                <w:i w:val="false"/>
                <w:iCs w:val="false"/>
                <w:color w:val="1a1a1a"/>
                <w:sz w:val="19"/>
                <w:szCs w:val="19"/>
              </w:rPr>
              <w:t xml:space="preserve">AC-4</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The 1K–100K scalability sweep completes for all three methods with no k-means training warnings, confirming the adaptive nlist scaling actually works at the smallest scale.</w:t>
            </w:r>
          </w:p>
        </w:tc>
      </w:tr>
      <w:tr>
        <w:tc>
          <w:tcPr>
            <w:tcMar>
              <w:top w:type="dxa" w:w="90"/>
              <w:left w:type="dxa" w:w="110"/>
              <w:bottom w:type="dxa" w:w="90"/>
              <w:right w:type="dxa" w:w="110"/>
            </w:tcMar>
            <w:vAlign w:val="center"/>
          </w:tcPr>
          <w:p>
            <w:pPr>
              <w:jc w:val="left"/>
            </w:pPr>
            <w:r>
              <w:rPr>
                <w:b/>
                <w:bCs/>
                <w:i w:val="false"/>
                <w:iCs w:val="false"/>
                <w:color w:val="1a1a1a"/>
                <w:sz w:val="19"/>
                <w:szCs w:val="19"/>
              </w:rPr>
              <w:t xml:space="preserve">AC-5</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tune_parameters.py writes a results table and charts to results/tuning/ showing recall generally rising as IVF's nprobe or HNSW's efSearch is increased.</w:t>
            </w:r>
          </w:p>
        </w:tc>
      </w:tr>
      <w:tr>
        <w:tc>
          <w:tcPr>
            <w:tcMar>
              <w:top w:type="dxa" w:w="90"/>
              <w:left w:type="dxa" w:w="110"/>
              <w:bottom w:type="dxa" w:w="90"/>
              <w:right w:type="dxa" w:w="110"/>
            </w:tcMar>
            <w:vAlign w:val="center"/>
          </w:tcPr>
          <w:p>
            <w:pPr>
              <w:jc w:val="left"/>
            </w:pPr>
            <w:r>
              <w:rPr>
                <w:b/>
                <w:bCs/>
                <w:i w:val="false"/>
                <w:iCs w:val="false"/>
                <w:color w:val="1a1a1a"/>
                <w:sz w:val="19"/>
                <w:szCs w:val="19"/>
              </w:rPr>
              <w:t xml:space="preserve">AC-6</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Two runs of the same config and seed produce identical embeddings, byte for byte.</w:t>
            </w:r>
          </w:p>
        </w:tc>
      </w:tr>
      <w:tr>
        <w:tc>
          <w:tcPr>
            <w:tcMar>
              <w:top w:type="dxa" w:w="90"/>
              <w:left w:type="dxa" w:w="110"/>
              <w:bottom w:type="dxa" w:w="90"/>
              <w:right w:type="dxa" w:w="110"/>
            </w:tcMar>
            <w:vAlign w:val="center"/>
          </w:tcPr>
          <w:p>
            <w:pPr>
              <w:jc w:val="left"/>
            </w:pPr>
            <w:r>
              <w:rPr>
                <w:b/>
                <w:bCs/>
                <w:i w:val="false"/>
                <w:iCs w:val="false"/>
                <w:color w:val="1a1a1a"/>
                <w:sz w:val="19"/>
                <w:szCs w:val="19"/>
              </w:rPr>
              <w:t xml:space="preserve">AC-7</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Changing an index parameter, such as HNSW's M, only requires editing a YAML file — never the source code.</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AC-8</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Every run appends exactly one row to the run table and one measurement row per method per dataset size; deleting a run removes its measurements, tuning points, and log lines with it, leaving no orphaned rows.</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AC-9</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python db_cli.py logs --level ERROR returns no rows across the whole result history, and any run that raises an exception is recorded with status 'failed' before the traceback is re-raised.</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AC-10</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The database rejects an out-of-range measurement: writing a recall value outside [0,1] raises sqlite3.IntegrityError rather than being stored.</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AC-11</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pytest passes and ruff check . reports no findings, on Ubuntu and Windows across Python 3.10, 3.11, and 3.13.</w:t>
            </w:r>
          </w:p>
        </w:tc>
      </w:tr>
    </w:tbl>
    <w:p>
      <w:pPr>
        <w:pStyle w:val="Heading1"/>
        <w:pBdr>
          <w:bottom w:val="single" w:color="BFBFBF" w:sz="4" w:space="4"/>
        </w:pBdr>
        <w:spacing w:after="140" w:before="320"/>
      </w:pPr>
      <w:r>
        <w:rPr>
          <w:b/>
          <w:bCs/>
          <w:color w:val="44546A"/>
          <w:sz w:val="27"/>
          <w:szCs w:val="27"/>
        </w:rPr>
        <w:t xml:space="preserve">6. Revision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900"/>
        <w:gridCol w:w="4200"/>
        <w:gridCol w:w="2200"/>
      </w:tblGrid>
      <w:tr>
        <w:trPr>
          <w:tblHeader/>
        </w:trPr>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Version</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Date</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Author</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Description</w:t>
            </w:r>
          </w:p>
        </w:tc>
        <w:tc>
          <w:tcPr>
            <w:shd w:fill="E7E9ED" w:val="clear"/>
            <w:tcMar>
              <w:top w:type="dxa" w:w="90"/>
              <w:left w:type="dxa" w:w="110"/>
              <w:bottom w:type="dxa" w:w="90"/>
              <w:right w:type="dxa" w:w="110"/>
            </w:tcMar>
            <w:vAlign w:val="center"/>
          </w:tcPr>
          <w:p>
            <w:pPr>
              <w:jc w:val="left"/>
            </w:pPr>
            <w:r>
              <w:rPr>
                <w:b/>
                <w:bCs/>
                <w:i w:val="false"/>
                <w:iCs w:val="false"/>
                <w:color w:val="1a1a1a"/>
                <w:sz w:val="19"/>
                <w:szCs w:val="19"/>
              </w:rPr>
              <w:t xml:space="preserve">Approval</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v0.1</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May 17, 2026</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Team</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Initial requirements sketched out alongside the D.1 pre-proposal.</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Approved at the D.1 planning meeting</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v0.2</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May 31, 2026</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Team</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Requirements expanded to match the scope approved in the D.2.1 full proposal.</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Approved at the D.2.1 proposal review</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v1.0</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Jun 28, 2026</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Team</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Updated to match the D.3.1 midterm status report — Flat and IVF requirements verified against real results, HNSW and tuning still marked in progress.</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Approved at the midterm checkpoint review</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v1.1</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Jul 21, 2026</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Team</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Finalised for D.4: HNSW indexing and the parameter-tuning sweep are implemented and verified, and this document now reflects the completed system rather than the plan.</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Approved at the D.4 documentation review</w:t>
            </w:r>
          </w:p>
        </w:tc>
      </w:tr>
      <w:tr>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v1.2</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Jul 29, 2026</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Team</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Updated for the D.4.3 code submission: the results database, its execution log, and the automated test suite are now requirements (FR-11 to FR-14) rather than implementation detail, with matching acceptance criteria, security and integrity constraints.</w:t>
            </w:r>
          </w:p>
        </w:tc>
        <w:tc>
          <w:tcPr>
            <w:tcMar>
              <w:top w:type="dxa" w:w="90"/>
              <w:left w:type="dxa" w:w="110"/>
              <w:bottom w:type="dxa" w:w="90"/>
              <w:right w:type="dxa" w:w="110"/>
            </w:tcMar>
            <w:vAlign w:val="center"/>
          </w:tcPr>
          <w:p>
            <w:pPr>
              <w:jc w:val="left"/>
            </w:pPr>
            <w:r>
              <w:rPr>
                <w:b w:val="false"/>
                <w:bCs w:val="false"/>
                <w:i w:val="false"/>
                <w:iCs w:val="false"/>
                <w:color w:val="1a1a1a"/>
                <w:sz w:val="19"/>
                <w:szCs w:val="19"/>
              </w:rPr>
              <w:t xml:space="preserve">Approved at the D.4.3 code review</w:t>
            </w:r>
          </w:p>
        </w:tc>
      </w:tr>
    </w:tbl>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5"/>
        <w:szCs w:val="15"/>
      </w:rPr>
      <w:t xml:space="preserve">COMP.8157 — D.4.1 User Requirements and Analysis — Group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Company>University of Windsor, School of Computer Science</Company>
  <Manager>Dr. Andreas S. Maniatis</Manager>
  <Pages>5</Pages>
  <Words>1090</Word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D.4.1 User Requirements and Analysis Document</dc:title>
  <dc:subject>Performance Evaluation of Vector Indexing Techniques for AI Search Systems</dc:subject>
  <dc:creator>Group 4</dc:creator>
  <cp:keywords>COMP.8157; Advanced Database Topics; 2026S; vector indexing; FAISS; Group 4</cp:keywords>
  <dc:description>COMP.8157 Advanced Database Topics, 2026S - University of Windsor, School of Computer Science. Instructor: Dr. Andreas S. Maniatis.</dc:description>
  <cp:lastModifiedBy>Group 4</cp:lastModifiedBy>
  <cp:revision>6</cp:revision>
  <dcterms:created xsi:type="dcterms:W3CDTF">2026-07-21T18:31:35Z</dcterms:created>
  <dcterms:modified xsi:type="dcterms:W3CDTF">2026-07-29T17:05:00Z</dcterms:modified>
  <cp:category>Course deliverable</cp:category>
</cp:coreProperties>
</file>

<file path=docProps/custom.xml><?xml version="1.0" encoding="utf-8"?>
<Properties xmlns="http://schemas.openxmlformats.org/officeDocument/2006/custom-properties" xmlns:vt="http://schemas.openxmlformats.org/officeDocument/2006/docPropsVTypes"/>
</file>