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5396C" w14:textId="77777777" w:rsidR="00CF04F3" w:rsidRDefault="00CC7C4A">
      <w:pPr>
        <w:spacing w:after="15" w:line="210" w:lineRule="auto"/>
        <w:jc w:val="center"/>
      </w:pPr>
      <w:r>
        <w:rPr>
          <w:b/>
          <w:color w:val="265C82"/>
        </w:rPr>
        <w:t>PROJECT PROPOSAL</w:t>
      </w:r>
    </w:p>
    <w:p w14:paraId="1D48CEA3" w14:textId="77777777" w:rsidR="00CF04F3" w:rsidRDefault="00CC7C4A">
      <w:pPr>
        <w:spacing w:after="25" w:line="240" w:lineRule="auto"/>
        <w:jc w:val="center"/>
      </w:pPr>
      <w:r>
        <w:rPr>
          <w:b/>
          <w:color w:val="1F3F5F"/>
          <w:sz w:val="33"/>
          <w:szCs w:val="33"/>
        </w:rPr>
        <w:t>Travel Style Segmentation &amp; Drift Monitoring</w:t>
      </w:r>
    </w:p>
    <w:p w14:paraId="0D2BF3FF" w14:textId="77777777" w:rsidR="00CF04F3" w:rsidRDefault="00CC7C4A">
      <w:pPr>
        <w:spacing w:after="5" w:line="205" w:lineRule="auto"/>
        <w:jc w:val="center"/>
      </w:pPr>
      <w:r>
        <w:rPr>
          <w:color w:val="595959"/>
          <w:sz w:val="17"/>
          <w:szCs w:val="17"/>
        </w:rPr>
        <w:t>ITCS355 - Machine Learning Operation and Deployment  |  Cloud Platform: GCP</w:t>
      </w:r>
    </w:p>
    <w:p w14:paraId="6A3C3AA0" w14:textId="02398B04" w:rsidR="00CF04F3" w:rsidRDefault="00CC7C4A">
      <w:pPr>
        <w:pBdr>
          <w:bottom w:val="single" w:sz="5" w:space="4" w:color="DCE1E6"/>
        </w:pBdr>
        <w:spacing w:line="205" w:lineRule="auto"/>
        <w:jc w:val="center"/>
        <w:rPr>
          <w:rFonts w:cstheme="minorBidi"/>
          <w:color w:val="595959"/>
          <w:sz w:val="17"/>
          <w:szCs w:val="17"/>
        </w:rPr>
      </w:pPr>
      <w:proofErr w:type="spellStart"/>
      <w:r>
        <w:rPr>
          <w:color w:val="595959"/>
          <w:sz w:val="17"/>
          <w:szCs w:val="17"/>
        </w:rPr>
        <w:t>Perawis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Buranasing</w:t>
      </w:r>
      <w:proofErr w:type="spellEnd"/>
      <w:r>
        <w:rPr>
          <w:color w:val="595959"/>
          <w:sz w:val="17"/>
          <w:szCs w:val="17"/>
        </w:rPr>
        <w:t xml:space="preserve"> (6688012)  |  </w:t>
      </w:r>
      <w:proofErr w:type="spellStart"/>
      <w:r>
        <w:rPr>
          <w:color w:val="595959"/>
          <w:sz w:val="17"/>
          <w:szCs w:val="17"/>
        </w:rPr>
        <w:t>Supitsara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Tanasansukstid</w:t>
      </w:r>
      <w:proofErr w:type="spellEnd"/>
      <w:r>
        <w:rPr>
          <w:color w:val="595959"/>
          <w:sz w:val="17"/>
          <w:szCs w:val="17"/>
        </w:rPr>
        <w:t xml:space="preserve"> (6688121)  |  </w:t>
      </w:r>
      <w:proofErr w:type="spellStart"/>
      <w:r>
        <w:rPr>
          <w:color w:val="595959"/>
          <w:sz w:val="17"/>
          <w:szCs w:val="17"/>
        </w:rPr>
        <w:t>Atichat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Kangsamut</w:t>
      </w:r>
      <w:proofErr w:type="spellEnd"/>
      <w:r>
        <w:rPr>
          <w:color w:val="595959"/>
          <w:sz w:val="17"/>
          <w:szCs w:val="17"/>
        </w:rPr>
        <w:t xml:space="preserve"> (6688193)</w:t>
      </w:r>
    </w:p>
    <w:p w14:paraId="7496C75B" w14:textId="77777777" w:rsidR="001E2291" w:rsidRPr="001E2291" w:rsidRDefault="001E2291">
      <w:pPr>
        <w:pBdr>
          <w:bottom w:val="single" w:sz="5" w:space="4" w:color="DCE1E6"/>
        </w:pBdr>
        <w:spacing w:line="205" w:lineRule="auto"/>
        <w:jc w:val="center"/>
        <w:rPr>
          <w:rFonts w:cstheme="minorBidi" w:hint="cs"/>
        </w:rPr>
      </w:pPr>
    </w:p>
    <w:tbl>
      <w:tblPr>
        <w:tblW w:w="10500" w:type="dxa"/>
        <w:tblInd w:w="70" w:type="dxa"/>
        <w:tblBorders>
          <w:top w:val="nil"/>
          <w:left w:val="nil"/>
          <w:bottom w:val="nil"/>
          <w:right w:val="nil"/>
          <w:insideH w:val="nil"/>
          <w:insideV w:val="single" w:sz="4" w:space="0" w:color="DCE1E6"/>
        </w:tblBorders>
        <w:tblLayout w:type="fixed"/>
        <w:tblCellMar>
          <w:left w:w="70" w:type="dxa"/>
          <w:right w:w="10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 w:rsidR="00CF04F3" w14:paraId="5150EDA0" w14:textId="77777777">
        <w:trPr>
          <w:cantSplit/>
        </w:trPr>
        <w:tc>
          <w:tcPr>
            <w:tcW w:w="5250" w:type="dxa"/>
          </w:tcPr>
          <w:p w14:paraId="23A206C9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1. Problem and Users</w:t>
            </w:r>
          </w:p>
          <w:p w14:paraId="19EB0DC3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Travelers may prefer very different activities, but these preferences are difficult to summarize consistently. We will build a low-stak</w:t>
            </w:r>
            <w:r>
              <w:rPr>
                <w:color w:val="1E1E1E"/>
              </w:rPr>
              <w:t>es service that groups a complete 24-category rating profile into an interpretable travel segment. The primary user is a travel platform that needs an immediate first-step segment during an interactive personalization flow. Travelers and tourism analysts a</w:t>
            </w:r>
            <w:r>
              <w:rPr>
                <w:color w:val="1E1E1E"/>
              </w:rPr>
              <w:t>re secondary users. Segments describe preference patterns only; they are not personality labels and will not support high-impact decisions.</w:t>
            </w:r>
          </w:p>
          <w:p w14:paraId="697BA2EA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2. Dataset and Data Quality</w:t>
            </w:r>
          </w:p>
          <w:p w14:paraId="4725EA3C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We will use UCI's Travel Review Ratings dataset: 5,456 profiles with average ratings for</w:t>
            </w:r>
            <w:r>
              <w:rPr>
                <w:color w:val="1E1E1E"/>
              </w:rPr>
              <w:t xml:space="preserve"> 24 attraction categories in Europe, licensed under CC BY 4.0 (DOI: 10.24432/C5C31Q). User ID will support repeatable splitting only. Data and code will be versioned with DVC and Git. Our initial audit found a trailing empty column and two malformed record</w:t>
            </w:r>
            <w:r>
              <w:rPr>
                <w:color w:val="1E1E1E"/>
              </w:rPr>
              <w:t>s, which will be quarantined deterministically. Because zeros appear although the metadata describes ratings as 1-5, we will compare and document zero-value policies instead of guessing their meaning.</w:t>
            </w:r>
          </w:p>
          <w:p w14:paraId="1497E9F9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3. Machine Learning Approach</w:t>
            </w:r>
          </w:p>
          <w:p w14:paraId="22F7B7B2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K-Means will be the main m</w:t>
            </w:r>
            <w:r>
              <w:rPr>
                <w:color w:val="1E1E1E"/>
              </w:rPr>
              <w:t>odel because there are no fixed travel-style labels. A Gaussian Mixture model will provide a simple comparison. We will select the number of clusters using stability across seeds, Silhouette score, cluster size, and interpretability rather than one score a</w:t>
            </w:r>
            <w:r>
              <w:rPr>
                <w:color w:val="1E1E1E"/>
              </w:rPr>
              <w:t xml:space="preserve">lone. </w:t>
            </w:r>
            <w:proofErr w:type="spellStart"/>
            <w:r>
              <w:rPr>
                <w:color w:val="1E1E1E"/>
              </w:rPr>
              <w:t>MLflow</w:t>
            </w:r>
            <w:proofErr w:type="spellEnd"/>
            <w:r>
              <w:rPr>
                <w:color w:val="1E1E1E"/>
              </w:rPr>
              <w:t xml:space="preserve"> will track every experiment. The model, scaler, feature order, centers, segment-name mapping, Git commit, and data version will be registered together.</w:t>
            </w:r>
          </w:p>
          <w:p w14:paraId="144EF106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4. Serving and Requirements</w:t>
            </w:r>
          </w:p>
          <w:p w14:paraId="33811FFD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 xml:space="preserve">We will deploy an online </w:t>
            </w:r>
            <w:proofErr w:type="spellStart"/>
            <w:r>
              <w:rPr>
                <w:color w:val="1E1E1E"/>
              </w:rPr>
              <w:t>FastAPI</w:t>
            </w:r>
            <w:proofErr w:type="spellEnd"/>
            <w:r>
              <w:rPr>
                <w:color w:val="1E1E1E"/>
              </w:rPr>
              <w:t xml:space="preserve"> service because the platform m</w:t>
            </w:r>
            <w:r>
              <w:rPr>
                <w:color w:val="1E1E1E"/>
              </w:rPr>
              <w:t xml:space="preserve">ust return a segment within the same user interaction. It will support one profile, batches of up to 100, and separate health and readiness checks. Our pre-registered target is warm p95 latency below 300 </w:t>
            </w:r>
            <w:proofErr w:type="spellStart"/>
            <w:r>
              <w:rPr>
                <w:color w:val="1E1E1E"/>
              </w:rPr>
              <w:t>ms</w:t>
            </w:r>
            <w:proofErr w:type="spellEnd"/>
            <w:r>
              <w:rPr>
                <w:color w:val="1E1E1E"/>
              </w:rPr>
              <w:t xml:space="preserve"> at concurrency 10; serverless cold starts will be</w:t>
            </w:r>
            <w:r>
              <w:rPr>
                <w:color w:val="1E1E1E"/>
              </w:rPr>
              <w:t xml:space="preserve"> reported separately. Profiles far from their assigned centroids will be returned as uncertain instead of receiving a confident segment. Retraining will require an approved data version or persistent validated drift.</w:t>
            </w:r>
          </w:p>
        </w:tc>
        <w:tc>
          <w:tcPr>
            <w:tcW w:w="5250" w:type="dxa"/>
          </w:tcPr>
          <w:p w14:paraId="7BB4F836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5. Monitoring and Planned Failure</w:t>
            </w:r>
          </w:p>
          <w:p w14:paraId="68A31E82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The d</w:t>
            </w:r>
            <w:r>
              <w:rPr>
                <w:color w:val="1E1E1E"/>
              </w:rPr>
              <w:t>ashboard will show request and error rates, p50/p95/p99 latency, model version, segment distribution, distance-to-centroid statistics, invalid and uncertain requests, and feature drift. The frozen training split will be the reference window. Recent traffic</w:t>
            </w:r>
            <w:r>
              <w:rPr>
                <w:color w:val="1E1E1E"/>
              </w:rPr>
              <w:t xml:space="preserve"> or deterministic replay will be the comparison window, with a minimum sample size before alerts can fire.</w:t>
            </w:r>
          </w:p>
          <w:p w14:paraId="54D65AD6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Our deliberate failure is an incorrect cluster-to-segment-name mapping after retraining. Cluster numbers can change even when patterns remain similar</w:t>
            </w:r>
            <w:r>
              <w:rPr>
                <w:color w:val="1E1E1E"/>
              </w:rPr>
              <w:t xml:space="preserve">. We will deploy a bad mapping to staging and replay known profiles. A semantic mapping check and output-distribution monitor should alert us. We will inspect the model version and logs, roll back, verify recovery, and add a promotion test that aligns new </w:t>
            </w:r>
            <w:r>
              <w:rPr>
                <w:color w:val="1E1E1E"/>
              </w:rPr>
              <w:t>centers with existing names or blocks ambiguous mappings.</w:t>
            </w:r>
          </w:p>
          <w:p w14:paraId="3E679604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6. CI/CD and Cost</w:t>
            </w:r>
          </w:p>
          <w:p w14:paraId="26F2DBDD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GitHub Actions will run linting, unit tests, data-contract tests, model-behavior and mapping tests, a container build, and an API integration test. Only a green main branch can dep</w:t>
            </w:r>
            <w:r>
              <w:rPr>
                <w:color w:val="1E1E1E"/>
              </w:rPr>
              <w:t>loy to staging. Images will use Git SHA tags, and credentials will use repository secrets or workload identity.</w:t>
            </w:r>
          </w:p>
          <w:p w14:paraId="4DE980E8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 xml:space="preserve">The CPU-only system will use Cloud Run with zero minimum instances. Pre-run assumptions are at most 60 CPU-minutes for training/tuning, no more </w:t>
            </w:r>
            <w:r>
              <w:rPr>
                <w:color w:val="1E1E1E"/>
              </w:rPr>
              <w:t>than 10,000 demo requests, and below 2 GB of stored data, images, and logs. The budget before credits is 60 THB for compute and serving, 20 THB for storage, registry, and logs, plus 70 THB contingency: a 150 THB ceiling. We will record actual billing, calc</w:t>
            </w:r>
            <w:r>
              <w:rPr>
                <w:color w:val="1E1E1E"/>
              </w:rPr>
              <w:t>ulate cost per 1,000 predictions, and remove running resources after testing.</w:t>
            </w:r>
          </w:p>
          <w:p w14:paraId="12031309" w14:textId="77777777" w:rsidR="00CF04F3" w:rsidRDefault="00CC7C4A">
            <w:pPr>
              <w:keepNext/>
              <w:spacing w:before="70" w:after="24" w:line="220" w:lineRule="auto"/>
            </w:pPr>
            <w:r>
              <w:rPr>
                <w:b/>
                <w:color w:val="1F3F5F"/>
                <w:sz w:val="21"/>
                <w:szCs w:val="21"/>
              </w:rPr>
              <w:t>7. Team Responsibilities</w:t>
            </w:r>
          </w:p>
          <w:p w14:paraId="1AFDF014" w14:textId="77777777" w:rsidR="00CF04F3" w:rsidRDefault="00CC7C4A">
            <w:pPr>
              <w:spacing w:after="44" w:line="224" w:lineRule="auto"/>
            </w:pPr>
            <w:proofErr w:type="spellStart"/>
            <w:r>
              <w:rPr>
                <w:color w:val="1E1E1E"/>
              </w:rPr>
              <w:t>Perawis</w:t>
            </w:r>
            <w:proofErr w:type="spellEnd"/>
            <w:r>
              <w:rPr>
                <w:color w:val="1E1E1E"/>
              </w:rPr>
              <w:t xml:space="preserve"> </w:t>
            </w:r>
            <w:proofErr w:type="spellStart"/>
            <w:r>
              <w:rPr>
                <w:color w:val="1E1E1E"/>
              </w:rPr>
              <w:t>Buranasing</w:t>
            </w:r>
            <w:proofErr w:type="spellEnd"/>
            <w:r>
              <w:rPr>
                <w:color w:val="1E1E1E"/>
              </w:rPr>
              <w:t xml:space="preserve">: data, DVC, preprocessing, training pipeline, </w:t>
            </w:r>
            <w:proofErr w:type="spellStart"/>
            <w:r>
              <w:rPr>
                <w:color w:val="1E1E1E"/>
              </w:rPr>
              <w:t>MLflow</w:t>
            </w:r>
            <w:proofErr w:type="spellEnd"/>
            <w:r>
              <w:rPr>
                <w:color w:val="1E1E1E"/>
              </w:rPr>
              <w:t>, and model registry.</w:t>
            </w:r>
          </w:p>
          <w:p w14:paraId="1AEFDE66" w14:textId="77777777" w:rsidR="00CF04F3" w:rsidRDefault="00CC7C4A">
            <w:pPr>
              <w:spacing w:after="44" w:line="224" w:lineRule="auto"/>
            </w:pPr>
            <w:proofErr w:type="spellStart"/>
            <w:r>
              <w:rPr>
                <w:color w:val="1E1E1E"/>
              </w:rPr>
              <w:t>Supitsara</w:t>
            </w:r>
            <w:proofErr w:type="spellEnd"/>
            <w:r>
              <w:rPr>
                <w:color w:val="1E1E1E"/>
              </w:rPr>
              <w:t xml:space="preserve"> </w:t>
            </w:r>
            <w:proofErr w:type="spellStart"/>
            <w:r>
              <w:rPr>
                <w:color w:val="1E1E1E"/>
              </w:rPr>
              <w:t>Tanasansukstid</w:t>
            </w:r>
            <w:proofErr w:type="spellEnd"/>
            <w:r>
              <w:rPr>
                <w:color w:val="1E1E1E"/>
              </w:rPr>
              <w:t xml:space="preserve">: </w:t>
            </w:r>
            <w:proofErr w:type="spellStart"/>
            <w:r>
              <w:rPr>
                <w:color w:val="1E1E1E"/>
              </w:rPr>
              <w:t>FastAPI</w:t>
            </w:r>
            <w:proofErr w:type="spellEnd"/>
            <w:r>
              <w:rPr>
                <w:color w:val="1E1E1E"/>
              </w:rPr>
              <w:t>, Docker, GCP deployment, CI/CD, and load testing.</w:t>
            </w:r>
          </w:p>
          <w:p w14:paraId="7F33AC31" w14:textId="77777777" w:rsidR="00CF04F3" w:rsidRDefault="00CC7C4A">
            <w:pPr>
              <w:spacing w:after="44" w:line="224" w:lineRule="auto"/>
            </w:pPr>
            <w:proofErr w:type="spellStart"/>
            <w:r>
              <w:rPr>
                <w:color w:val="1E1E1E"/>
              </w:rPr>
              <w:t>Atichat</w:t>
            </w:r>
            <w:proofErr w:type="spellEnd"/>
            <w:r>
              <w:rPr>
                <w:color w:val="1E1E1E"/>
              </w:rPr>
              <w:t xml:space="preserve"> </w:t>
            </w:r>
            <w:proofErr w:type="spellStart"/>
            <w:r>
              <w:rPr>
                <w:color w:val="1E1E1E"/>
              </w:rPr>
              <w:t>Kangsamut</w:t>
            </w:r>
            <w:proofErr w:type="spellEnd"/>
            <w:r>
              <w:rPr>
                <w:color w:val="1E1E1E"/>
              </w:rPr>
              <w:t>: dashboard, drift detection, alerting, failure demonstration, cost report, and model card.</w:t>
            </w:r>
          </w:p>
          <w:p w14:paraId="7C61DC64" w14:textId="77777777" w:rsidR="00CF04F3" w:rsidRDefault="00CC7C4A">
            <w:pPr>
              <w:spacing w:after="44" w:line="224" w:lineRule="auto"/>
            </w:pPr>
            <w:r>
              <w:rPr>
                <w:color w:val="1E1E1E"/>
              </w:rPr>
              <w:t>All members will review segment names, tests, documentation, th</w:t>
            </w:r>
            <w:r>
              <w:rPr>
                <w:color w:val="1E1E1E"/>
              </w:rPr>
              <w:t>e final repository, and the live demonstration.</w:t>
            </w:r>
          </w:p>
        </w:tc>
      </w:tr>
    </w:tbl>
    <w:p w14:paraId="28B8F25C" w14:textId="77777777" w:rsidR="00CF04F3" w:rsidRDefault="00CC7C4A">
      <w:pPr>
        <w:spacing w:before="55" w:after="0" w:line="190" w:lineRule="auto"/>
        <w:jc w:val="center"/>
      </w:pPr>
      <w:r>
        <w:rPr>
          <w:i/>
          <w:color w:val="595959"/>
          <w:sz w:val="14"/>
          <w:szCs w:val="14"/>
        </w:rPr>
        <w:t xml:space="preserve">Dataset citation: </w:t>
      </w:r>
      <w:proofErr w:type="spellStart"/>
      <w:r>
        <w:rPr>
          <w:i/>
          <w:color w:val="595959"/>
          <w:sz w:val="14"/>
          <w:szCs w:val="14"/>
        </w:rPr>
        <w:t>Renjith</w:t>
      </w:r>
      <w:proofErr w:type="spellEnd"/>
      <w:r>
        <w:rPr>
          <w:i/>
          <w:color w:val="595959"/>
          <w:sz w:val="14"/>
          <w:szCs w:val="14"/>
        </w:rPr>
        <w:t>, S. (2018). Travel Review Ratings. UCI Machine Learning Repository. https://doi.org/10.24432/C5C31Q</w:t>
      </w:r>
    </w:p>
    <w:sectPr w:rsidR="00CF04F3">
      <w:pgSz w:w="11906" w:h="16838"/>
      <w:pgMar w:top="620" w:right="680" w:bottom="600" w:left="680" w:header="28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4F3"/>
    <w:rsid w:val="001E2291"/>
    <w:rsid w:val="00AD0067"/>
    <w:rsid w:val="00CC7C4A"/>
    <w:rsid w:val="00CF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BDEF"/>
  <w15:docId w15:val="{FD29BD70-B7FD-4A0D-8068-04AC7B05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sz w:val="18"/>
        <w:szCs w:val="18"/>
        <w:lang w:val="en-US" w:eastAsia="en-US" w:bidi="th-TH"/>
      </w:rPr>
    </w:rPrDefault>
    <w:pPrDefault>
      <w:pPr>
        <w:spacing w:after="50" w:line="22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Travel Style Segmentation &amp; Drift Monitoring - Project Proposal</vt:lpstr>
    </vt:vector>
  </TitlesOfParts>
  <Company>Mahidol University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Style Segmentation &amp; Drift Monitoring - Project Proposal</dc:title>
  <dc:subject>ITCS355 Capstone Project Proposal</dc:subject>
  <dc:creator>Perawis Buranasing; Supitsara Tanasansukstid; Atichat Kangsamut</dc:creator>
  <cp:lastModifiedBy>PERAWIS BURANASING</cp:lastModifiedBy>
  <cp:revision>3</cp:revision>
  <dcterms:created xsi:type="dcterms:W3CDTF">2026-09-24T21:29:00Z</dcterms:created>
  <dcterms:modified xsi:type="dcterms:W3CDTF">2026-09-24T22:11:00Z</dcterms:modified>
</cp:coreProperties>
</file>